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8280" w:right="0" w:hanging="0"/>
        <w:jc w:val="left"/>
        <w:rPr/>
      </w:pPr>
      <w:hyperlink w:anchor="TOC">
        <w:bookmarkStart w:id="0" w:name="cix-20250930x10q.htm"/>
        <w:bookmarkStart w:id="1" w:name="kscix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f4df59ff_9755_450d_bc45_7c17274b5f24"/>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pPr>
      <w:r>
        <w:rPr>
          <w:caps w:val="false"/>
          <w:smallCaps w:val="false"/>
        </w:rPr>
        <w:t>☒</w:t>
      </w:r>
      <w:r>
        <w:rPr>
          <w:rFonts w:ascii="Times New Roman;Times;serif" w:hAnsi="Times New Roman;Times;serif"/>
          <w:b/>
          <w:sz w:val="24"/>
        </w:rPr>
        <w:t>QUARTERLY REPORT PURSUANT TO SECTION 13 OR 15(d) OF</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quarter ended September 30, 2025</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caps w:val="false"/>
          <w:smallCaps w:val="false"/>
        </w:rPr>
        <w:t>☐</w:t>
      </w:r>
      <w:r>
        <w:rPr>
          <w:rFonts w:ascii="Times New Roman;Times;serif" w:hAnsi="Times New Roman;Times;serif"/>
          <w:b/>
          <w:sz w:val="24"/>
        </w:rPr>
        <w:t xml:space="preserve">TRANSITION REPORT PURSUANT TO SECTION 13 OR 15(d) OF </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_________ to _________</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1-13905</w:t>
      </w:r>
    </w:p>
    <w:p>
      <w:pPr>
        <w:pStyle w:val="TextBody"/>
        <w:bidi w:val="0"/>
        <w:spacing w:before="0" w:after="80"/>
        <w:ind w:left="0" w:right="0" w:hanging="0"/>
        <w:jc w:val="center"/>
        <w:rPr>
          <w:rFonts w:ascii="Times New Roman;Times;serif" w:hAnsi="Times New Roman;Times;serif"/>
          <w:sz w:val="40"/>
        </w:rPr>
      </w:pPr>
      <w:r>
        <w:rPr>
          <w:rFonts w:ascii="Times New Roman;Times;serif" w:hAnsi="Times New Roman;Times;serif"/>
          <w:b/>
          <w:sz w:val="40"/>
        </w:rPr>
        <w:t>COMPX INTERNATIONAL INC.</w:t>
      </w:r>
      <w:r>
        <w:rPr>
          <w:rFonts w:ascii="Times New Roman;Times;serif" w:hAnsi="Times New Roman;Times;serif"/>
          <w:sz w:val="4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8KA8bcWfMEOBX2peqgeoZQ_2_2"/>
      <w:bookmarkStart w:id="4" w:name="Tc_f9PHhz-EqkWj8H8YtwzF6w_2_0"/>
      <w:bookmarkStart w:id="5" w:name="_a40d4d57_0eb2_4f36_a2f1_bba16ad752a1"/>
      <w:bookmarkStart w:id="6" w:name="Tc_8KA8bcWfMEOBX2peqgeoZQ_2_2"/>
      <w:bookmarkStart w:id="7" w:name="Tc_f9PHhz-EqkWj8H8YtwzF6w_2_0"/>
      <w:bookmarkStart w:id="8" w:name="_a40d4d57_0eb2_4f36_a2f1_bba16ad752a1"/>
      <w:bookmarkEnd w:id="6"/>
      <w:bookmarkEnd w:id="7"/>
      <w:bookmarkEnd w:id="8"/>
    </w:p>
    <w:tbl>
      <w:tblPr>
        <w:tblW w:w="4753" w:type="dxa"/>
        <w:jc w:val="left"/>
        <w:tblInd w:w="0" w:type="dxa"/>
        <w:tblLayout w:type="fixed"/>
        <w:tblCellMar>
          <w:top w:w="0" w:type="dxa"/>
          <w:left w:w="0" w:type="dxa"/>
          <w:bottom w:w="0" w:type="dxa"/>
          <w:right w:w="0" w:type="dxa"/>
        </w:tblCellMar>
      </w:tblPr>
      <w:tblGrid>
        <w:gridCol w:w="2746"/>
        <w:gridCol w:w="326"/>
        <w:gridCol w:w="1681"/>
      </w:tblGrid>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57-0981653</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10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448-1400</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DPVAgzYEZUaymngzQ2p7pA_1_4"/>
      <w:bookmarkStart w:id="10" w:name="Tc_bkYfsjjBr0agt3Bu6sjD9w_1_2"/>
      <w:bookmarkStart w:id="11" w:name="Tc_xOnYi8xNyUqlDOgyJDC6SA_1_0"/>
      <w:bookmarkStart w:id="12" w:name="_ddacf02a_c048_46db_91e7_8b7b902951e5"/>
      <w:bookmarkStart w:id="13" w:name="Tc_DPVAgzYEZUaymngzQ2p7pA_1_4"/>
      <w:bookmarkStart w:id="14" w:name="Tc_bkYfsjjBr0agt3Bu6sjD9w_1_2"/>
      <w:bookmarkStart w:id="15" w:name="Tc_xOnYi8xNyUqlDOgyJDC6SA_1_0"/>
      <w:bookmarkStart w:id="16" w:name="_ddacf02a_c048_46db_91e7_8b7b902951e5"/>
      <w:bookmarkEnd w:id="13"/>
      <w:bookmarkEnd w:id="14"/>
      <w:bookmarkEnd w:id="15"/>
      <w:bookmarkEnd w:id="16"/>
    </w:p>
    <w:tbl>
      <w:tblPr>
        <w:tblW w:w="7465" w:type="dxa"/>
        <w:jc w:val="left"/>
        <w:tblInd w:w="0" w:type="dxa"/>
        <w:tblLayout w:type="fixed"/>
        <w:tblCellMar>
          <w:top w:w="0" w:type="dxa"/>
          <w:left w:w="0" w:type="dxa"/>
          <w:bottom w:w="0" w:type="dxa"/>
          <w:right w:w="0" w:type="dxa"/>
        </w:tblCellMar>
      </w:tblPr>
      <w:tblGrid>
        <w:gridCol w:w="1771"/>
        <w:gridCol w:w="326"/>
        <w:gridCol w:w="1561"/>
        <w:gridCol w:w="326"/>
        <w:gridCol w:w="348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w:t>
            </w:r>
          </w:p>
        </w:tc>
        <w:tc>
          <w:tcPr>
            <w:tcW w:w="326" w:type="dxa"/>
            <w:tcBorders/>
            <w:vAlign w:val="center"/>
          </w:tcPr>
          <w:p>
            <w:pPr>
              <w:pStyle w:val="TableContents"/>
              <w:bidi w:val="0"/>
              <w:spacing w:before="0" w:after="24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CIX</w:t>
            </w:r>
          </w:p>
        </w:tc>
        <w:tc>
          <w:tcPr>
            <w:tcW w:w="326" w:type="dxa"/>
            <w:tcBorders/>
            <w:vAlign w:val="center"/>
          </w:tcPr>
          <w:p>
            <w:pPr>
              <w:pStyle w:val="TableContents"/>
              <w:bidi w:val="0"/>
              <w:spacing w:before="0" w:after="240"/>
              <w:ind w:left="0" w:right="0" w:hanging="0"/>
              <w:jc w:val="left"/>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NYSE American</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7" w:name="Tc_JhYl2SimC0yl5qRZll8sRw_3_0"/>
      <w:bookmarkStart w:id="18" w:name="Tc_jJ4sccudwUutKJOpqdNmaQ_2_2"/>
      <w:bookmarkStart w:id="19" w:name="Tc_xtoFJ4ZX9UW9TER0NIK7EA_2_1"/>
      <w:bookmarkStart w:id="20" w:name="Tc_umhE6TVv3EO2hfzVuNfifw_2_0"/>
      <w:bookmarkStart w:id="21" w:name="Tc_3zFLteX7n0G6fqwaXd7mfQ_1_3"/>
      <w:bookmarkStart w:id="22" w:name="Tc_1NRm_fEteE-wOLW5sPpV8w_1_2"/>
      <w:bookmarkStart w:id="23" w:name="Tc_7DDEIoc6PUKTPGXs7FLk_Q_1_1"/>
      <w:bookmarkStart w:id="24" w:name="Tc_SPgpbdnGP0-FcVc6PVadsg_1_0"/>
      <w:bookmarkStart w:id="25" w:name="_7b004ce5_21ad_4ec9_aae1_43d24f130c2c"/>
      <w:bookmarkStart w:id="26" w:name="Tc_JhYl2SimC0yl5qRZll8sRw_3_0"/>
      <w:bookmarkStart w:id="27" w:name="Tc_jJ4sccudwUutKJOpqdNmaQ_2_2"/>
      <w:bookmarkStart w:id="28" w:name="Tc_xtoFJ4ZX9UW9TER0NIK7EA_2_1"/>
      <w:bookmarkStart w:id="29" w:name="Tc_umhE6TVv3EO2hfzVuNfifw_2_0"/>
      <w:bookmarkStart w:id="30" w:name="Tc_3zFLteX7n0G6fqwaXd7mfQ_1_3"/>
      <w:bookmarkStart w:id="31" w:name="Tc_1NRm_fEteE-wOLW5sPpV8w_1_2"/>
      <w:bookmarkStart w:id="32" w:name="Tc_7DDEIoc6PUKTPGXs7FLk_Q_1_1"/>
      <w:bookmarkStart w:id="33" w:name="Tc_SPgpbdnGP0-FcVc6PVadsg_1_0"/>
      <w:bookmarkStart w:id="34" w:name="_7b004ce5_21ad_4ec9_aae1_43d24f130c2c"/>
      <w:bookmarkEnd w:id="26"/>
      <w:bookmarkEnd w:id="27"/>
      <w:bookmarkEnd w:id="28"/>
      <w:bookmarkEnd w:id="29"/>
      <w:bookmarkEnd w:id="30"/>
      <w:bookmarkEnd w:id="31"/>
      <w:bookmarkEnd w:id="32"/>
      <w:bookmarkEnd w:id="33"/>
      <w:bookmarkEnd w:id="34"/>
    </w:p>
    <w:tbl>
      <w:tblPr>
        <w:tblW w:w="5839" w:type="dxa"/>
        <w:jc w:val="left"/>
        <w:tblInd w:w="0" w:type="dxa"/>
        <w:tblLayout w:type="fixed"/>
        <w:tblCellMar>
          <w:top w:w="0" w:type="dxa"/>
          <w:left w:w="0" w:type="dxa"/>
          <w:bottom w:w="0" w:type="dxa"/>
          <w:right w:w="0" w:type="dxa"/>
        </w:tblCellMar>
      </w:tblPr>
      <w:tblGrid>
        <w:gridCol w:w="2536"/>
        <w:gridCol w:w="316"/>
        <w:gridCol w:w="2626"/>
        <w:gridCol w:w="36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10360" cy="175260"/>
                      <wp:effectExtent l="0" t="0" r="0" b="0"/>
                      <wp:wrapNone/>
                      <wp:docPr id="1" name="Frame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67510" cy="175260"/>
                      <wp:effectExtent l="0" t="0" r="0" b="0"/>
                      <wp:wrapNone/>
                      <wp:docPr id="3" name="Frame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Large accelerated filer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pPr>
            <w:r>
              <w:rPr/>
              <w:t>  </w:t>
            </w:r>
            <w:r>
              <w:rPr>
                <w:rFonts w:ascii="Times New Roman;Times;serif" w:hAnsi="Times New Roman;Times;serif"/>
                <w:b/>
                <w:sz w:val="20"/>
              </w:rPr>
              <w:t xml:space="preserve">Smaller reporting company </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240"/>
              <w:ind w:left="0" w:right="0" w:hanging="0"/>
              <w:jc w:val="right"/>
              <w:rPr/>
            </w:pPr>
            <w:r>
              <w:rPr/>
              <w:t>​</w:t>
            </w:r>
          </w:p>
        </w:tc>
        <w:tc>
          <w:tcPr>
            <w:tcW w:w="361" w:type="dxa"/>
            <w:tcBorders/>
            <w:vAlign w:val="center"/>
          </w:tcPr>
          <w:p>
            <w:pPr>
              <w:pStyle w:val="TableContents"/>
              <w:bidi w:val="0"/>
              <w:spacing w:before="0" w:after="240"/>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b/>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r>
        <w:rPr>
          <w:rFonts w:ascii="Times New Roman;Times;serif" w:hAnsi="Times New Roman;Times;serif"/>
          <w:b/>
          <w:sz w:val="18"/>
        </w:rPr>
        <w:t>.</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b/>
          <w:sz w:val="18"/>
        </w:rPr>
        <w:t>As of October 31, 2025, the registrant had 12,323,057</w:t>
      </w:r>
      <w:r>
        <w:rPr>
          <w:rFonts w:ascii="Times New Roman;Times;serif" w:hAnsi="Times New Roman;Times;serif"/>
          <w:sz w:val="18"/>
        </w:rPr>
        <w:t xml:space="preserve"> </w:t>
      </w:r>
      <w:r>
        <w:rPr>
          <w:rFonts w:ascii="Times New Roman;Times;serif" w:hAnsi="Times New Roman;Times;serif"/>
          <w:b/>
          <w:sz w:val="18"/>
        </w:rPr>
        <w:t>shares of Class A common stock, $.01 par value per share,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_9ae362f4_a56b_45cf_a759_2cad1b09e9be"/>
      <w:bookmarkEnd w:id="35"/>
      <w:r>
        <w:rPr>
          <w:rFonts w:ascii="Times New Roman;Times;serif" w:hAnsi="Times New Roman;Times;serif"/>
          <w:b/>
          <w:sz w:val="20"/>
        </w:rPr>
        <w:t>COMPX INTERNATIONAL INC.</w:t>
      </w:r>
    </w:p>
    <w:p>
      <w:pPr>
        <w:pStyle w:val="TextBody"/>
        <w:bidi w:val="0"/>
        <w:spacing w:before="0" w:after="0"/>
        <w:ind w:left="0" w:right="0" w:hanging="0"/>
        <w:jc w:val="center"/>
        <w:rPr>
          <w:rFonts w:ascii="Times New Roman;Times;serif" w:hAnsi="Times New Roman;Times;serif"/>
          <w:b/>
          <w:sz w:val="20"/>
        </w:rPr>
      </w:pPr>
      <w:bookmarkStart w:id="36" w:name="TOC"/>
      <w:bookmarkEnd w:id="36"/>
      <w:r>
        <w:rPr>
          <w:rFonts w:ascii="Times New Roman;Times;serif" w:hAnsi="Times New Roman;Times;serif"/>
          <w:b/>
          <w:sz w:val="20"/>
        </w:rPr>
        <w:t>Index</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1"/>
        <w:gridCol w:w="326"/>
        <w:gridCol w:w="8519"/>
        <w:gridCol w:w="549"/>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14985" cy="175260"/>
                      <wp:effectExtent l="0" t="0" r="0" b="0"/>
                      <wp:wrapNone/>
                      <wp:docPr id="5" name="Frame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409565" cy="175260"/>
                      <wp:effectExtent l="0" t="0" r="0" b="0"/>
                      <wp:wrapNone/>
                      <wp:docPr id="7" name="Frame7"/>
                      <a:graphic xmlns:a="http://schemas.openxmlformats.org/drawingml/2006/main">
                        <a:graphicData uri="http://schemas.microsoft.com/office/word/2010/wordprocessingShape">
                          <wps:wsp>
                            <wps:cNvSpPr txBox="1"/>
                            <wps:spPr>
                              <a:xfrm>
                                <a:off x="0" y="0"/>
                                <a:ext cx="5409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48615" cy="175260"/>
                      <wp:effectExtent l="0" t="0" r="0" b="0"/>
                      <wp:wrapNone/>
                      <wp:docPr id="8" name="Frame8"/>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19" w:type="dxa"/>
            <w:tcBorders/>
            <w:vAlign w:val="center"/>
          </w:tcPr>
          <w:p>
            <w:pPr>
              <w:pStyle w:val="TableContents"/>
              <w:bidi w:val="0"/>
              <w:spacing w:before="0" w:after="0"/>
              <w:ind w:left="0" w:right="0" w:hanging="0"/>
              <w:jc w:val="left"/>
              <w:rPr/>
            </w:pPr>
            <w:r>
              <w:rPr/>
              <w:t>​</w:t>
            </w:r>
          </w:p>
        </w:tc>
        <w:tc>
          <w:tcPr>
            <w:tcW w:w="5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54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CONDENSEDCONSOLIDATEDBALANCESHEETS_68281">
              <w:r>
                <w:rPr>
                  <w:rStyle w:val="InternetLink"/>
                  <w:rFonts w:ascii="Times New Roman;Times;serif" w:hAnsi="Times New Roman;Times;serif"/>
                  <w:b w:val="false"/>
                  <w:i w:val="false"/>
                  <w:caps w:val="false"/>
                  <w:smallCaps w:val="false"/>
                  <w:sz w:val="20"/>
                </w:rPr>
                <w:t>Condensed Consolidated Balance Sheets – December 31, 2024 and September 30, 2025 (unaudited)</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- 3 -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Condensed Consolidated Statements of Income and Comprehensive Income (unaudited) – Three and nine months ended September 30, 2024 and 2025</w:t>
              </w:r>
            </w:hyperlink>
            <w:r>
              <w:rPr>
                <w:rFonts w:ascii="Times New Roman;Times;serif" w:hAnsi="Times New Roman;Times;serif"/>
                <w:sz w:val="20"/>
              </w:rPr>
              <w:t xml:space="preserve"> </w:t>
            </w:r>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CONDENSEDCONSOLIDATEDSTATEMENTOFEQUITY">
              <w:r>
                <w:rPr>
                  <w:rStyle w:val="InternetLink"/>
                  <w:rFonts w:ascii="Times New Roman;Times;serif" w:hAnsi="Times New Roman;Times;serif"/>
                  <w:b w:val="false"/>
                  <w:i w:val="false"/>
                  <w:caps w:val="false"/>
                  <w:smallCaps w:val="false"/>
                  <w:sz w:val="20"/>
                </w:rPr>
                <w:t>Condensed Consolidated Statements of Stockholders’ Equity (unaudited) – Three and nine months ended September 30, 2024 and 2025</w:t>
              </w:r>
            </w:hyperlink>
            <w:r>
              <w:rPr>
                <w:rFonts w:ascii="Times New Roman;Times;serif" w:hAnsi="Times New Roman;Times;serif"/>
                <w:sz w:val="20"/>
              </w:rPr>
              <w:t xml:space="preserve"> </w:t>
            </w:r>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- 5 -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 xml:space="preserve">Condensed Consolidated Statements of Cash Flows (unaudited) – Nine months ended September 30, 2024 and 2025 </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- 6 -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- 11 -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Controls and Procedures</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OTHER INFORMATION</w:t>
              </w:r>
            </w:hyperlink>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Item 1A.</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Risk Factors</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Item 6.</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Exhibits</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37" w:name="_39a3728b_6ff4_48b2_a7e9_3a9533f89144"/>
      <w:bookmarkEnd w:id="37"/>
      <w:r>
        <w:rPr>
          <w:rFonts w:ascii="Times New Roman;Times;serif" w:hAnsi="Times New Roman;Times;serif"/>
          <w:b/>
          <w:sz w:val="20"/>
        </w:rPr>
        <w:t>COMPX INTERNATIONAL INC.</w:t>
      </w:r>
    </w:p>
    <w:p>
      <w:pPr>
        <w:pStyle w:val="TextBody"/>
        <w:bidi w:val="0"/>
        <w:spacing w:before="0" w:after="60"/>
        <w:ind w:left="0" w:right="0" w:hanging="0"/>
        <w:jc w:val="center"/>
        <w:rPr>
          <w:rFonts w:ascii="Times New Roman;Times;serif" w:hAnsi="Times New Roman;Times;serif"/>
          <w:b/>
          <w:sz w:val="20"/>
        </w:rPr>
      </w:pPr>
      <w:bookmarkStart w:id="38" w:name="CONDENSEDCONSOLIDATEDBALANCESHEETS_68281"/>
      <w:bookmarkEnd w:id="38"/>
      <w:r>
        <w:rPr>
          <w:rFonts w:ascii="Times New Roman;Times;serif" w:hAnsi="Times New Roman;Times;serif"/>
          <w:b/>
          <w:sz w:val="20"/>
        </w:rPr>
        <w:t>CONDENSED CONSOLIDATED BALANCE SHEETS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9" w:name="Tc_pY0kyKmL8k2_fhBElpRnkA_44_5"/>
      <w:bookmarkStart w:id="40" w:name="Tc_kE3srqMKtEKbPOYBaA3lYg_44_2"/>
      <w:bookmarkStart w:id="41" w:name="Tc_JGGr9AX9_UCMysEz7HrErg_44_0"/>
      <w:bookmarkStart w:id="42" w:name="Tc_d3sTpJ7lcU6D13jbbyM95A_43_0"/>
      <w:bookmarkStart w:id="43" w:name="Tc_EyCN5v4GNE6toXVtfa6zKg_42_0"/>
      <w:bookmarkStart w:id="44" w:name="Tc_5R8MfHel80WR2l5E7F6HXg_41_0"/>
      <w:bookmarkStart w:id="45" w:name="Tc_ftkgnaOz8EmXluxPwsKe1g_40_0"/>
      <w:bookmarkStart w:id="46" w:name="Tc_PautrYSvF0WblWj63GWImQ_39_0"/>
      <w:bookmarkStart w:id="47" w:name="Tc_hlveiNawUUOGv_P41pysZA_38_0"/>
      <w:bookmarkStart w:id="48" w:name="Tc_Tm7T-sIQJUSeUHup7D7OXQ_36_0"/>
      <w:bookmarkStart w:id="49" w:name="Tc_g6HOav7eLUK6Ix_43nlVUw_35_0"/>
      <w:bookmarkStart w:id="50" w:name="Tc_9GMRv6gbTUOD9A5SJ5GekQ_34_0"/>
      <w:bookmarkStart w:id="51" w:name="Tc_rB1_LwfqCUqKtE4fMTB7sw_33_0"/>
      <w:bookmarkStart w:id="52" w:name="Tc_VV2fwdxQmky2lDwvZ5cZsA_31_0"/>
      <w:bookmarkStart w:id="53" w:name="Tc_5Xi8Tak1-UaCiIAU_MoUxQ_30_0"/>
      <w:bookmarkStart w:id="54" w:name="Tc_Ur__jvH96k6YN_mnmmooAA_29_5"/>
      <w:bookmarkStart w:id="55" w:name="Tc_M6jv0JzedUmVbRYQXFgleA_29_2"/>
      <w:bookmarkStart w:id="56" w:name="Tc_c60Mcu59Vk-BGR9ZZU22uA_29_0"/>
      <w:bookmarkStart w:id="57" w:name="Tc_VQHFsuCOXEqs1qRt55DRPA_28_0"/>
      <w:bookmarkStart w:id="58" w:name="Tc_djhvnHd5TUWiFMBJ1t40Og_27_0"/>
      <w:bookmarkStart w:id="59" w:name="Tc_u9uNWPvq9UyBIWtppF1QEw_25_5"/>
      <w:bookmarkStart w:id="60" w:name="Tc_EAnRnnZURky2EhRzs9GdJw_25_2"/>
      <w:bookmarkStart w:id="61" w:name="Tc_ZxL-vM9pBEidh2CWqkwwiA_25_0"/>
      <w:bookmarkStart w:id="62" w:name="Tc_lZK0TiBryUuqKKv7G3Ep8g_24_0"/>
      <w:bookmarkStart w:id="63" w:name="Tc_J65PAEDk00iF2nAZouZVQg_23_0"/>
      <w:bookmarkStart w:id="64" w:name="Tc_1eeMhcZ8pkmYTOckD_3zXA_21_0"/>
      <w:bookmarkStart w:id="65" w:name="Tc_ibnRKJdgHE-omFRIhmJI-g_20_0"/>
      <w:bookmarkStart w:id="66" w:name="Tc_IvRkeR2Ur0KCR_SzMkGRqQ_19_0"/>
      <w:bookmarkStart w:id="67" w:name="Tc_Cnn665jwMk2lhrmxU4orBg_18_0"/>
      <w:bookmarkStart w:id="68" w:name="Tc_t6V_UyNXdkmjDqpPVf04nQ_17_0"/>
      <w:bookmarkStart w:id="69" w:name="Tc_SlU7TZ-dsEiqt8o5KaA8Fg_15_0"/>
      <w:bookmarkStart w:id="70" w:name="Tc_BLIG7kuRL0q2PZO56tFCZw_14_0"/>
      <w:bookmarkStart w:id="71" w:name="Tc_Qbe-E-PlxEG66nZ5juz-6Q_13_0"/>
      <w:bookmarkStart w:id="72" w:name="Tc_tn5VKUwGaU-u6rdgJR4fTg_12_0"/>
      <w:bookmarkStart w:id="73" w:name="Tc_F9W-0QGMUki8d_NUCdkpWw_11_0"/>
      <w:bookmarkStart w:id="74" w:name="Tc_WPUHAC0FUkWumxfnU5c0IA_9_0"/>
      <w:bookmarkStart w:id="75" w:name="Tc_y90vap9mw0u93pyC_U0eAg_8_0"/>
      <w:bookmarkStart w:id="76" w:name="Tc_UyN-8jZGGki57RxNfMiosQ_7_0"/>
      <w:bookmarkStart w:id="77" w:name="Tc_ukED1ybY2Em0o9GLCV-d6w_6_0"/>
      <w:bookmarkStart w:id="78" w:name="Tc_iI5y7yRegECH0Ng0yYSalg_5_5"/>
      <w:bookmarkStart w:id="79" w:name="Tc_WAK6i9qhnE6_CJKAuCsS7g_5_2"/>
      <w:bookmarkStart w:id="80" w:name="Tc_rEKx7oWAMEuMWSUZEo5VJw_5_0"/>
      <w:bookmarkStart w:id="81" w:name="Tc_3q3zFizvek2uM37OYidTYA_4_0"/>
      <w:bookmarkStart w:id="82" w:name="Tc_J0sD6rMStEarBHVT8rtBJw_3_5"/>
      <w:bookmarkStart w:id="83" w:name="Tc_akxjnhYyzkasGEnYSbkc9Q_2_5"/>
      <w:bookmarkStart w:id="84" w:name="Tc_6DBAv_HrvUWQMDnXJtMx5g_2_2"/>
      <w:bookmarkStart w:id="85" w:name="Tc_PZ84ooq3UEq-KcHV-mZB3A_2_0"/>
      <w:bookmarkStart w:id="86" w:name="Tc_qvFRgAjFn0miHt3XUoz-Sw_1_5"/>
      <w:bookmarkStart w:id="87" w:name="Tc_ZmGO-eCEm0KLrIixfeBkKA_1_2"/>
      <w:bookmarkStart w:id="88" w:name="_2c34fea5_ee40_4591_9eee_afce93baf5f9"/>
      <w:bookmarkStart w:id="89" w:name="Tc_pY0kyKmL8k2_fhBElpRnkA_44_5"/>
      <w:bookmarkStart w:id="90" w:name="Tc_kE3srqMKtEKbPOYBaA3lYg_44_2"/>
      <w:bookmarkStart w:id="91" w:name="Tc_JGGr9AX9_UCMysEz7HrErg_44_0"/>
      <w:bookmarkStart w:id="92" w:name="Tc_d3sTpJ7lcU6D13jbbyM95A_43_0"/>
      <w:bookmarkStart w:id="93" w:name="Tc_EyCN5v4GNE6toXVtfa6zKg_42_0"/>
      <w:bookmarkStart w:id="94" w:name="Tc_5R8MfHel80WR2l5E7F6HXg_41_0"/>
      <w:bookmarkStart w:id="95" w:name="Tc_ftkgnaOz8EmXluxPwsKe1g_40_0"/>
      <w:bookmarkStart w:id="96" w:name="Tc_PautrYSvF0WblWj63GWImQ_39_0"/>
      <w:bookmarkStart w:id="97" w:name="Tc_hlveiNawUUOGv_P41pysZA_38_0"/>
      <w:bookmarkStart w:id="98" w:name="Tc_Tm7T-sIQJUSeUHup7D7OXQ_36_0"/>
      <w:bookmarkStart w:id="99" w:name="Tc_g6HOav7eLUK6Ix_43nlVUw_35_0"/>
      <w:bookmarkStart w:id="100" w:name="Tc_9GMRv6gbTUOD9A5SJ5GekQ_34_0"/>
      <w:bookmarkStart w:id="101" w:name="Tc_rB1_LwfqCUqKtE4fMTB7sw_33_0"/>
      <w:bookmarkStart w:id="102" w:name="Tc_VV2fwdxQmky2lDwvZ5cZsA_31_0"/>
      <w:bookmarkStart w:id="103" w:name="Tc_5Xi8Tak1-UaCiIAU_MoUxQ_30_0"/>
      <w:bookmarkStart w:id="104" w:name="Tc_Ur__jvH96k6YN_mnmmooAA_29_5"/>
      <w:bookmarkStart w:id="105" w:name="Tc_M6jv0JzedUmVbRYQXFgleA_29_2"/>
      <w:bookmarkStart w:id="106" w:name="Tc_c60Mcu59Vk-BGR9ZZU22uA_29_0"/>
      <w:bookmarkStart w:id="107" w:name="Tc_VQHFsuCOXEqs1qRt55DRPA_28_0"/>
      <w:bookmarkStart w:id="108" w:name="Tc_djhvnHd5TUWiFMBJ1t40Og_27_0"/>
      <w:bookmarkStart w:id="109" w:name="Tc_u9uNWPvq9UyBIWtppF1QEw_25_5"/>
      <w:bookmarkStart w:id="110" w:name="Tc_EAnRnnZURky2EhRzs9GdJw_25_2"/>
      <w:bookmarkStart w:id="111" w:name="Tc_ZxL-vM9pBEidh2CWqkwwiA_25_0"/>
      <w:bookmarkStart w:id="112" w:name="Tc_lZK0TiBryUuqKKv7G3Ep8g_24_0"/>
      <w:bookmarkStart w:id="113" w:name="Tc_J65PAEDk00iF2nAZouZVQg_23_0"/>
      <w:bookmarkStart w:id="114" w:name="Tc_1eeMhcZ8pkmYTOckD_3zXA_21_0"/>
      <w:bookmarkStart w:id="115" w:name="Tc_ibnRKJdgHE-omFRIhmJI-g_20_0"/>
      <w:bookmarkStart w:id="116" w:name="Tc_IvRkeR2Ur0KCR_SzMkGRqQ_19_0"/>
      <w:bookmarkStart w:id="117" w:name="Tc_Cnn665jwMk2lhrmxU4orBg_18_0"/>
      <w:bookmarkStart w:id="118" w:name="Tc_t6V_UyNXdkmjDqpPVf04nQ_17_0"/>
      <w:bookmarkStart w:id="119" w:name="Tc_SlU7TZ-dsEiqt8o5KaA8Fg_15_0"/>
      <w:bookmarkStart w:id="120" w:name="Tc_BLIG7kuRL0q2PZO56tFCZw_14_0"/>
      <w:bookmarkStart w:id="121" w:name="Tc_Qbe-E-PlxEG66nZ5juz-6Q_13_0"/>
      <w:bookmarkStart w:id="122" w:name="Tc_tn5VKUwGaU-u6rdgJR4fTg_12_0"/>
      <w:bookmarkStart w:id="123" w:name="Tc_F9W-0QGMUki8d_NUCdkpWw_11_0"/>
      <w:bookmarkStart w:id="124" w:name="Tc_WPUHAC0FUkWumxfnU5c0IA_9_0"/>
      <w:bookmarkStart w:id="125" w:name="Tc_y90vap9mw0u93pyC_U0eAg_8_0"/>
      <w:bookmarkStart w:id="126" w:name="Tc_UyN-8jZGGki57RxNfMiosQ_7_0"/>
      <w:bookmarkStart w:id="127" w:name="Tc_ukED1ybY2Em0o9GLCV-d6w_6_0"/>
      <w:bookmarkStart w:id="128" w:name="Tc_iI5y7yRegECH0Ng0yYSalg_5_5"/>
      <w:bookmarkStart w:id="129" w:name="Tc_WAK6i9qhnE6_CJKAuCsS7g_5_2"/>
      <w:bookmarkStart w:id="130" w:name="Tc_rEKx7oWAMEuMWSUZEo5VJw_5_0"/>
      <w:bookmarkStart w:id="131" w:name="Tc_3q3zFizvek2uM37OYidTYA_4_0"/>
      <w:bookmarkStart w:id="132" w:name="Tc_J0sD6rMStEarBHVT8rtBJw_3_5"/>
      <w:bookmarkStart w:id="133" w:name="Tc_akxjnhYyzkasGEnYSbkc9Q_2_5"/>
      <w:bookmarkStart w:id="134" w:name="Tc_6DBAv_HrvUWQMDnXJtMx5g_2_2"/>
      <w:bookmarkStart w:id="135" w:name="Tc_PZ84ooq3UEq-KcHV-mZB3A_2_0"/>
      <w:bookmarkStart w:id="136" w:name="Tc_qvFRgAjFn0miHt3XUoz-Sw_1_5"/>
      <w:bookmarkStart w:id="137" w:name="Tc_ZmGO-eCEm0KLrIixfeBkKA_1_2"/>
      <w:bookmarkStart w:id="138" w:name="_2c34fea5_ee40_4591_9eee_afce93baf5f9"/>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7276" w:type="dxa"/>
        <w:jc w:val="left"/>
        <w:tblInd w:w="0" w:type="dxa"/>
        <w:tblLayout w:type="fixed"/>
        <w:tblCellMar>
          <w:top w:w="0" w:type="dxa"/>
          <w:left w:w="0" w:type="dxa"/>
          <w:bottom w:w="0" w:type="dxa"/>
          <w:right w:w="0" w:type="dxa"/>
        </w:tblCellMar>
      </w:tblPr>
      <w:tblGrid>
        <w:gridCol w:w="4321"/>
        <w:gridCol w:w="146"/>
        <w:gridCol w:w="277"/>
        <w:gridCol w:w="1028"/>
        <w:gridCol w:w="109"/>
        <w:gridCol w:w="268"/>
        <w:gridCol w:w="1127"/>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743835" cy="175260"/>
                      <wp:effectExtent l="0" t="0" r="0" b="0"/>
                      <wp:wrapNone/>
                      <wp:docPr id="9" name="Frame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710" cy="175260"/>
                      <wp:effectExtent l="0" t="0" r="0" b="0"/>
                      <wp:wrapNone/>
                      <wp:docPr id="10" name="Frame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75895" cy="175260"/>
                      <wp:effectExtent l="0" t="0" r="0" b="0"/>
                      <wp:wrapNone/>
                      <wp:docPr id="11" name="Frame1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2780" cy="175260"/>
                      <wp:effectExtent l="0" t="0" r="0" b="0"/>
                      <wp:wrapNone/>
                      <wp:docPr id="12" name="Frame12"/>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70180" cy="175260"/>
                      <wp:effectExtent l="0" t="0" r="0" b="0"/>
                      <wp:wrapNone/>
                      <wp:docPr id="14" name="Frame1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15645" cy="175260"/>
                      <wp:effectExtent l="0" t="0" r="0" b="0"/>
                      <wp:wrapNone/>
                      <wp:docPr id="15" name="Frame15"/>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109"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4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09" w:type="dxa"/>
            <w:tcBorders/>
            <w:vAlign w:val="center"/>
          </w:tcPr>
          <w:p>
            <w:pPr>
              <w:pStyle w:val="TableContents"/>
              <w:bidi w:val="0"/>
              <w:spacing w:before="0" w:after="1"/>
              <w:ind w:left="0" w:right="0" w:hanging="0"/>
              <w:jc w:val="center"/>
              <w:rPr/>
            </w:pPr>
            <w:r>
              <w:rPr/>
              <w:t>​</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32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277" w:type="dxa"/>
            <w:tcBorders/>
            <w:vAlign w:val="center"/>
          </w:tcPr>
          <w:p>
            <w:pPr>
              <w:pStyle w:val="TableContents"/>
              <w:bidi w:val="0"/>
              <w:spacing w:before="0" w:after="1"/>
              <w:ind w:left="0" w:right="0" w:hanging="0"/>
              <w:jc w:val="center"/>
              <w:rPr/>
            </w:pPr>
            <w:r>
              <w:rPr/>
              <w:t>​</w:t>
            </w:r>
          </w:p>
        </w:tc>
        <w:tc>
          <w:tcPr>
            <w:tcW w:w="10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60,782</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46,268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14,113</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17,862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28,366</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30,951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2,035</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2,197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105,296</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97,278</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9,300</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8,100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23,742</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23,742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33,722</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32,464</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5,390</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5,390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23,262</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23,272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75,605</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77,757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540</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104,846</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106,959</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80,820</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82,977</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24,026</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23,982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163,044</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153,724</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vAlign w:val="center"/>
          </w:tcPr>
          <w:p>
            <w:pPr>
              <w:pStyle w:val="TableContents"/>
              <w:bidi w:val="0"/>
              <w:spacing w:before="0" w:after="1"/>
              <w:ind w:left="0" w:right="0" w:hanging="0"/>
              <w:jc w:val="center"/>
              <w:rPr/>
            </w:pPr>
            <w:r>
              <w:rPr/>
              <w:t>​</w:t>
            </w:r>
          </w:p>
        </w:tc>
        <w:tc>
          <w:tcPr>
            <w:tcW w:w="277" w:type="dxa"/>
            <w:tcBorders/>
            <w:vAlign w:val="center"/>
          </w:tcPr>
          <w:p>
            <w:pPr>
              <w:pStyle w:val="TableContents"/>
              <w:bidi w:val="0"/>
              <w:spacing w:before="0" w:after="1"/>
              <w:ind w:left="0" w:right="0" w:hanging="0"/>
              <w:jc w:val="center"/>
              <w:rPr/>
            </w:pPr>
            <w:r>
              <w:rPr/>
              <w:t>​</w:t>
            </w:r>
          </w:p>
        </w:tc>
        <w:tc>
          <w:tcPr>
            <w:tcW w:w="10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68" w:type="dxa"/>
            <w:tcBorders/>
            <w:vAlign w:val="center"/>
          </w:tcPr>
          <w:p>
            <w:pPr>
              <w:pStyle w:val="TableContents"/>
              <w:bidi w:val="0"/>
              <w:spacing w:before="0" w:after="1"/>
              <w:ind w:left="0" w:right="0" w:hanging="0"/>
              <w:jc w:val="center"/>
              <w:rPr/>
            </w:pPr>
            <w:r>
              <w:rPr/>
              <w:t>​</w:t>
            </w:r>
          </w:p>
        </w:tc>
        <w:tc>
          <w:tcPr>
            <w:tcW w:w="1127" w:type="dxa"/>
            <w:tcBorders/>
            <w:vAlign w:val="center"/>
          </w:tcPr>
          <w:p>
            <w:pPr>
              <w:pStyle w:val="TableContents"/>
              <w:bidi w:val="0"/>
              <w:spacing w:before="0" w:after="1"/>
              <w:ind w:left="0" w:right="0" w:hanging="0"/>
              <w:jc w:val="center"/>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4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14,971</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14,052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 to affiliate</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1,116</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15,775</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15,168</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liabilities: </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900</w:t>
            </w:r>
          </w:p>
        </w:tc>
      </w:tr>
      <w:tr>
        <w:trPr/>
        <w:tc>
          <w:tcPr>
            <w:tcW w:w="43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common stock</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53,396</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53,513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92,626</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84,020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146,145</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137,656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163,044</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153,724</w:t>
            </w:r>
          </w:p>
        </w:tc>
      </w:tr>
    </w:tbl>
    <w:p>
      <w:pPr>
        <w:pStyle w:val="TextBody"/>
        <w:bidi w:val="0"/>
        <w:spacing w:before="160" w:after="0"/>
        <w:ind w:left="0" w:right="0" w:hanging="0"/>
        <w:jc w:val="both"/>
        <w:rPr>
          <w:rFonts w:ascii="Times New Roman;Times;serif" w:hAnsi="Times New Roman;Times;serif"/>
          <w:sz w:val="20"/>
        </w:rPr>
      </w:pPr>
      <w:r>
        <w:rPr>
          <w:rFonts w:ascii="Times New Roman;Times;serif" w:hAnsi="Times New Roman;Times;serif"/>
          <w:sz w:val="20"/>
        </w:rPr>
        <w:t>Commitments and contingencies (Note 7)</w:t>
      </w:r>
    </w:p>
    <w:p>
      <w:pPr>
        <w:pStyle w:val="TextBody"/>
        <w:bidi w:val="0"/>
        <w:spacing w:before="0" w:after="240"/>
        <w:ind w:left="0" w:right="0" w:hanging="0"/>
        <w:jc w:val="both"/>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39" w:name="_126df94e_c8ee_4821_acbf_aca07b71fda0"/>
      <w:bookmarkEnd w:id="139"/>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140" w:name="CONDENSEDCONSOLIDATEDSTATEMENTSOFINCOME_"/>
      <w:bookmarkEnd w:id="140"/>
      <w:r>
        <w:rPr>
          <w:rFonts w:ascii="Times New Roman;Times;serif" w:hAnsi="Times New Roman;Times;serif"/>
          <w:b/>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1" w:name="Tc_Gg09hUN62UWrKSvySI_L7Q_21_0"/>
      <w:bookmarkStart w:id="142" w:name="Tc_54kEiQRVaEOAnMWoF12iYw_19_11"/>
      <w:bookmarkStart w:id="143" w:name="Tc_u87LWv_epEaTd9m0k5HBBQ_19_8"/>
      <w:bookmarkStart w:id="144" w:name="Tc_y6B3rYHsWEqzX-vdYm-fCQ_19_5"/>
      <w:bookmarkStart w:id="145" w:name="Tc_pnJctqiTD0OldIC0coBPGA_19_2"/>
      <w:bookmarkStart w:id="146" w:name="Tc_AHPFfifL3k2qWaJeaw12Aw_19_0"/>
      <w:bookmarkStart w:id="147" w:name="Tc_oAKRVK2W50ytWZ2vAATMgg_17_11"/>
      <w:bookmarkStart w:id="148" w:name="Tc_PiFE53Dk6kOOdxtS6D-Z8g_17_8"/>
      <w:bookmarkStart w:id="149" w:name="Tc_OckQdOovJ02iQqwYrgqKUg_17_5"/>
      <w:bookmarkStart w:id="150" w:name="Tc_N-1r0u82ekWXEwuD95JMRg_17_2"/>
      <w:bookmarkStart w:id="151" w:name="Tc_k6J9TE_s2UOPrktp5dul4w_17_0"/>
      <w:bookmarkStart w:id="152" w:name="Tc_kekKFkdXXUaQYL6ZLVEkHg_16_12"/>
      <w:bookmarkStart w:id="153" w:name="Tc_mS8e141tIEenBrq-9QTjsg_16_6"/>
      <w:bookmarkStart w:id="154" w:name="Tc_Q1hhvnDiMEO7y9L2pGBwiw_16_0"/>
      <w:bookmarkStart w:id="155" w:name="Tc_fC-2J9V4qkytmiarSbvo1Q_15_0"/>
      <w:bookmarkStart w:id="156" w:name="Tc_Op84Jih_LUWZCZETct6L6A_13_11"/>
      <w:bookmarkStart w:id="157" w:name="Tc_2v3zhiO2Z0K3fB9vVTqXiQ_13_8"/>
      <w:bookmarkStart w:id="158" w:name="Tc_NuiHMRsNwkS8zp5Nj0TjcQ_13_5"/>
      <w:bookmarkStart w:id="159" w:name="Tc_IQetMgA40USbpa5I10EzVw_13_2"/>
      <w:bookmarkStart w:id="160" w:name="Tc_3WsHpW0sxUqby_GH8xkESQ_13_0"/>
      <w:bookmarkStart w:id="161" w:name="Tc_dLkulLK9ek26Kwcfdg-Yrg_12_0"/>
      <w:bookmarkStart w:id="162" w:name="Tc_mLw1hfdHokywcV-hOUpAoA_11_0"/>
      <w:bookmarkStart w:id="163" w:name="Tc_zqMhR0tUnUqifhpajNVhkQ_10_0"/>
      <w:bookmarkStart w:id="164" w:name="Tc_-ECX5nd57E2ZuiGrgSBYxQ_9_0"/>
      <w:bookmarkStart w:id="165" w:name="Tc_7fCPAwlYfEWXsBbY-gTeyw_8_0"/>
      <w:bookmarkStart w:id="166" w:name="Tc_PyFcsayuZ06iOAhrczJLDg_7_0"/>
      <w:bookmarkStart w:id="167" w:name="Tc_t8lEVo3y3ES65lHMbMFnCw_6_0"/>
      <w:bookmarkStart w:id="168" w:name="Tc_hom_xRojT0e6Lz9kKVvj7A_5_11"/>
      <w:bookmarkStart w:id="169" w:name="Tc_4Fpo4A3TD0inqKptWhdj-w_5_8"/>
      <w:bookmarkStart w:id="170" w:name="Tc_i7uJFHaQ8k-N6p5YYljbqg_5_5"/>
      <w:bookmarkStart w:id="171" w:name="Tc_L-fGoL2Mj0yuU23xfZn1LQ_5_2"/>
      <w:bookmarkStart w:id="172" w:name="Tc_PkdCvibfJEOImqgiDdB-kg_5_0"/>
      <w:bookmarkStart w:id="173" w:name="Tc_CcuhqKSnCUCxit_bLi3X9Q_4_2"/>
      <w:bookmarkStart w:id="174" w:name="Tc_wqUSWAQZU0mK-PScBUCTPQ_3_11"/>
      <w:bookmarkStart w:id="175" w:name="Tc_vdNluC4Cpk2kWL5ZkpKHXw_3_8"/>
      <w:bookmarkStart w:id="176" w:name="Tc_rUNkvYD2M0K-uHpDz3BG5A_3_5"/>
      <w:bookmarkStart w:id="177" w:name="Tc_YKpEQJ7RokG8_Eo_T1mz_A_3_2"/>
      <w:bookmarkStart w:id="178" w:name="Tc_KSzMPxx5UkGTGgLKmdAovA_2_8"/>
      <w:bookmarkStart w:id="179" w:name="Tc_IUvcldF-uUWq51njUUPYbw_2_2"/>
      <w:bookmarkStart w:id="180" w:name="Tc_Iex6HROXYkyh5qh1vEH-fQ_1_8"/>
      <w:bookmarkStart w:id="181" w:name="Tc_TWhsAM5kikOwvdOEyb-M_g_1_2"/>
      <w:bookmarkStart w:id="182" w:name="_1bb9a386_f534_4ef4_bdda_41776febe312"/>
      <w:bookmarkStart w:id="183" w:name="_f10f942f_5a77_40e9_b2b0_0f5b3a139500"/>
      <w:bookmarkStart w:id="184" w:name="Tc_Gg09hUN62UWrKSvySI_L7Q_21_0"/>
      <w:bookmarkStart w:id="185" w:name="Tc_54kEiQRVaEOAnMWoF12iYw_19_11"/>
      <w:bookmarkStart w:id="186" w:name="Tc_u87LWv_epEaTd9m0k5HBBQ_19_8"/>
      <w:bookmarkStart w:id="187" w:name="Tc_y6B3rYHsWEqzX-vdYm-fCQ_19_5"/>
      <w:bookmarkStart w:id="188" w:name="Tc_pnJctqiTD0OldIC0coBPGA_19_2"/>
      <w:bookmarkStart w:id="189" w:name="Tc_AHPFfifL3k2qWaJeaw12Aw_19_0"/>
      <w:bookmarkStart w:id="190" w:name="Tc_oAKRVK2W50ytWZ2vAATMgg_17_11"/>
      <w:bookmarkStart w:id="191" w:name="Tc_PiFE53Dk6kOOdxtS6D-Z8g_17_8"/>
      <w:bookmarkStart w:id="192" w:name="Tc_OckQdOovJ02iQqwYrgqKUg_17_5"/>
      <w:bookmarkStart w:id="193" w:name="Tc_N-1r0u82ekWXEwuD95JMRg_17_2"/>
      <w:bookmarkStart w:id="194" w:name="Tc_k6J9TE_s2UOPrktp5dul4w_17_0"/>
      <w:bookmarkStart w:id="195" w:name="Tc_kekKFkdXXUaQYL6ZLVEkHg_16_12"/>
      <w:bookmarkStart w:id="196" w:name="Tc_mS8e141tIEenBrq-9QTjsg_16_6"/>
      <w:bookmarkStart w:id="197" w:name="Tc_Q1hhvnDiMEO7y9L2pGBwiw_16_0"/>
      <w:bookmarkStart w:id="198" w:name="Tc_fC-2J9V4qkytmiarSbvo1Q_15_0"/>
      <w:bookmarkStart w:id="199" w:name="Tc_Op84Jih_LUWZCZETct6L6A_13_11"/>
      <w:bookmarkStart w:id="200" w:name="Tc_2v3zhiO2Z0K3fB9vVTqXiQ_13_8"/>
      <w:bookmarkStart w:id="201" w:name="Tc_NuiHMRsNwkS8zp5Nj0TjcQ_13_5"/>
      <w:bookmarkStart w:id="202" w:name="Tc_IQetMgA40USbpa5I10EzVw_13_2"/>
      <w:bookmarkStart w:id="203" w:name="Tc_3WsHpW0sxUqby_GH8xkESQ_13_0"/>
      <w:bookmarkStart w:id="204" w:name="Tc_dLkulLK9ek26Kwcfdg-Yrg_12_0"/>
      <w:bookmarkStart w:id="205" w:name="Tc_mLw1hfdHokywcV-hOUpAoA_11_0"/>
      <w:bookmarkStart w:id="206" w:name="Tc_zqMhR0tUnUqifhpajNVhkQ_10_0"/>
      <w:bookmarkStart w:id="207" w:name="Tc_-ECX5nd57E2ZuiGrgSBYxQ_9_0"/>
      <w:bookmarkStart w:id="208" w:name="Tc_7fCPAwlYfEWXsBbY-gTeyw_8_0"/>
      <w:bookmarkStart w:id="209" w:name="Tc_PyFcsayuZ06iOAhrczJLDg_7_0"/>
      <w:bookmarkStart w:id="210" w:name="Tc_t8lEVo3y3ES65lHMbMFnCw_6_0"/>
      <w:bookmarkStart w:id="211" w:name="Tc_hom_xRojT0e6Lz9kKVvj7A_5_11"/>
      <w:bookmarkStart w:id="212" w:name="Tc_4Fpo4A3TD0inqKptWhdj-w_5_8"/>
      <w:bookmarkStart w:id="213" w:name="Tc_i7uJFHaQ8k-N6p5YYljbqg_5_5"/>
      <w:bookmarkStart w:id="214" w:name="Tc_L-fGoL2Mj0yuU23xfZn1LQ_5_2"/>
      <w:bookmarkStart w:id="215" w:name="Tc_PkdCvibfJEOImqgiDdB-kg_5_0"/>
      <w:bookmarkStart w:id="216" w:name="Tc_CcuhqKSnCUCxit_bLi3X9Q_4_2"/>
      <w:bookmarkStart w:id="217" w:name="Tc_wqUSWAQZU0mK-PScBUCTPQ_3_11"/>
      <w:bookmarkStart w:id="218" w:name="Tc_vdNluC4Cpk2kWL5ZkpKHXw_3_8"/>
      <w:bookmarkStart w:id="219" w:name="Tc_rUNkvYD2M0K-uHpDz3BG5A_3_5"/>
      <w:bookmarkStart w:id="220" w:name="Tc_YKpEQJ7RokG8_Eo_T1mz_A_3_2"/>
      <w:bookmarkStart w:id="221" w:name="Tc_KSzMPxx5UkGTGgLKmdAovA_2_8"/>
      <w:bookmarkStart w:id="222" w:name="Tc_IUvcldF-uUWq51njUUPYbw_2_2"/>
      <w:bookmarkStart w:id="223" w:name="Tc_Iex6HROXYkyh5qh1vEH-fQ_1_8"/>
      <w:bookmarkStart w:id="224" w:name="Tc_TWhsAM5kikOwvdOEyb-M_g_1_2"/>
      <w:bookmarkStart w:id="225" w:name="_1bb9a386_f534_4ef4_bdda_41776febe312"/>
      <w:bookmarkStart w:id="226" w:name="_f10f942f_5a77_40e9_b2b0_0f5b3a139500"/>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bl>
      <w:tblPr>
        <w:tblW w:w="10205" w:type="dxa"/>
        <w:jc w:val="left"/>
        <w:tblInd w:w="0" w:type="dxa"/>
        <w:tblLayout w:type="fixed"/>
        <w:tblCellMar>
          <w:top w:w="0" w:type="dxa"/>
          <w:left w:w="0" w:type="dxa"/>
          <w:bottom w:w="0" w:type="dxa"/>
          <w:right w:w="0" w:type="dxa"/>
        </w:tblCellMar>
      </w:tblPr>
      <w:tblGrid>
        <w:gridCol w:w="5098"/>
        <w:gridCol w:w="326"/>
        <w:gridCol w:w="211"/>
        <w:gridCol w:w="676"/>
        <w:gridCol w:w="326"/>
        <w:gridCol w:w="211"/>
        <w:gridCol w:w="676"/>
        <w:gridCol w:w="326"/>
        <w:gridCol w:w="211"/>
        <w:gridCol w:w="781"/>
        <w:gridCol w:w="326"/>
        <w:gridCol w:w="211"/>
        <w:gridCol w:w="826"/>
      </w:tblGrid>
      <w:tr>
        <w:trPr/>
        <w:tc>
          <w:tcPr>
            <w:tcW w:w="5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237230" cy="175260"/>
                      <wp:effectExtent l="0" t="0" r="0" b="0"/>
                      <wp:wrapNone/>
                      <wp:docPr id="16" name="Frame16"/>
                      <a:graphic xmlns:a="http://schemas.openxmlformats.org/drawingml/2006/main">
                        <a:graphicData uri="http://schemas.microsoft.com/office/word/2010/wordprocessingShape">
                          <wps:wsp>
                            <wps:cNvSpPr txBox="1"/>
                            <wps:spPr>
                              <a:xfrm>
                                <a:off x="0" y="0"/>
                                <a:ext cx="3237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29260" cy="175260"/>
                      <wp:effectExtent l="0" t="0" r="0" b="0"/>
                      <wp:wrapNone/>
                      <wp:docPr id="19" name="Frame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95935" cy="175260"/>
                      <wp:effectExtent l="0" t="0" r="0" b="0"/>
                      <wp:wrapNone/>
                      <wp:docPr id="25" name="Frame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4510" cy="175260"/>
                      <wp:effectExtent l="0" t="0" r="0" b="0"/>
                      <wp:wrapNone/>
                      <wp:docPr id="28" name="Frame2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81"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39,950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120,588</w:t>
            </w:r>
          </w:p>
        </w:tc>
      </w:tr>
      <w:tr>
        <w:trPr/>
        <w:tc>
          <w:tcPr>
            <w:tcW w:w="50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28,921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84,506</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36,082</w:t>
            </w:r>
          </w:p>
        </w:tc>
      </w:tr>
      <w:tr>
        <w:trPr/>
        <w:tc>
          <w:tcPr>
            <w:tcW w:w="50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19,132</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16,950</w:t>
            </w:r>
          </w:p>
        </w:tc>
      </w:tr>
      <w:tr>
        <w:trPr/>
        <w:tc>
          <w:tcPr>
            <w:tcW w:w="50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2,519</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19,469</w:t>
            </w:r>
          </w:p>
        </w:tc>
      </w:tr>
      <w:tr>
        <w:trPr/>
        <w:tc>
          <w:tcPr>
            <w:tcW w:w="50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4,663</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14,806</w:t>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r>
      <w:tr>
        <w:trPr/>
        <w:tc>
          <w:tcPr>
            <w:tcW w:w="509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marketable securities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50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income arising during year,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14,806</w:t>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income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w:t>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12,321</w:t>
            </w:r>
          </w:p>
        </w:tc>
      </w:tr>
    </w:tbl>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27" w:name="_70bc5cb5_aabf_4d84_a4fd_8092044a681a"/>
      <w:bookmarkEnd w:id="227"/>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228" w:name="CONDENSEDCONSOLIDATEDSTATEMENTSOFSTOCKHO"/>
      <w:bookmarkStart w:id="229" w:name="CONDENSEDCONSOLIDATEDSTATEMENTOFEQUITY"/>
      <w:bookmarkEnd w:id="228"/>
      <w:bookmarkEnd w:id="229"/>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0" w:name="Tc_HHwZiUtC20mYlCD2z_zsWA_15_14"/>
      <w:bookmarkStart w:id="231" w:name="Tc__3ILNDC9JUyGREauxWmagg_15_12"/>
      <w:bookmarkStart w:id="232" w:name="Tc_ll-fajQb2UWDNF1pSSZkhw_15_11"/>
      <w:bookmarkStart w:id="233" w:name="Tc_WjtUVsGivkK7eDouA9yqvw_15_8"/>
      <w:bookmarkStart w:id="234" w:name="Tc_0bDz6vsScki8g3PVDqBbIg_15_5"/>
      <w:bookmarkStart w:id="235" w:name="Tc_zbRIxoKhbE2V7lNksxOh9A_15_2"/>
      <w:bookmarkStart w:id="236" w:name="Tc_QJIGHafEFkCKCLz_gRFGEw_15_0"/>
      <w:bookmarkStart w:id="237" w:name="Tc_U9QjFUpOOEK0erMpN17qsA_14_12"/>
      <w:bookmarkStart w:id="238" w:name="Tc_BHhQgAbFiE-A0W2bCfXknA_14_6"/>
      <w:bookmarkStart w:id="239" w:name="Tc_kCuYziHVVESv9Fb8ZVeBAw_14_3"/>
      <w:bookmarkStart w:id="240" w:name="Tc_HAfJRsnfOUe2HPZzWTmmqw_14_0"/>
      <w:bookmarkStart w:id="241" w:name="Tc_n7bgGTcWMUyBIEA4xQQAsA_13_0"/>
      <w:bookmarkStart w:id="242" w:name="Tc_h8k-enP4yEq0LQbZ2-xlIA_12_14"/>
      <w:bookmarkStart w:id="243" w:name="Tc_u7GXOnav1Uy_FGQIqggw5A_12_12"/>
      <w:bookmarkStart w:id="244" w:name="Tc_CvPkmTvBcUagIxbdpTSusQ_12_11"/>
      <w:bookmarkStart w:id="245" w:name="Tc_Xf7623iOTkuENsVJfEi0xw_12_8"/>
      <w:bookmarkStart w:id="246" w:name="Tc_jtLpE-rRkEeic9z0jAWOng_12_5"/>
      <w:bookmarkStart w:id="247" w:name="Tc_tUu_tzpIF0usniRN6b20hA_12_2"/>
      <w:bookmarkStart w:id="248" w:name="Tc_LX6PrcdeOEuphvAXfhkrBg_12_0"/>
      <w:bookmarkStart w:id="249" w:name="Tc__w2vwA_k_EOZWi1fvbhWXQ_10_14"/>
      <w:bookmarkStart w:id="250" w:name="Tc_6ogCu4_7A06aZS2pox9_qQ_10_12"/>
      <w:bookmarkStart w:id="251" w:name="Tc_W4FZFAjuHUWfl02C0gxJKg_10_11"/>
      <w:bookmarkStart w:id="252" w:name="Tc_Yyszf_rVnE2JVx5Knt0Arg_10_8"/>
      <w:bookmarkStart w:id="253" w:name="Tc_gHq23UFosE-Z7vWGxtcP0Q_10_5"/>
      <w:bookmarkStart w:id="254" w:name="Tc_fMqZxgreiUeGVUU9Ch75mw_10_2"/>
      <w:bookmarkStart w:id="255" w:name="Tc_zUFnfTv3FEW6Vc27I3IKSg_10_0"/>
      <w:bookmarkStart w:id="256" w:name="Tc_r1V414VP-kOnGEkED7_SIA_9_9"/>
      <w:bookmarkStart w:id="257" w:name="Tc_9HII2wCM9UGK5QRk_Be6Dw_9_6"/>
      <w:bookmarkStart w:id="258" w:name="Tc_uhpTfZOo20GqwNXGPEpAjg_9_3"/>
      <w:bookmarkStart w:id="259" w:name="Tc_58N88Zs5DEu8hAz_N-9s8w_9_0"/>
      <w:bookmarkStart w:id="260" w:name="Tc_HW3pDTY6rUSwupz_bIl9hA_8_12"/>
      <w:bookmarkStart w:id="261" w:name="Tc_BGeRMhLRnU2CdL5ZqNAiTw_8_6"/>
      <w:bookmarkStart w:id="262" w:name="Tc_tJOZeWHuxkSTI6Mg6vZkBA_8_3"/>
      <w:bookmarkStart w:id="263" w:name="Tc_TQZ5S_2v3E-p6sOiASV87w_8_0"/>
      <w:bookmarkStart w:id="264" w:name="Tc_L1uLnwjiUEOs5Mg-Whuxnw_7_12"/>
      <w:bookmarkStart w:id="265" w:name="Tc_Oo44SYuC90OT5I-NYFMKxQ_7_6"/>
      <w:bookmarkStart w:id="266" w:name="Tc_D8nDq19x3ke_erclXPtAqg_7_3"/>
      <w:bookmarkStart w:id="267" w:name="Tc_aE4EzaEHLEawZKCC_ceGPA_7_0"/>
      <w:bookmarkStart w:id="268" w:name="Tc_6E2oPasQR0SAOK6Pkk5yuQ_6_14"/>
      <w:bookmarkStart w:id="269" w:name="Tc_sGNNuazogU-TfWL8JFAKjQ_6_11"/>
      <w:bookmarkStart w:id="270" w:name="Tc_sWKMwPlzVUudUA6W6lVysg_6_8"/>
      <w:bookmarkStart w:id="271" w:name="Tc_gGXKXzjDgkigibnABTyebQ_6_5"/>
      <w:bookmarkStart w:id="272" w:name="Tc_hmFLz-BSiEW1bXt8xQNghA_6_2"/>
      <w:bookmarkStart w:id="273" w:name="Tc_DIuYFIjVskOMuufaIEPLZw_6_0"/>
      <w:bookmarkStart w:id="274" w:name="Tc_-XZkUccAXU-U9iNMPEne6Q_5_14"/>
      <w:bookmarkStart w:id="275" w:name="Tc_8vZzWunpekOsCdWVpV6xrg_5_11"/>
      <w:bookmarkStart w:id="276" w:name="Tc_bH57VDXm-Uac23V89MJkWQ_5_8"/>
      <w:bookmarkStart w:id="277" w:name="Tc_dzf0Vc8otEiQalYL5yfk0w_5_5"/>
      <w:bookmarkStart w:id="278" w:name="Tc_Out7Pbv17kyKzY4JDt8flw_5_2"/>
      <w:bookmarkStart w:id="279" w:name="Tc_cI3oRzsuak2_6RyYM40R7g_4_14"/>
      <w:bookmarkStart w:id="280" w:name="Tc_MIsPeSEIwEOyxSvo3l1Ptg_4_11"/>
      <w:bookmarkStart w:id="281" w:name="Tc_F0kLE-ExvUq7xKKA5JhTQg_4_8"/>
      <w:bookmarkStart w:id="282" w:name="Tc_qchVfr0QkUSCSXwr-x75dQ_4_5"/>
      <w:bookmarkStart w:id="283" w:name="Tc_N4gFHXtap02ohf8tkU26Kw_4_2"/>
      <w:bookmarkStart w:id="284" w:name="Tc_ROlGKyLk50O2tLQGB6bMEg_3_14"/>
      <w:bookmarkStart w:id="285" w:name="Tc_pvTT7sD6GkCu5AOMrZs_ww_3_11"/>
      <w:bookmarkStart w:id="286" w:name="Tc_tOOazI-eXUyUJt1P4Q4OEQ_3_5"/>
      <w:bookmarkStart w:id="287" w:name="Tc_GCquQaILK0Oy8UXIcto8tA_3_2"/>
      <w:bookmarkStart w:id="288" w:name="Tc_Ym7g2nIwBUifN7AhJz83RA_2_11"/>
      <w:bookmarkStart w:id="289" w:name="Tc_ilF95pxqf0-c62qI0l5upA_1_2"/>
      <w:bookmarkStart w:id="290" w:name="_32cc6987_7d18_47b2_bc2a_e24eabd5e118"/>
      <w:bookmarkStart w:id="291" w:name="Tc_HHwZiUtC20mYlCD2z_zsWA_15_14"/>
      <w:bookmarkStart w:id="292" w:name="Tc__3ILNDC9JUyGREauxWmagg_15_12"/>
      <w:bookmarkStart w:id="293" w:name="Tc_ll-fajQb2UWDNF1pSSZkhw_15_11"/>
      <w:bookmarkStart w:id="294" w:name="Tc_WjtUVsGivkK7eDouA9yqvw_15_8"/>
      <w:bookmarkStart w:id="295" w:name="Tc_0bDz6vsScki8g3PVDqBbIg_15_5"/>
      <w:bookmarkStart w:id="296" w:name="Tc_zbRIxoKhbE2V7lNksxOh9A_15_2"/>
      <w:bookmarkStart w:id="297" w:name="Tc_QJIGHafEFkCKCLz_gRFGEw_15_0"/>
      <w:bookmarkStart w:id="298" w:name="Tc_U9QjFUpOOEK0erMpN17qsA_14_12"/>
      <w:bookmarkStart w:id="299" w:name="Tc_BHhQgAbFiE-A0W2bCfXknA_14_6"/>
      <w:bookmarkStart w:id="300" w:name="Tc_kCuYziHVVESv9Fb8ZVeBAw_14_3"/>
      <w:bookmarkStart w:id="301" w:name="Tc_HAfJRsnfOUe2HPZzWTmmqw_14_0"/>
      <w:bookmarkStart w:id="302" w:name="Tc_n7bgGTcWMUyBIEA4xQQAsA_13_0"/>
      <w:bookmarkStart w:id="303" w:name="Tc_h8k-enP4yEq0LQbZ2-xlIA_12_14"/>
      <w:bookmarkStart w:id="304" w:name="Tc_u7GXOnav1Uy_FGQIqggw5A_12_12"/>
      <w:bookmarkStart w:id="305" w:name="Tc_CvPkmTvBcUagIxbdpTSusQ_12_11"/>
      <w:bookmarkStart w:id="306" w:name="Tc_Xf7623iOTkuENsVJfEi0xw_12_8"/>
      <w:bookmarkStart w:id="307" w:name="Tc_jtLpE-rRkEeic9z0jAWOng_12_5"/>
      <w:bookmarkStart w:id="308" w:name="Tc_tUu_tzpIF0usniRN6b20hA_12_2"/>
      <w:bookmarkStart w:id="309" w:name="Tc_LX6PrcdeOEuphvAXfhkrBg_12_0"/>
      <w:bookmarkStart w:id="310" w:name="Tc__w2vwA_k_EOZWi1fvbhWXQ_10_14"/>
      <w:bookmarkStart w:id="311" w:name="Tc_6ogCu4_7A06aZS2pox9_qQ_10_12"/>
      <w:bookmarkStart w:id="312" w:name="Tc_W4FZFAjuHUWfl02C0gxJKg_10_11"/>
      <w:bookmarkStart w:id="313" w:name="Tc_Yyszf_rVnE2JVx5Knt0Arg_10_8"/>
      <w:bookmarkStart w:id="314" w:name="Tc_gHq23UFosE-Z7vWGxtcP0Q_10_5"/>
      <w:bookmarkStart w:id="315" w:name="Tc_fMqZxgreiUeGVUU9Ch75mw_10_2"/>
      <w:bookmarkStart w:id="316" w:name="Tc_zUFnfTv3FEW6Vc27I3IKSg_10_0"/>
      <w:bookmarkStart w:id="317" w:name="Tc_r1V414VP-kOnGEkED7_SIA_9_9"/>
      <w:bookmarkStart w:id="318" w:name="Tc_9HII2wCM9UGK5QRk_Be6Dw_9_6"/>
      <w:bookmarkStart w:id="319" w:name="Tc_uhpTfZOo20GqwNXGPEpAjg_9_3"/>
      <w:bookmarkStart w:id="320" w:name="Tc_58N88Zs5DEu8hAz_N-9s8w_9_0"/>
      <w:bookmarkStart w:id="321" w:name="Tc_HW3pDTY6rUSwupz_bIl9hA_8_12"/>
      <w:bookmarkStart w:id="322" w:name="Tc_BGeRMhLRnU2CdL5ZqNAiTw_8_6"/>
      <w:bookmarkStart w:id="323" w:name="Tc_tJOZeWHuxkSTI6Mg6vZkBA_8_3"/>
      <w:bookmarkStart w:id="324" w:name="Tc_TQZ5S_2v3E-p6sOiASV87w_8_0"/>
      <w:bookmarkStart w:id="325" w:name="Tc_L1uLnwjiUEOs5Mg-Whuxnw_7_12"/>
      <w:bookmarkStart w:id="326" w:name="Tc_Oo44SYuC90OT5I-NYFMKxQ_7_6"/>
      <w:bookmarkStart w:id="327" w:name="Tc_D8nDq19x3ke_erclXPtAqg_7_3"/>
      <w:bookmarkStart w:id="328" w:name="Tc_aE4EzaEHLEawZKCC_ceGPA_7_0"/>
      <w:bookmarkStart w:id="329" w:name="Tc_6E2oPasQR0SAOK6Pkk5yuQ_6_14"/>
      <w:bookmarkStart w:id="330" w:name="Tc_sGNNuazogU-TfWL8JFAKjQ_6_11"/>
      <w:bookmarkStart w:id="331" w:name="Tc_sWKMwPlzVUudUA6W6lVysg_6_8"/>
      <w:bookmarkStart w:id="332" w:name="Tc_gGXKXzjDgkigibnABTyebQ_6_5"/>
      <w:bookmarkStart w:id="333" w:name="Tc_hmFLz-BSiEW1bXt8xQNghA_6_2"/>
      <w:bookmarkStart w:id="334" w:name="Tc_DIuYFIjVskOMuufaIEPLZw_6_0"/>
      <w:bookmarkStart w:id="335" w:name="Tc_-XZkUccAXU-U9iNMPEne6Q_5_14"/>
      <w:bookmarkStart w:id="336" w:name="Tc_8vZzWunpekOsCdWVpV6xrg_5_11"/>
      <w:bookmarkStart w:id="337" w:name="Tc_bH57VDXm-Uac23V89MJkWQ_5_8"/>
      <w:bookmarkStart w:id="338" w:name="Tc_dzf0Vc8otEiQalYL5yfk0w_5_5"/>
      <w:bookmarkStart w:id="339" w:name="Tc_Out7Pbv17kyKzY4JDt8flw_5_2"/>
      <w:bookmarkStart w:id="340" w:name="Tc_cI3oRzsuak2_6RyYM40R7g_4_14"/>
      <w:bookmarkStart w:id="341" w:name="Tc_MIsPeSEIwEOyxSvo3l1Ptg_4_11"/>
      <w:bookmarkStart w:id="342" w:name="Tc_F0kLE-ExvUq7xKKA5JhTQg_4_8"/>
      <w:bookmarkStart w:id="343" w:name="Tc_qchVfr0QkUSCSXwr-x75dQ_4_5"/>
      <w:bookmarkStart w:id="344" w:name="Tc_N4gFHXtap02ohf8tkU26Kw_4_2"/>
      <w:bookmarkStart w:id="345" w:name="Tc_ROlGKyLk50O2tLQGB6bMEg_3_14"/>
      <w:bookmarkStart w:id="346" w:name="Tc_pvTT7sD6GkCu5AOMrZs_ww_3_11"/>
      <w:bookmarkStart w:id="347" w:name="Tc_tOOazI-eXUyUJt1P4Q4OEQ_3_5"/>
      <w:bookmarkStart w:id="348" w:name="Tc_GCquQaILK0Oy8UXIcto8tA_3_2"/>
      <w:bookmarkStart w:id="349" w:name="Tc_Ym7g2nIwBUifN7AhJz83RA_2_11"/>
      <w:bookmarkStart w:id="350" w:name="Tc_ilF95pxqf0-c62qI0l5upA_1_2"/>
      <w:bookmarkStart w:id="351" w:name="_32cc6987_7d18_47b2_bc2a_e24eabd5e118"/>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tbl>
      <w:tblPr>
        <w:tblW w:w="9750" w:type="dxa"/>
        <w:jc w:val="left"/>
        <w:tblInd w:w="0" w:type="dxa"/>
        <w:tblLayout w:type="fixed"/>
        <w:tblCellMar>
          <w:top w:w="0" w:type="dxa"/>
          <w:left w:w="0" w:type="dxa"/>
          <w:bottom w:w="0" w:type="dxa"/>
          <w:right w:w="0" w:type="dxa"/>
        </w:tblCellMar>
      </w:tblPr>
      <w:tblGrid>
        <w:gridCol w:w="2776"/>
        <w:gridCol w:w="326"/>
        <w:gridCol w:w="280"/>
        <w:gridCol w:w="561"/>
        <w:gridCol w:w="334"/>
        <w:gridCol w:w="239"/>
        <w:gridCol w:w="767"/>
        <w:gridCol w:w="334"/>
        <w:gridCol w:w="216"/>
        <w:gridCol w:w="816"/>
        <w:gridCol w:w="334"/>
        <w:gridCol w:w="522"/>
        <w:gridCol w:w="859"/>
        <w:gridCol w:w="111"/>
        <w:gridCol w:w="244"/>
        <w:gridCol w:w="1031"/>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762760" cy="175260"/>
                      <wp:effectExtent l="0" t="0" r="0" b="0"/>
                      <wp:wrapNone/>
                      <wp:docPr id="29" name="Frame29"/>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77800" cy="175260"/>
                      <wp:effectExtent l="0" t="0" r="0" b="0"/>
                      <wp:wrapNone/>
                      <wp:docPr id="31" name="Frame3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56235" cy="175260"/>
                      <wp:effectExtent l="0" t="0" r="0" b="0"/>
                      <wp:wrapNone/>
                      <wp:docPr id="32" name="Frame32"/>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2090" cy="175260"/>
                      <wp:effectExtent l="0" t="0" r="0" b="0"/>
                      <wp:wrapNone/>
                      <wp:docPr id="33" name="Frame33"/>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1765" cy="175260"/>
                      <wp:effectExtent l="0" t="0" r="0" b="0"/>
                      <wp:wrapNone/>
                      <wp:docPr id="34" name="Frame3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87045" cy="175260"/>
                      <wp:effectExtent l="0" t="0" r="0" b="0"/>
                      <wp:wrapNone/>
                      <wp:docPr id="35" name="Frame35"/>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2090" cy="175260"/>
                      <wp:effectExtent l="0" t="0" r="0" b="0"/>
                      <wp:wrapNone/>
                      <wp:docPr id="36" name="Frame36"/>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7160" cy="175260"/>
                      <wp:effectExtent l="0" t="0" r="0" b="0"/>
                      <wp:wrapNone/>
                      <wp:docPr id="37" name="Frame3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18160" cy="175260"/>
                      <wp:effectExtent l="0" t="0" r="0" b="0"/>
                      <wp:wrapNone/>
                      <wp:docPr id="38" name="Frame38"/>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2090" cy="175260"/>
                      <wp:effectExtent l="0" t="0" r="0" b="0"/>
                      <wp:wrapNone/>
                      <wp:docPr id="39" name="Frame39"/>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31470" cy="175260"/>
                      <wp:effectExtent l="0" t="0" r="0" b="0"/>
                      <wp:wrapNone/>
                      <wp:docPr id="40" name="Frame40"/>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45465" cy="175260"/>
                      <wp:effectExtent l="0" t="0" r="0" b="0"/>
                      <wp:wrapNone/>
                      <wp:docPr id="41" name="Frame41"/>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0485" cy="175260"/>
                      <wp:effectExtent l="0" t="0" r="0" b="0"/>
                      <wp:wrapNone/>
                      <wp:docPr id="42" name="Frame42"/>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4940" cy="175260"/>
                      <wp:effectExtent l="0" t="0" r="0" b="0"/>
                      <wp:wrapNone/>
                      <wp:docPr id="43" name="Frame4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54685" cy="175260"/>
                      <wp:effectExtent l="0" t="0" r="0" b="0"/>
                      <wp:wrapNone/>
                      <wp:docPr id="44" name="Frame44"/>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4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Three months ended September 30, 2024 and 2025 (unaudited)</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center"/>
              <w:rPr/>
            </w:pPr>
            <w:r>
              <w:rPr/>
              <w:t>​</w:t>
            </w:r>
          </w:p>
        </w:tc>
        <w:tc>
          <w:tcPr>
            <w:tcW w:w="561" w:type="dxa"/>
            <w:tcBorders/>
            <w:vAlign w:val="center"/>
          </w:tcPr>
          <w:p>
            <w:pPr>
              <w:pStyle w:val="TableContents"/>
              <w:bidi w:val="0"/>
              <w:spacing w:before="0" w:after="0"/>
              <w:ind w:left="0" w:right="0" w:hanging="0"/>
              <w:jc w:val="center"/>
              <w:rPr/>
            </w:pPr>
            <w:r>
              <w:rPr/>
              <w:t>​</w:t>
            </w:r>
          </w:p>
        </w:tc>
        <w:tc>
          <w:tcPr>
            <w:tcW w:w="334"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34" w:type="dxa"/>
            <w:tcBorders/>
            <w:vAlign w:val="center"/>
          </w:tcPr>
          <w:p>
            <w:pPr>
              <w:pStyle w:val="TableContents"/>
              <w:bidi w:val="0"/>
              <w:spacing w:before="0" w:after="0"/>
              <w:ind w:left="0" w:right="0" w:hanging="0"/>
              <w:jc w:val="center"/>
              <w:rPr/>
            </w:pPr>
            <w:r>
              <w:rPr/>
              <w:t>​</w:t>
            </w:r>
          </w:p>
        </w:tc>
        <w:tc>
          <w:tcPr>
            <w:tcW w:w="21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34"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111"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center"/>
              <w:rPr/>
            </w:pPr>
            <w:r>
              <w:rPr/>
              <w:t>​</w:t>
            </w:r>
          </w:p>
        </w:tc>
        <w:tc>
          <w:tcPr>
            <w:tcW w:w="1031" w:type="dxa"/>
            <w:tcBorders/>
            <w:vAlign w:val="center"/>
          </w:tcPr>
          <w:p>
            <w:pPr>
              <w:pStyle w:val="TableContents"/>
              <w:bidi w:val="0"/>
              <w:spacing w:before="0" w:after="0"/>
              <w:ind w:left="0" w:right="0" w:hanging="0"/>
              <w:jc w:val="center"/>
              <w:rPr/>
            </w:pPr>
            <w:r>
              <w:rPr/>
              <w:t>​</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Class A</w:t>
            </w:r>
          </w:p>
        </w:tc>
        <w:tc>
          <w:tcPr>
            <w:tcW w:w="334"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3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center"/>
              <w:rPr/>
            </w:pPr>
            <w:r>
              <w:rPr/>
              <w:t>​</w:t>
            </w:r>
          </w:p>
        </w:tc>
        <w:tc>
          <w:tcPr>
            <w:tcW w:w="334"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111"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34"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34" w:type="dxa"/>
            <w:tcBorders/>
            <w:vAlign w:val="center"/>
          </w:tcPr>
          <w:p>
            <w:pPr>
              <w:pStyle w:val="TableContents"/>
              <w:bidi w:val="0"/>
              <w:spacing w:before="0" w:after="0"/>
              <w:ind w:left="0" w:right="0" w:hanging="0"/>
              <w:jc w:val="left"/>
              <w:rPr/>
            </w:pPr>
            <w:r>
              <w:rPr/>
              <w:t>​</w:t>
            </w:r>
          </w:p>
        </w:tc>
        <w:tc>
          <w:tcPr>
            <w:tcW w:w="103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34"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111"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stockholders'</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34"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34" w:type="dxa"/>
            <w:tcBorders/>
            <w:vAlign w:val="center"/>
          </w:tcPr>
          <w:p>
            <w:pPr>
              <w:pStyle w:val="TableContents"/>
              <w:bidi w:val="0"/>
              <w:spacing w:before="0" w:after="0"/>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34"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w:t>
            </w:r>
          </w:p>
        </w:tc>
        <w:tc>
          <w:tcPr>
            <w:tcW w:w="111"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3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53,396</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116,665</w:t>
            </w:r>
          </w:p>
        </w:tc>
        <w:tc>
          <w:tcPr>
            <w:tcW w:w="334"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11"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170,183</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w:t>
            </w:r>
          </w:p>
        </w:tc>
        <w:tc>
          <w:tcPr>
            <w:tcW w:w="334"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($2.30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(28,332)</w:t>
            </w:r>
          </w:p>
        </w:tc>
        <w:tc>
          <w:tcPr>
            <w:tcW w:w="334"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(28,332)</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5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11" w:type="dxa"/>
            <w:tcBorders/>
            <w:vAlign w:val="center"/>
          </w:tcPr>
          <w:p>
            <w:pPr>
              <w:pStyle w:val="TableContents"/>
              <w:bidi w:val="0"/>
              <w:spacing w:before="0" w:after="0"/>
              <w:ind w:left="0" w:right="0" w:hanging="0"/>
              <w:jc w:val="righ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34"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53,396</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91,811</w:t>
            </w:r>
          </w:p>
        </w:tc>
        <w:tc>
          <w:tcPr>
            <w:tcW w:w="334" w:type="dxa"/>
            <w:tcBorders/>
            <w:shd w:fill="CCEEFF" w:val="clear"/>
            <w:vAlign w:val="center"/>
          </w:tcPr>
          <w:p>
            <w:pPr>
              <w:pStyle w:val="TableContents"/>
              <w:bidi w:val="0"/>
              <w:spacing w:before="0" w:after="0"/>
              <w:ind w:left="0" w:right="0" w:hanging="0"/>
              <w:jc w:val="left"/>
              <w:rPr/>
            </w:pPr>
            <w:r>
              <w:rPr/>
              <w:t>​</w:t>
            </w:r>
          </w:p>
        </w:tc>
        <w:tc>
          <w:tcPr>
            <w:tcW w:w="5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145,330</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3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53,513</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95,817</w:t>
            </w:r>
          </w:p>
        </w:tc>
        <w:tc>
          <w:tcPr>
            <w:tcW w:w="334"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149,453</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4,222</w:t>
            </w:r>
          </w:p>
        </w:tc>
        <w:tc>
          <w:tcPr>
            <w:tcW w:w="334"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4,222</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($1.30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(16,019)</w:t>
            </w:r>
          </w:p>
        </w:tc>
        <w:tc>
          <w:tcPr>
            <w:tcW w:w="334"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(16,019)</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September 30, 2025</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34"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53,513</w:t>
            </w:r>
          </w:p>
        </w:tc>
        <w:tc>
          <w:tcPr>
            <w:tcW w:w="334"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84,020</w:t>
            </w:r>
          </w:p>
        </w:tc>
        <w:tc>
          <w:tcPr>
            <w:tcW w:w="334" w:type="dxa"/>
            <w:tcBorders/>
            <w:vAlign w:val="center"/>
          </w:tcPr>
          <w:p>
            <w:pPr>
              <w:pStyle w:val="TableContents"/>
              <w:bidi w:val="0"/>
              <w:spacing w:before="0" w:after="0"/>
              <w:ind w:left="0" w:right="0" w:hanging="0"/>
              <w:jc w:val="left"/>
              <w:rPr/>
            </w:pPr>
            <w:r>
              <w:rPr/>
              <w:t>​</w:t>
            </w:r>
          </w:p>
        </w:tc>
        <w:tc>
          <w:tcPr>
            <w:tcW w:w="5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righ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137,656</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2" w:name="Tc_I6ZzZMnXGUOPLEgJrwrZkg_17_14"/>
      <w:bookmarkStart w:id="353" w:name="Tc_RJXfcucU4k2pyolEu2GKng_17_12"/>
      <w:bookmarkStart w:id="354" w:name="Tc_b6vsF7LWo0iR4Tgpkld3Lg_17_11"/>
      <w:bookmarkStart w:id="355" w:name="Tc_X6SrYspbokC9-XhGCqoR5Q_17_8"/>
      <w:bookmarkStart w:id="356" w:name="Tc_Duz6ufGOO0qgz_gzI2ZJ8Q_17_5"/>
      <w:bookmarkStart w:id="357" w:name="Tc_TtcPbVLG2UCEqHQe4Goh6A_17_2"/>
      <w:bookmarkStart w:id="358" w:name="Tc_QbgSEC-zak-KpDkNYAoUYg_17_0"/>
      <w:bookmarkStart w:id="359" w:name="Tc_nHmltzJx20CSiSRtTBkQuw_16_12"/>
      <w:bookmarkStart w:id="360" w:name="Tc_YeJKdzwc-Em31mRGMa44Fg_16_6"/>
      <w:bookmarkStart w:id="361" w:name="Tc_vF1kWnUOc0-LjF8PvBMPeA_16_3"/>
      <w:bookmarkStart w:id="362" w:name="Tc_fv_6IpSnjkCwwAyjsJYbdA_16_0"/>
      <w:bookmarkStart w:id="363" w:name="Tc_DfnLXyjQzUGOuM7ZjcGM-g_15_12"/>
      <w:bookmarkStart w:id="364" w:name="Tc_KqwZE0Dc5EuWJOJXrllzlw_15_9"/>
      <w:bookmarkStart w:id="365" w:name="Tc_5LGOBBjcxUmvyu3p_FPAJg_15_3"/>
      <w:bookmarkStart w:id="366" w:name="Tc_-jL4svdt9U2h5mu5wZJOxg_15_0"/>
      <w:bookmarkStart w:id="367" w:name="Tc_2WbEOcua2UO4NJQwu94vbw_14_12"/>
      <w:bookmarkStart w:id="368" w:name="Tc_vL3hRWGA-ECV0Rw3ILQn6g_14_6"/>
      <w:bookmarkStart w:id="369" w:name="Tc_y9tZGwhV1Eq_3YzmR6PU8A_14_3"/>
      <w:bookmarkStart w:id="370" w:name="Tc_K7azbaKOT0CLhzZnrCQ7qw_14_0"/>
      <w:bookmarkStart w:id="371" w:name="Tc_SfRjSYcB7kS_-BpkrVDRvQ_13_14"/>
      <w:bookmarkStart w:id="372" w:name="Tc_we097BNzqEOxDkpaddiJcg_13_12"/>
      <w:bookmarkStart w:id="373" w:name="Tc_FFGhJRn67E2vJqvVBM5i5g_13_11"/>
      <w:bookmarkStart w:id="374" w:name="Tc_yTyhGdHL3ESyoqlFiG0HfA_13_8"/>
      <w:bookmarkStart w:id="375" w:name="Tc_w3_uzYLwQUKinfC8t0VSLw_13_5"/>
      <w:bookmarkStart w:id="376" w:name="Tc_L9M3y7vrMUKDGEQbdABaRg_13_2"/>
      <w:bookmarkStart w:id="377" w:name="Tc_NvQCM_g080m_A9ellBiWuA_13_0"/>
      <w:bookmarkStart w:id="378" w:name="Tc_h0qhAtDIskGyHcBNFps35Q_11_14"/>
      <w:bookmarkStart w:id="379" w:name="Tc_H4Brp4S7nEO5JMD61-oyNA_11_12"/>
      <w:bookmarkStart w:id="380" w:name="Tc_Iftd7o9q_ka8dPzV89R77w_11_11"/>
      <w:bookmarkStart w:id="381" w:name="Tc_KX7fz87v7E6Wy6q-2eJFIg_11_8"/>
      <w:bookmarkStart w:id="382" w:name="Tc_iKSf8YxWwEGYfTqt_S9RWA_11_5"/>
      <w:bookmarkStart w:id="383" w:name="Tc_HlSHuWAXlEaVxyCQ057sWQ_11_2"/>
      <w:bookmarkStart w:id="384" w:name="Tc_dEr3Oa6PcEOF6-m5ORL-5w_11_0"/>
      <w:bookmarkStart w:id="385" w:name="Tc_KcJN5AfY_0SqugbEbxqQ0A_10_9"/>
      <w:bookmarkStart w:id="386" w:name="Tc_XO-r4u37y02jFhHMVVUl-w_10_6"/>
      <w:bookmarkStart w:id="387" w:name="Tc_tdpZdwVUXUKKMocQZbvmQQ_10_3"/>
      <w:bookmarkStart w:id="388" w:name="Tc_wOCJBxhHREmgKBiFKOw6gw_10_0"/>
      <w:bookmarkStart w:id="389" w:name="Tc_adHWBp-mEkWZgBgTrUid0w_9_12"/>
      <w:bookmarkStart w:id="390" w:name="Tc_a1I8-lSXsUycxgdeuxyB0A_9_6"/>
      <w:bookmarkStart w:id="391" w:name="Tc_UFw8f9J7O0CdBX-SSUyv3g_9_3"/>
      <w:bookmarkStart w:id="392" w:name="Tc_y4Se2bDrE0CXLpXArf_wyw_9_0"/>
      <w:bookmarkStart w:id="393" w:name="Tc_CUwxd585B0-APhQeJLn_Ig_8_12"/>
      <w:bookmarkStart w:id="394" w:name="Tc_EADnnfC2EUuAQtB_ViGnFQ_8_9"/>
      <w:bookmarkStart w:id="395" w:name="Tc_aZcK0KSY2U23YtRHsSDSBA_8_3"/>
      <w:bookmarkStart w:id="396" w:name="Tc_Ypt_mEebsUCl69wK4ukbrw_8_0"/>
      <w:bookmarkStart w:id="397" w:name="Tc_ZM-8fP1RpUaTWeEkD6yyyA_7_12"/>
      <w:bookmarkStart w:id="398" w:name="Tc_nAui576_F0iCnmlKa2DLfA_7_6"/>
      <w:bookmarkStart w:id="399" w:name="Tc_qY4hmAyfsECJ1SVi9bVAXg_7_3"/>
      <w:bookmarkStart w:id="400" w:name="Tc_bVhvgG2d0EKKvuGHFxR20g_7_0"/>
      <w:bookmarkStart w:id="401" w:name="Tc_qpoBEUVAUU-3_TKt7Q4NPg_6_14"/>
      <w:bookmarkStart w:id="402" w:name="Tc_cKbC5ngApEKZ3nl6fDoC-w_6_11"/>
      <w:bookmarkStart w:id="403" w:name="Tc_bNLO2U2HfU-ao1kMxdfqww_6_8"/>
      <w:bookmarkStart w:id="404" w:name="Tc_rL7EcOR6j02NQzASboWJfg_6_5"/>
      <w:bookmarkStart w:id="405" w:name="Tc_L9-5QC7vtkaVmTSnGT6KCA_6_2"/>
      <w:bookmarkStart w:id="406" w:name="Tc_81sm3ZDoA0KkGt-bX_Cw1g_6_0"/>
      <w:bookmarkStart w:id="407" w:name="Tc_iZYGgkf9TEaL71P-9XJodA_5_14"/>
      <w:bookmarkStart w:id="408" w:name="Tc_YwNKSHV7x0KCqc4_8cdXxg_5_11"/>
      <w:bookmarkStart w:id="409" w:name="Tc_UBPMOWt_WkWEMSFNASvW5g_5_8"/>
      <w:bookmarkStart w:id="410" w:name="Tc_IW_Iaj9jdEypSa5PbpeCsw_5_5"/>
      <w:bookmarkStart w:id="411" w:name="Tc_PK1_nh3-n0So1L0I-fsRjw_5_2"/>
      <w:bookmarkStart w:id="412" w:name="Tc_HPwPzBqxa02-qQkrtTN_Eg_4_14"/>
      <w:bookmarkStart w:id="413" w:name="Tc_7lcA79xTKUGpGl5CNBi8dg_4_11"/>
      <w:bookmarkStart w:id="414" w:name="Tc_cF5gBzgQKkWfs5TF79omEA_4_8"/>
      <w:bookmarkStart w:id="415" w:name="Tc_UY1Jd3afokyNMOuO-5M1RQ_4_5"/>
      <w:bookmarkStart w:id="416" w:name="Tc_hkkv9c7kc0OzFLGR9deHrQ_4_2"/>
      <w:bookmarkStart w:id="417" w:name="Tc_V-uZV9GVB0qmOGSizIlovA_3_14"/>
      <w:bookmarkStart w:id="418" w:name="Tc_tUXkl2nnR0iu3Lxtxo_YqQ_3_11"/>
      <w:bookmarkStart w:id="419" w:name="Tc_3ioZkkG9Kk-jmQqEyfUY2g_3_5"/>
      <w:bookmarkStart w:id="420" w:name="Tc_mfYcUPvWk0KqzkLe-XVS6A_3_2"/>
      <w:bookmarkStart w:id="421" w:name="Tc_LV9uNXnie06PeNQFLRauUw_2_11"/>
      <w:bookmarkStart w:id="422" w:name="Tc_1SyhMD-NO0WEoSBk_PS0_A_1_2"/>
      <w:bookmarkStart w:id="423" w:name="_e3ff61a1_9d65_4d24_a6ff_fbbb635183d8"/>
      <w:bookmarkStart w:id="424" w:name="Tc_I6ZzZMnXGUOPLEgJrwrZkg_17_14"/>
      <w:bookmarkStart w:id="425" w:name="Tc_RJXfcucU4k2pyolEu2GKng_17_12"/>
      <w:bookmarkStart w:id="426" w:name="Tc_b6vsF7LWo0iR4Tgpkld3Lg_17_11"/>
      <w:bookmarkStart w:id="427" w:name="Tc_X6SrYspbokC9-XhGCqoR5Q_17_8"/>
      <w:bookmarkStart w:id="428" w:name="Tc_Duz6ufGOO0qgz_gzI2ZJ8Q_17_5"/>
      <w:bookmarkStart w:id="429" w:name="Tc_TtcPbVLG2UCEqHQe4Goh6A_17_2"/>
      <w:bookmarkStart w:id="430" w:name="Tc_QbgSEC-zak-KpDkNYAoUYg_17_0"/>
      <w:bookmarkStart w:id="431" w:name="Tc_nHmltzJx20CSiSRtTBkQuw_16_12"/>
      <w:bookmarkStart w:id="432" w:name="Tc_YeJKdzwc-Em31mRGMa44Fg_16_6"/>
      <w:bookmarkStart w:id="433" w:name="Tc_vF1kWnUOc0-LjF8PvBMPeA_16_3"/>
      <w:bookmarkStart w:id="434" w:name="Tc_fv_6IpSnjkCwwAyjsJYbdA_16_0"/>
      <w:bookmarkStart w:id="435" w:name="Tc_DfnLXyjQzUGOuM7ZjcGM-g_15_12"/>
      <w:bookmarkStart w:id="436" w:name="Tc_KqwZE0Dc5EuWJOJXrllzlw_15_9"/>
      <w:bookmarkStart w:id="437" w:name="Tc_5LGOBBjcxUmvyu3p_FPAJg_15_3"/>
      <w:bookmarkStart w:id="438" w:name="Tc_-jL4svdt9U2h5mu5wZJOxg_15_0"/>
      <w:bookmarkStart w:id="439" w:name="Tc_2WbEOcua2UO4NJQwu94vbw_14_12"/>
      <w:bookmarkStart w:id="440" w:name="Tc_vL3hRWGA-ECV0Rw3ILQn6g_14_6"/>
      <w:bookmarkStart w:id="441" w:name="Tc_y9tZGwhV1Eq_3YzmR6PU8A_14_3"/>
      <w:bookmarkStart w:id="442" w:name="Tc_K7azbaKOT0CLhzZnrCQ7qw_14_0"/>
      <w:bookmarkStart w:id="443" w:name="Tc_SfRjSYcB7kS_-BpkrVDRvQ_13_14"/>
      <w:bookmarkStart w:id="444" w:name="Tc_we097BNzqEOxDkpaddiJcg_13_12"/>
      <w:bookmarkStart w:id="445" w:name="Tc_FFGhJRn67E2vJqvVBM5i5g_13_11"/>
      <w:bookmarkStart w:id="446" w:name="Tc_yTyhGdHL3ESyoqlFiG0HfA_13_8"/>
      <w:bookmarkStart w:id="447" w:name="Tc_w3_uzYLwQUKinfC8t0VSLw_13_5"/>
      <w:bookmarkStart w:id="448" w:name="Tc_L9M3y7vrMUKDGEQbdABaRg_13_2"/>
      <w:bookmarkStart w:id="449" w:name="Tc_NvQCM_g080m_A9ellBiWuA_13_0"/>
      <w:bookmarkStart w:id="450" w:name="Tc_h0qhAtDIskGyHcBNFps35Q_11_14"/>
      <w:bookmarkStart w:id="451" w:name="Tc_H4Brp4S7nEO5JMD61-oyNA_11_12"/>
      <w:bookmarkStart w:id="452" w:name="Tc_Iftd7o9q_ka8dPzV89R77w_11_11"/>
      <w:bookmarkStart w:id="453" w:name="Tc_KX7fz87v7E6Wy6q-2eJFIg_11_8"/>
      <w:bookmarkStart w:id="454" w:name="Tc_iKSf8YxWwEGYfTqt_S9RWA_11_5"/>
      <w:bookmarkStart w:id="455" w:name="Tc_HlSHuWAXlEaVxyCQ057sWQ_11_2"/>
      <w:bookmarkStart w:id="456" w:name="Tc_dEr3Oa6PcEOF6-m5ORL-5w_11_0"/>
      <w:bookmarkStart w:id="457" w:name="Tc_KcJN5AfY_0SqugbEbxqQ0A_10_9"/>
      <w:bookmarkStart w:id="458" w:name="Tc_XO-r4u37y02jFhHMVVUl-w_10_6"/>
      <w:bookmarkStart w:id="459" w:name="Tc_tdpZdwVUXUKKMocQZbvmQQ_10_3"/>
      <w:bookmarkStart w:id="460" w:name="Tc_wOCJBxhHREmgKBiFKOw6gw_10_0"/>
      <w:bookmarkStart w:id="461" w:name="Tc_adHWBp-mEkWZgBgTrUid0w_9_12"/>
      <w:bookmarkStart w:id="462" w:name="Tc_a1I8-lSXsUycxgdeuxyB0A_9_6"/>
      <w:bookmarkStart w:id="463" w:name="Tc_UFw8f9J7O0CdBX-SSUyv3g_9_3"/>
      <w:bookmarkStart w:id="464" w:name="Tc_y4Se2bDrE0CXLpXArf_wyw_9_0"/>
      <w:bookmarkStart w:id="465" w:name="Tc_CUwxd585B0-APhQeJLn_Ig_8_12"/>
      <w:bookmarkStart w:id="466" w:name="Tc_EADnnfC2EUuAQtB_ViGnFQ_8_9"/>
      <w:bookmarkStart w:id="467" w:name="Tc_aZcK0KSY2U23YtRHsSDSBA_8_3"/>
      <w:bookmarkStart w:id="468" w:name="Tc_Ypt_mEebsUCl69wK4ukbrw_8_0"/>
      <w:bookmarkStart w:id="469" w:name="Tc_ZM-8fP1RpUaTWeEkD6yyyA_7_12"/>
      <w:bookmarkStart w:id="470" w:name="Tc_nAui576_F0iCnmlKa2DLfA_7_6"/>
      <w:bookmarkStart w:id="471" w:name="Tc_qY4hmAyfsECJ1SVi9bVAXg_7_3"/>
      <w:bookmarkStart w:id="472" w:name="Tc_bVhvgG2d0EKKvuGHFxR20g_7_0"/>
      <w:bookmarkStart w:id="473" w:name="Tc_qpoBEUVAUU-3_TKt7Q4NPg_6_14"/>
      <w:bookmarkStart w:id="474" w:name="Tc_cKbC5ngApEKZ3nl6fDoC-w_6_11"/>
      <w:bookmarkStart w:id="475" w:name="Tc_bNLO2U2HfU-ao1kMxdfqww_6_8"/>
      <w:bookmarkStart w:id="476" w:name="Tc_rL7EcOR6j02NQzASboWJfg_6_5"/>
      <w:bookmarkStart w:id="477" w:name="Tc_L9-5QC7vtkaVmTSnGT6KCA_6_2"/>
      <w:bookmarkStart w:id="478" w:name="Tc_81sm3ZDoA0KkGt-bX_Cw1g_6_0"/>
      <w:bookmarkStart w:id="479" w:name="Tc_iZYGgkf9TEaL71P-9XJodA_5_14"/>
      <w:bookmarkStart w:id="480" w:name="Tc_YwNKSHV7x0KCqc4_8cdXxg_5_11"/>
      <w:bookmarkStart w:id="481" w:name="Tc_UBPMOWt_WkWEMSFNASvW5g_5_8"/>
      <w:bookmarkStart w:id="482" w:name="Tc_IW_Iaj9jdEypSa5PbpeCsw_5_5"/>
      <w:bookmarkStart w:id="483" w:name="Tc_PK1_nh3-n0So1L0I-fsRjw_5_2"/>
      <w:bookmarkStart w:id="484" w:name="Tc_HPwPzBqxa02-qQkrtTN_Eg_4_14"/>
      <w:bookmarkStart w:id="485" w:name="Tc_7lcA79xTKUGpGl5CNBi8dg_4_11"/>
      <w:bookmarkStart w:id="486" w:name="Tc_cF5gBzgQKkWfs5TF79omEA_4_8"/>
      <w:bookmarkStart w:id="487" w:name="Tc_UY1Jd3afokyNMOuO-5M1RQ_4_5"/>
      <w:bookmarkStart w:id="488" w:name="Tc_hkkv9c7kc0OzFLGR9deHrQ_4_2"/>
      <w:bookmarkStart w:id="489" w:name="Tc_V-uZV9GVB0qmOGSizIlovA_3_14"/>
      <w:bookmarkStart w:id="490" w:name="Tc_tUXkl2nnR0iu3Lxtxo_YqQ_3_11"/>
      <w:bookmarkStart w:id="491" w:name="Tc_3ioZkkG9Kk-jmQqEyfUY2g_3_5"/>
      <w:bookmarkStart w:id="492" w:name="Tc_mfYcUPvWk0KqzkLe-XVS6A_3_2"/>
      <w:bookmarkStart w:id="493" w:name="Tc_LV9uNXnie06PeNQFLRauUw_2_11"/>
      <w:bookmarkStart w:id="494" w:name="Tc_1SyhMD-NO0WEoSBk_PS0_A_1_2"/>
      <w:bookmarkStart w:id="495" w:name="_e3ff61a1_9d65_4d24_a6ff_fbbb635183d8"/>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tbl>
      <w:tblPr>
        <w:tblW w:w="9701" w:type="dxa"/>
        <w:jc w:val="left"/>
        <w:tblInd w:w="0" w:type="dxa"/>
        <w:tblLayout w:type="fixed"/>
        <w:tblCellMar>
          <w:top w:w="0" w:type="dxa"/>
          <w:left w:w="0" w:type="dxa"/>
          <w:bottom w:w="0" w:type="dxa"/>
          <w:right w:w="0" w:type="dxa"/>
        </w:tblCellMar>
      </w:tblPr>
      <w:tblGrid>
        <w:gridCol w:w="2776"/>
        <w:gridCol w:w="326"/>
        <w:gridCol w:w="280"/>
        <w:gridCol w:w="561"/>
        <w:gridCol w:w="326"/>
        <w:gridCol w:w="239"/>
        <w:gridCol w:w="767"/>
        <w:gridCol w:w="326"/>
        <w:gridCol w:w="211"/>
        <w:gridCol w:w="798"/>
        <w:gridCol w:w="326"/>
        <w:gridCol w:w="522"/>
        <w:gridCol w:w="859"/>
        <w:gridCol w:w="109"/>
        <w:gridCol w:w="244"/>
        <w:gridCol w:w="1031"/>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762760" cy="175260"/>
                      <wp:effectExtent l="0" t="0" r="0" b="0"/>
                      <wp:wrapNone/>
                      <wp:docPr id="45" name="Frame45"/>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77800" cy="175260"/>
                      <wp:effectExtent l="0" t="0" r="0" b="0"/>
                      <wp:wrapNone/>
                      <wp:docPr id="47" name="Frame47"/>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56235" cy="175260"/>
                      <wp:effectExtent l="0" t="0" r="0" b="0"/>
                      <wp:wrapNone/>
                      <wp:docPr id="48" name="Frame48"/>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51765" cy="175260"/>
                      <wp:effectExtent l="0" t="0" r="0" b="0"/>
                      <wp:wrapNone/>
                      <wp:docPr id="50" name="Frame5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87045" cy="175260"/>
                      <wp:effectExtent l="0" t="0" r="0" b="0"/>
                      <wp:wrapNone/>
                      <wp:docPr id="51" name="Frame51"/>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06730" cy="175260"/>
                      <wp:effectExtent l="0" t="0" r="0" b="0"/>
                      <wp:wrapNone/>
                      <wp:docPr id="54" name="Frame54"/>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31470" cy="175260"/>
                      <wp:effectExtent l="0" t="0" r="0" b="0"/>
                      <wp:wrapNone/>
                      <wp:docPr id="56" name="Frame56"/>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45465" cy="175260"/>
                      <wp:effectExtent l="0" t="0" r="0" b="0"/>
                      <wp:wrapNone/>
                      <wp:docPr id="57" name="Frame57"/>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54940" cy="175260"/>
                      <wp:effectExtent l="0" t="0" r="0" b="0"/>
                      <wp:wrapNone/>
                      <wp:docPr id="59" name="Frame59"/>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54685" cy="175260"/>
                      <wp:effectExtent l="0" t="0" r="0" b="0"/>
                      <wp:wrapNone/>
                      <wp:docPr id="60" name="Frame60"/>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59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2024 and 2025 (unaudited)</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center"/>
              <w:rPr/>
            </w:pPr>
            <w:r>
              <w:rPr/>
              <w:t>​</w:t>
            </w:r>
          </w:p>
        </w:tc>
        <w:tc>
          <w:tcPr>
            <w:tcW w:w="5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109" w:type="dxa"/>
            <w:tcBorders/>
            <w:vAlign w:val="center"/>
          </w:tcPr>
          <w:p>
            <w:pPr>
              <w:pStyle w:val="TableContents"/>
              <w:bidi w:val="0"/>
              <w:spacing w:before="0" w:after="0"/>
              <w:ind w:left="0" w:right="0" w:hanging="0"/>
              <w:jc w:val="center"/>
              <w:rPr/>
            </w:pPr>
            <w:r>
              <w:rPr/>
              <w:t>​</w:t>
            </w:r>
          </w:p>
        </w:tc>
        <w:tc>
          <w:tcPr>
            <w:tcW w:w="244" w:type="dxa"/>
            <w:tcBorders/>
            <w:vAlign w:val="center"/>
          </w:tcPr>
          <w:p>
            <w:pPr>
              <w:pStyle w:val="TableContents"/>
              <w:bidi w:val="0"/>
              <w:spacing w:before="0" w:after="0"/>
              <w:ind w:left="0" w:right="0" w:hanging="0"/>
              <w:jc w:val="center"/>
              <w:rPr/>
            </w:pPr>
            <w:r>
              <w:rPr/>
              <w:t>​</w:t>
            </w:r>
          </w:p>
        </w:tc>
        <w:tc>
          <w:tcPr>
            <w:tcW w:w="1031" w:type="dxa"/>
            <w:tcBorders/>
            <w:vAlign w:val="center"/>
          </w:tcPr>
          <w:p>
            <w:pPr>
              <w:pStyle w:val="TableContents"/>
              <w:bidi w:val="0"/>
              <w:spacing w:before="0" w:after="0"/>
              <w:ind w:left="0" w:right="0" w:hanging="0"/>
              <w:jc w:val="center"/>
              <w:rPr/>
            </w:pPr>
            <w:r>
              <w:rPr/>
              <w:t>​</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 A</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paid-in</w:t>
            </w:r>
          </w:p>
        </w:tc>
        <w:tc>
          <w:tcPr>
            <w:tcW w:w="326" w:type="dxa"/>
            <w:tcBorders/>
            <w:vAlign w:val="center"/>
          </w:tcPr>
          <w:p>
            <w:pPr>
              <w:pStyle w:val="TableContents"/>
              <w:bidi w:val="0"/>
              <w:spacing w:before="0" w:after="0"/>
              <w:ind w:left="0" w:right="0" w:hanging="0"/>
              <w:jc w:val="left"/>
              <w:rPr/>
            </w:pPr>
            <w:r>
              <w:rPr/>
              <w:t>​</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Retained</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stockholders'</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3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capital</w:t>
            </w:r>
          </w:p>
        </w:tc>
        <w:tc>
          <w:tcPr>
            <w:tcW w:w="326" w:type="dxa"/>
            <w:tcBorders/>
            <w:vAlign w:val="center"/>
          </w:tcPr>
          <w:p>
            <w:pPr>
              <w:pStyle w:val="TableContents"/>
              <w:bidi w:val="0"/>
              <w:spacing w:before="0" w:after="0"/>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earnings</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w:t>
            </w:r>
          </w:p>
        </w:tc>
        <w:tc>
          <w:tcPr>
            <w:tcW w:w="109" w:type="dxa"/>
            <w:tcBorders/>
            <w:vAlign w:val="center"/>
          </w:tcPr>
          <w:p>
            <w:pPr>
              <w:pStyle w:val="TableContents"/>
              <w:bidi w:val="0"/>
              <w:spacing w:before="0" w:after="0"/>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115,457</w:t>
            </w:r>
          </w:p>
        </w:tc>
        <w:tc>
          <w:tcPr>
            <w:tcW w:w="3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168,849</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12,076</w:t>
            </w:r>
          </w:p>
        </w:tc>
        <w:tc>
          <w:tcPr>
            <w:tcW w:w="3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12,076</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($2.90 per share)</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(35,722)</w:t>
            </w:r>
          </w:p>
        </w:tc>
        <w:tc>
          <w:tcPr>
            <w:tcW w:w="3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 </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(35,722)</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2024</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91,811</w:t>
            </w:r>
          </w:p>
        </w:tc>
        <w:tc>
          <w:tcPr>
            <w:tcW w:w="326" w:type="dxa"/>
            <w:tcBorders/>
            <w:vAlign w:val="center"/>
          </w:tcPr>
          <w:p>
            <w:pPr>
              <w:pStyle w:val="TableContents"/>
              <w:bidi w:val="0"/>
              <w:spacing w:before="0" w:after="0"/>
              <w:ind w:left="0" w:right="0" w:hanging="0"/>
              <w:jc w:val="left"/>
              <w:rPr/>
            </w:pPr>
            <w:r>
              <w:rPr/>
              <w:t>​</w:t>
            </w:r>
          </w:p>
        </w:tc>
        <w:tc>
          <w:tcPr>
            <w:tcW w:w="5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145,330</w:t>
            </w:r>
          </w:p>
        </w:tc>
      </w:tr>
      <w:tr>
        <w:trPr/>
        <w:tc>
          <w:tcPr>
            <w:tcW w:w="27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031" w:type="dxa"/>
            <w:tcBorders/>
            <w:shd w:fill="CCEEFF" w:val="clear"/>
            <w:vAlign w:val="center"/>
          </w:tcPr>
          <w:p>
            <w:pPr>
              <w:pStyle w:val="TableContents"/>
              <w:bidi w:val="0"/>
              <w:spacing w:before="0" w:after="0"/>
              <w:ind w:left="0" w:right="0" w:hanging="0"/>
              <w:jc w:val="right"/>
              <w:rPr/>
            </w:pPr>
            <w:r>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92,626</w:t>
            </w:r>
          </w:p>
        </w:tc>
        <w:tc>
          <w:tcPr>
            <w:tcW w:w="3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146,145</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14,806</w:t>
            </w:r>
          </w:p>
        </w:tc>
        <w:tc>
          <w:tcPr>
            <w:tcW w:w="326" w:type="dxa"/>
            <w:tcBorders/>
            <w:shd w:fill="CCEEFF" w:val="clear"/>
            <w:vAlign w:val="center"/>
          </w:tcPr>
          <w:p>
            <w:pPr>
              <w:pStyle w:val="TableContents"/>
              <w:bidi w:val="0"/>
              <w:spacing w:before="0" w:after="0"/>
              <w:ind w:left="0" w:right="0" w:hanging="0"/>
              <w:jc w:val="left"/>
              <w:rPr/>
            </w:pPr>
            <w:r>
              <w:rPr/>
              <w:t>​</w:t>
            </w:r>
          </w:p>
        </w:tc>
        <w:tc>
          <w:tcPr>
            <w:tcW w:w="522"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0"/>
              <w:ind w:left="0" w:right="0" w:hanging="0"/>
              <w:jc w:val="left"/>
              <w:rPr/>
            </w:pPr>
            <w:r>
              <w:rPr/>
              <w:t> </w:t>
            </w:r>
          </w:p>
        </w:tc>
        <w:tc>
          <w:tcPr>
            <w:tcW w:w="10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14,806</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2"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0"/>
              <w:ind w:left="0" w:right="0" w:hanging="0"/>
              <w:jc w:val="left"/>
              <w:rPr/>
            </w:pPr>
            <w:r>
              <w:rPr/>
              <w:t>​</w:t>
            </w:r>
          </w:p>
        </w:tc>
        <w:tc>
          <w:tcPr>
            <w:tcW w:w="10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($1.90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(23,412)</w:t>
            </w:r>
          </w:p>
        </w:tc>
        <w:tc>
          <w:tcPr>
            <w:tcW w:w="326" w:type="dxa"/>
            <w:tcBorders/>
            <w:shd w:fill="CCEEFF" w:val="clear"/>
            <w:vAlign w:val="center"/>
          </w:tcPr>
          <w:p>
            <w:pPr>
              <w:pStyle w:val="TableContents"/>
              <w:bidi w:val="0"/>
              <w:spacing w:before="0" w:after="0"/>
              <w:ind w:left="0" w:right="0" w:hanging="0"/>
              <w:jc w:val="left"/>
              <w:rPr/>
            </w:pPr>
            <w:r>
              <w:rPr/>
              <w:t>​</w:t>
            </w:r>
          </w:p>
        </w:tc>
        <w:tc>
          <w:tcPr>
            <w:tcW w:w="5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(23,412)</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September 30, 2025</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53,513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84,020</w:t>
            </w:r>
          </w:p>
        </w:tc>
        <w:tc>
          <w:tcPr>
            <w:tcW w:w="326" w:type="dxa"/>
            <w:tcBorders/>
            <w:vAlign w:val="center"/>
          </w:tcPr>
          <w:p>
            <w:pPr>
              <w:pStyle w:val="TableContents"/>
              <w:bidi w:val="0"/>
              <w:spacing w:before="0" w:after="0"/>
              <w:ind w:left="0" w:right="0" w:hanging="0"/>
              <w:jc w:val="left"/>
              <w:rPr/>
            </w:pPr>
            <w:r>
              <w:rPr/>
              <w:t>​</w:t>
            </w:r>
          </w:p>
        </w:tc>
        <w:tc>
          <w:tcPr>
            <w:tcW w:w="5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137,656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96" w:name="_4c776f16_e873_4e4e_ab9c_219e2180ac31"/>
      <w:bookmarkEnd w:id="496"/>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497" w:name="CONDENSEDCONSOLIDATEDSTATEMENTSOFCASHFLO"/>
      <w:bookmarkEnd w:id="497"/>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98" w:name="Tc_16VK1BQ6I0OocVIeSa32rQ_38_0"/>
      <w:bookmarkStart w:id="499" w:name="Tc_6FdBsE5l6kel6LlqBYiNlA_37_0"/>
      <w:bookmarkStart w:id="500" w:name="Tc_Af5Im0D4Uk2f6TsFv-CxVA_36_5"/>
      <w:bookmarkStart w:id="501" w:name="Tc_tqU5jIx-tUSi-Zn6E6eaSA_36_2"/>
      <w:bookmarkStart w:id="502" w:name="Tc_Noj6p7YL1UeBsP5fXz47nQ_36_0"/>
      <w:bookmarkStart w:id="503" w:name="Tc_GGe1VYX-t0ii7WhTXZ_pRQ_35_0"/>
      <w:bookmarkStart w:id="504" w:name="Tc_QWn2f5ovYUepS2sQDB6Ywg_33_5"/>
      <w:bookmarkStart w:id="505" w:name="Tc_7LZLTkjmiU-3RVgN8ykX4g_33_2"/>
      <w:bookmarkStart w:id="506" w:name="Tc_DN-S2sxyBUGVnfYqfCWb8Q_33_0"/>
      <w:bookmarkStart w:id="507" w:name="Tc_WcNICSlYv02EKIHEUuM2Aw_32_0"/>
      <w:bookmarkStart w:id="508" w:name="Tc_kFo_R4zkpEyogz6mcmlx6A_31_0"/>
      <w:bookmarkStart w:id="509" w:name="Tc_tHvProvaykK-a6p5ye3EtQ_30_0"/>
      <w:bookmarkStart w:id="510" w:name="Tc_euQaSQnyhEeeUWdi7w8edw_28_0"/>
      <w:bookmarkStart w:id="511" w:name="Tc_GN490lYi7kCWmhqPjmo9aQ_27_0"/>
      <w:bookmarkStart w:id="512" w:name="Tc_e41xLwDHDEGyP0kMuvqxLw_25_0"/>
      <w:bookmarkStart w:id="513" w:name="Tc_EDGxju2s6kmzouR2pnrhsw_24_0"/>
      <w:bookmarkStart w:id="514" w:name="Tc_sn5AXhKg6EKCD07RtTae7A_23_0"/>
      <w:bookmarkStart w:id="515" w:name="Tc_-jF9_Gv_VUivJyhKdPBTeA_22_0"/>
      <w:bookmarkStart w:id="516" w:name="Tc_lXwZ0MH5AE2ZaaLEOJTItg_21_6"/>
      <w:bookmarkStart w:id="517" w:name="Tc_oyuNTN1uTEKPNw15fHLMJA_21_0"/>
      <w:bookmarkStart w:id="518" w:name="Tc_8Nb239XDfEuS42lEPz0AGQ_20_0"/>
      <w:bookmarkStart w:id="519" w:name="Tc_080liB8l40ulF9q4dLsgMg_19_0"/>
      <w:bookmarkStart w:id="520" w:name="Tc_pB6J0UvzOEa0eYaCuPobFA_17_0"/>
      <w:bookmarkStart w:id="521" w:name="Tc_E46UsupDKkukmSCzMLo4gw_16_0"/>
      <w:bookmarkStart w:id="522" w:name="Tc_YYXN-cZmTUWsHCbxdA9VxA_15_0"/>
      <w:bookmarkStart w:id="523" w:name="Tc_ATkUXBCGAUSnlqu7TuXHLA_14_0"/>
      <w:bookmarkStart w:id="524" w:name="Tc_xkpwaj_WHkWjwc8m96We3g_13_0"/>
      <w:bookmarkStart w:id="525" w:name="Tc_Ufxknaf3ckefvPIeLw11TA_12_0"/>
      <w:bookmarkStart w:id="526" w:name="Tc_gsHXLCnppUa33MZGrXsbwQ_11_0"/>
      <w:bookmarkStart w:id="527" w:name="Tc_gH1vzuuK5kKLKiQLHrMevw_10_0"/>
      <w:bookmarkStart w:id="528" w:name="Tc_GK96_F6Y90GHPhSpGGP40Q_9_6"/>
      <w:bookmarkStart w:id="529" w:name="Tc_rJEeDdB220CN7JpK89Js5Q_9_0"/>
      <w:bookmarkStart w:id="530" w:name="Tc_5r03rwqPlE6A7-q-LL1P7A_8_0"/>
      <w:bookmarkStart w:id="531" w:name="Tc_hTzuBkdqckioBdhcmoWicQ_7_0"/>
      <w:bookmarkStart w:id="532" w:name="Tc_5u9UkSwvg0WGg3H_dw1lpA_6_5"/>
      <w:bookmarkStart w:id="533" w:name="Tc_9pMergYdm0uasraB2XFufQ_6_2"/>
      <w:bookmarkStart w:id="534" w:name="Tc_-GRL0K_EikmDihBqxlYxHw_6_0"/>
      <w:bookmarkStart w:id="535" w:name="Tc_2L9da6s-EUaHYjlErv6rJg_5_0"/>
      <w:bookmarkStart w:id="536" w:name="Tc_5Af5o8inMkWMei9zVJCSrA_4_2"/>
      <w:bookmarkStart w:id="537" w:name="Tc_S9de209cwEC5_c-Qh9lUEQ_3_5"/>
      <w:bookmarkStart w:id="538" w:name="Tc_4hV6hlwa8EWSJh-wKZQpJQ_3_2"/>
      <w:bookmarkStart w:id="539" w:name="Tc_LJk8b0x3NUe_sQ99D4vHLg_2_2"/>
      <w:bookmarkStart w:id="540" w:name="Tc_DDY8MZ9N90KFuiPWN8UrCg_1_2"/>
      <w:bookmarkStart w:id="541" w:name="_d3fc1c0a_56d2_4fbf_892d_ace89c8b6376"/>
      <w:bookmarkStart w:id="542" w:name="Tc_16VK1BQ6I0OocVIeSa32rQ_38_0"/>
      <w:bookmarkStart w:id="543" w:name="Tc_6FdBsE5l6kel6LlqBYiNlA_37_0"/>
      <w:bookmarkStart w:id="544" w:name="Tc_Af5Im0D4Uk2f6TsFv-CxVA_36_5"/>
      <w:bookmarkStart w:id="545" w:name="Tc_tqU5jIx-tUSi-Zn6E6eaSA_36_2"/>
      <w:bookmarkStart w:id="546" w:name="Tc_Noj6p7YL1UeBsP5fXz47nQ_36_0"/>
      <w:bookmarkStart w:id="547" w:name="Tc_GGe1VYX-t0ii7WhTXZ_pRQ_35_0"/>
      <w:bookmarkStart w:id="548" w:name="Tc_QWn2f5ovYUepS2sQDB6Ywg_33_5"/>
      <w:bookmarkStart w:id="549" w:name="Tc_7LZLTkjmiU-3RVgN8ykX4g_33_2"/>
      <w:bookmarkStart w:id="550" w:name="Tc_DN-S2sxyBUGVnfYqfCWb8Q_33_0"/>
      <w:bookmarkStart w:id="551" w:name="Tc_WcNICSlYv02EKIHEUuM2Aw_32_0"/>
      <w:bookmarkStart w:id="552" w:name="Tc_kFo_R4zkpEyogz6mcmlx6A_31_0"/>
      <w:bookmarkStart w:id="553" w:name="Tc_tHvProvaykK-a6p5ye3EtQ_30_0"/>
      <w:bookmarkStart w:id="554" w:name="Tc_euQaSQnyhEeeUWdi7w8edw_28_0"/>
      <w:bookmarkStart w:id="555" w:name="Tc_GN490lYi7kCWmhqPjmo9aQ_27_0"/>
      <w:bookmarkStart w:id="556" w:name="Tc_e41xLwDHDEGyP0kMuvqxLw_25_0"/>
      <w:bookmarkStart w:id="557" w:name="Tc_EDGxju2s6kmzouR2pnrhsw_24_0"/>
      <w:bookmarkStart w:id="558" w:name="Tc_sn5AXhKg6EKCD07RtTae7A_23_0"/>
      <w:bookmarkStart w:id="559" w:name="Tc_-jF9_Gv_VUivJyhKdPBTeA_22_0"/>
      <w:bookmarkStart w:id="560" w:name="Tc_lXwZ0MH5AE2ZaaLEOJTItg_21_6"/>
      <w:bookmarkStart w:id="561" w:name="Tc_oyuNTN1uTEKPNw15fHLMJA_21_0"/>
      <w:bookmarkStart w:id="562" w:name="Tc_8Nb239XDfEuS42lEPz0AGQ_20_0"/>
      <w:bookmarkStart w:id="563" w:name="Tc_080liB8l40ulF9q4dLsgMg_19_0"/>
      <w:bookmarkStart w:id="564" w:name="Tc_pB6J0UvzOEa0eYaCuPobFA_17_0"/>
      <w:bookmarkStart w:id="565" w:name="Tc_E46UsupDKkukmSCzMLo4gw_16_0"/>
      <w:bookmarkStart w:id="566" w:name="Tc_YYXN-cZmTUWsHCbxdA9VxA_15_0"/>
      <w:bookmarkStart w:id="567" w:name="Tc_ATkUXBCGAUSnlqu7TuXHLA_14_0"/>
      <w:bookmarkStart w:id="568" w:name="Tc_xkpwaj_WHkWjwc8m96We3g_13_0"/>
      <w:bookmarkStart w:id="569" w:name="Tc_Ufxknaf3ckefvPIeLw11TA_12_0"/>
      <w:bookmarkStart w:id="570" w:name="Tc_gsHXLCnppUa33MZGrXsbwQ_11_0"/>
      <w:bookmarkStart w:id="571" w:name="Tc_gH1vzuuK5kKLKiQLHrMevw_10_0"/>
      <w:bookmarkStart w:id="572" w:name="Tc_GK96_F6Y90GHPhSpGGP40Q_9_6"/>
      <w:bookmarkStart w:id="573" w:name="Tc_rJEeDdB220CN7JpK89Js5Q_9_0"/>
      <w:bookmarkStart w:id="574" w:name="Tc_5r03rwqPlE6A7-q-LL1P7A_8_0"/>
      <w:bookmarkStart w:id="575" w:name="Tc_hTzuBkdqckioBdhcmoWicQ_7_0"/>
      <w:bookmarkStart w:id="576" w:name="Tc_5u9UkSwvg0WGg3H_dw1lpA_6_5"/>
      <w:bookmarkStart w:id="577" w:name="Tc_9pMergYdm0uasraB2XFufQ_6_2"/>
      <w:bookmarkStart w:id="578" w:name="Tc_-GRL0K_EikmDihBqxlYxHw_6_0"/>
      <w:bookmarkStart w:id="579" w:name="Tc_2L9da6s-EUaHYjlErv6rJg_5_0"/>
      <w:bookmarkStart w:id="580" w:name="Tc_5Af5o8inMkWMei9zVJCSrA_4_2"/>
      <w:bookmarkStart w:id="581" w:name="Tc_S9de209cwEC5_c-Qh9lUEQ_3_5"/>
      <w:bookmarkStart w:id="582" w:name="Tc_4hV6hlwa8EWSJh-wKZQpJQ_3_2"/>
      <w:bookmarkStart w:id="583" w:name="Tc_LJk8b0x3NUe_sQ99D4vHLg_2_2"/>
      <w:bookmarkStart w:id="584" w:name="Tc_DDY8MZ9N90KFuiPWN8UrCg_1_2"/>
      <w:bookmarkStart w:id="585" w:name="_d3fc1c0a_56d2_4fbf_892d_ace89c8b6376"/>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tbl>
      <w:tblPr>
        <w:tblW w:w="6912" w:type="dxa"/>
        <w:jc w:val="left"/>
        <w:tblInd w:w="0" w:type="dxa"/>
        <w:tblLayout w:type="fixed"/>
        <w:tblCellMar>
          <w:top w:w="0" w:type="dxa"/>
          <w:left w:w="0" w:type="dxa"/>
          <w:bottom w:w="0" w:type="dxa"/>
          <w:right w:w="0" w:type="dxa"/>
        </w:tblCellMar>
      </w:tblPr>
      <w:tblGrid>
        <w:gridCol w:w="4201"/>
        <w:gridCol w:w="326"/>
        <w:gridCol w:w="211"/>
        <w:gridCol w:w="796"/>
        <w:gridCol w:w="326"/>
        <w:gridCol w:w="211"/>
        <w:gridCol w:w="8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667635" cy="175260"/>
                      <wp:effectExtent l="0" t="0" r="0" b="0"/>
                      <wp:wrapNone/>
                      <wp:docPr id="61" name="Frame61"/>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05460" cy="175260"/>
                      <wp:effectExtent l="0" t="0" r="0" b="0"/>
                      <wp:wrapNone/>
                      <wp:docPr id="64" name="Frame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34035" cy="175260"/>
                      <wp:effectExtent l="0" t="0" r="0" b="0"/>
                      <wp:wrapNone/>
                      <wp:docPr id="67" name="Frame6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91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14,806</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2,764</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313</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(3,761)</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(2,769)</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(622)</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223</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Prepaids and other,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10,846</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(3,148)</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maturities of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11,900</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(10,700)</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(1,948)</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(23,412)</w:t>
            </w:r>
          </w:p>
        </w:tc>
      </w:tr>
      <w:tr>
        <w:trPr/>
        <w:tc>
          <w:tcPr>
            <w:tcW w:w="42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net change from:</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(14,514)</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60,782</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46,268</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4,628</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investing activities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accruals for capital expenditures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(429)</w:t>
            </w:r>
          </w:p>
        </w:tc>
      </w:tr>
    </w:tbl>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586" w:name="_a88251dd_d70c_4bac_9cdf_55b35feabd0d"/>
      <w:bookmarkEnd w:id="586"/>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587" w:name="NOTESTOCONDENSEDCONSOLIDATEDFINANCIALSTA"/>
      <w:bookmarkEnd w:id="587"/>
      <w:r>
        <w:rPr>
          <w:rFonts w:ascii="Times New Roman;Times;serif" w:hAnsi="Times New Roman;Times;serif"/>
          <w:b/>
          <w:sz w:val="20"/>
        </w:rPr>
        <w:t>NOTES TO CONDENSED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September 30, 2025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Organization</w:t>
      </w:r>
      <w:r>
        <w:rPr>
          <w:rFonts w:ascii="Times New Roman;Times;serif" w:hAnsi="Times New Roman;Times;serif"/>
          <w:sz w:val="20"/>
        </w:rPr>
        <w:t>. We (NYSE American: CIX) were approximately 87% owned by NL Industries, Inc. (NYSE: NL) at September 30, 2025. At September 30, 2025, Valhi, Inc. (NYSE: VHI) owned approximately 83% of NL’s outstanding common stock and a wholly-owned subsidiary of Contran Corporation owned approximately 91% of Valhi’s outstanding common stock.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September 30, 2025, Ms. Simmons and the Family Trust may be deemed to control Contran, and therefore may be deemed to indirectly control the wholly-owned subsidiary of Contran, Valhi, NL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Basis of presentation.</w:t>
      </w:r>
      <w:r>
        <w:rPr>
          <w:rFonts w:ascii="Times New Roman;Times;serif" w:hAnsi="Times New Roman;Times;serif"/>
          <w:sz w:val="20"/>
        </w:rPr>
        <w:t xml:space="preserve"> Consolidated in this Quarterly Report are the results of CompX International Inc. and its subsidiaries. The unaudited Condensed Consolidated Financial Statements contained in this Quarterly Report have been prepared on the same basis as the audited Consolidated Financial Statements included in our Annual Report on Form 10-K for the year ended December 31, 2024 that we filed with the Securities and Exchange Commission (“SEC”) on March 5, 2025 (the “2024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2024 contained in this Quarterly Report as compared to our audited Consolidated Financial Statements at that date, and we have omitted certain information and footnote disclosures (including those related to the Consolidated Balance Sheet at December 31, 2024) normally included in financial statements prepared in accordance with accounting principles generally accepted in the United States of America (“GAAP”). Our results of operations for the interim periods ended September 30, 2025 may not be indicative of our operating results for the full year. The Condensed Consolidated Financial Statements contained in this Quarterly Report should be read in conjunction with our 2024 Consolidated Financial Statements contained in our 2024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dividends in 2025 include a $1.00 per share special dividend.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are reported on a 52 or 53-week year. For presentation purposes, annual and quarterly information in the Condensed Consolidated Financial Statements and accompanying notes are presented as ended September 30, 2024, December 31, 2024 and September 30, 2025. The actual dates of our annual and quarterly periods are September 29, 2024, December 29, 2024 and September 28, 2025, respectively. Unless otherwise indicated, references in this report to “we”, “us” or “our” refer to CompX International Inc. and its subsidiaries, taken as a whole.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588" w:name="Tc_GDOCKM-nWUKDtpmWZ5DV3w_37_11"/>
      <w:bookmarkStart w:id="589" w:name="Tc_qzPR1NCY-U2kuY5FGHfT5Q_37_8"/>
      <w:bookmarkStart w:id="590" w:name="Tc_5zhhV7NDhkSHCAjjLTxc8w_37_5"/>
      <w:bookmarkStart w:id="591" w:name="Tc_zgy0YHSaD0uZaBLPRvpM2A_37_2"/>
      <w:bookmarkStart w:id="592" w:name="Tc_Dkh7T6EhzkGLHwSe21gPzw_37_0"/>
      <w:bookmarkStart w:id="593" w:name="Tc_p5Zob63On0CnC7GWqFmm7w_36_0"/>
      <w:bookmarkStart w:id="594" w:name="Tc_B3Ec1nGSikG9onZ-yyUIrw_35_11"/>
      <w:bookmarkStart w:id="595" w:name="Tc_joTYRP0MEUW-t2zJ3pO0-g_35_8"/>
      <w:bookmarkStart w:id="596" w:name="Tc_sb7D10uvFk6urP6iM-pMyA_35_5"/>
      <w:bookmarkStart w:id="597" w:name="Tc_61XDH8gvl0yp25kfzJaSnw_35_2"/>
      <w:bookmarkStart w:id="598" w:name="Tc_IwNOvl164Ea_pTZfXz96lg_35_0"/>
      <w:bookmarkStart w:id="599" w:name="Tc_j7vNN6eVgku0btrWwsdDDw_34_0"/>
      <w:bookmarkStart w:id="600" w:name="Tc_IquIYQ6q5UO3Vxv2kKVXmQ_32_11"/>
      <w:bookmarkStart w:id="601" w:name="Tc_U7uQzJnk-Eq-QhfJpjcaxQ_32_8"/>
      <w:bookmarkStart w:id="602" w:name="Tc_cK8py0u5I06s2bxE2j3TFg_32_5"/>
      <w:bookmarkStart w:id="603" w:name="Tc_8x6MldD_b0-k-OqL_6Ddlg_32_2"/>
      <w:bookmarkStart w:id="604" w:name="Tc_I0bfMIEra0Kde34xO7vGlA_32_0"/>
      <w:bookmarkStart w:id="605" w:name="Tc_WOfkCLEPMEmaYWYYT_HwEQ_31_0"/>
      <w:bookmarkStart w:id="606" w:name="Tc_1myheA6R-062b-OJVmcrJw_30_0"/>
      <w:bookmarkStart w:id="607" w:name="Tc_SxObdZkMJ0i_N6O4NBsAFg_29_0"/>
      <w:bookmarkStart w:id="608" w:name="Tc_NxKHxRizVUSgDniRXU5UAw_28_0"/>
      <w:bookmarkStart w:id="609" w:name="Tc_1wzJ5RiKkUu0S8ZmB-tCTw_27_0"/>
      <w:bookmarkStart w:id="610" w:name="Tc_9xHnBeFArk-uqbYPOTdS3A_26_11"/>
      <w:bookmarkStart w:id="611" w:name="Tc_nTf4dcGBeECr_99wIbn9xA_26_8"/>
      <w:bookmarkStart w:id="612" w:name="Tc_rz8X4eAXAkeW1fHqaa3pTg_26_5"/>
      <w:bookmarkStart w:id="613" w:name="Tc_lzkKcBDdY06pxnqrrOOvTg_26_2"/>
      <w:bookmarkStart w:id="614" w:name="Tc_XGmnKf_em0Saj4Oj10Lflg_26_0"/>
      <w:bookmarkStart w:id="615" w:name="Tc_xh7uikBuCkeBl9EsElBVrQ_25_0"/>
      <w:bookmarkStart w:id="616" w:name="Tc_O93umFUX7kG6JooHAVShsg_23_11"/>
      <w:bookmarkStart w:id="617" w:name="Tc_6tUV0WuwV0Sv_BHHv_fHBA_23_8"/>
      <w:bookmarkStart w:id="618" w:name="Tc_FzAZ1ZqtlE-jB0JlnhX9pw_23_5"/>
      <w:bookmarkStart w:id="619" w:name="Tc_EWOMAZ85kESGknvKwNDeMg_23_2"/>
      <w:bookmarkStart w:id="620" w:name="Tc_OnJcsgrmfEmPpvDJZ-npxg_23_0"/>
      <w:bookmarkStart w:id="621" w:name="Tc_T6xjsDLpl0Gik-5WMkGyXg_22_0"/>
      <w:bookmarkStart w:id="622" w:name="Tc_4Vkp2dhrgkG8fNvIz77_xQ_21_11"/>
      <w:bookmarkStart w:id="623" w:name="Tc_fnPzBQGyxUm22VyBsIVXkQ_21_8"/>
      <w:bookmarkStart w:id="624" w:name="Tc_gyu-WVymrE-hfwXkjHuh5Q_21_5"/>
      <w:bookmarkStart w:id="625" w:name="Tc_xOABEYapAUmruwL_FCh5Vg_21_2"/>
      <w:bookmarkStart w:id="626" w:name="Tc_MIeTJ6SVyESpp1zOfmTXug_21_0"/>
      <w:bookmarkStart w:id="627" w:name="Tc_-wP_tIaejEqHYXPyOOhBtw_20_0"/>
      <w:bookmarkStart w:id="628" w:name="Tc_90xDLvnP00WYJ91f3n_C2Q_18_11"/>
      <w:bookmarkStart w:id="629" w:name="Tc_RgRL7rAFw06XLO5jKwDpIA_18_8"/>
      <w:bookmarkStart w:id="630" w:name="Tc_-e0NMKQ9UkuIb-3_v291og_18_5"/>
      <w:bookmarkStart w:id="631" w:name="Tc_FyTaUsKDAEyo-zMHKlaoZA_18_2"/>
      <w:bookmarkStart w:id="632" w:name="Tc_JVZ_6C_oh0SdUm8CDsuNVA_18_0"/>
      <w:bookmarkStart w:id="633" w:name="Tc_idoTcAAeeEutFQ-YOqydvg_17_0"/>
      <w:bookmarkStart w:id="634" w:name="Tc_MQfvRP5qQ0KIUNdzuhK9fA_16_11"/>
      <w:bookmarkStart w:id="635" w:name="Tc_Qwk8kUIHiUmuqM0qdlOFuw_16_8"/>
      <w:bookmarkStart w:id="636" w:name="Tc_PMPbUjFSGEyzo56Vg3pMUA_16_5"/>
      <w:bookmarkStart w:id="637" w:name="Tc_pU9MXE2Y_kupVcWaiaoloA_16_2"/>
      <w:bookmarkStart w:id="638" w:name="Tc_YLG6gxzpSUWe_8YU-6OquA_16_0"/>
      <w:bookmarkStart w:id="639" w:name="Tc_hHFJxLyUKk-JYnmvafzZBw_15_0"/>
      <w:bookmarkStart w:id="640" w:name="Tc_sakfv7-ejkWFFWJ4B2D7uQ_13_11"/>
      <w:bookmarkStart w:id="641" w:name="Tc_vnLYm8rqs0yE8dFOe-x75g_13_8"/>
      <w:bookmarkStart w:id="642" w:name="Tc_hu9myUVrVkelyUzsjMUtQg_13_5"/>
      <w:bookmarkStart w:id="643" w:name="Tc_xSATs4rR30W_d8x8hRUn0w_13_2"/>
      <w:bookmarkStart w:id="644" w:name="Tc_3v1QCDfp9UOOgfdedmgl5w_13_0"/>
      <w:bookmarkStart w:id="645" w:name="Tc_4nmYG645GU2YkOyMEvMg4Q_12_0"/>
      <w:bookmarkStart w:id="646" w:name="Tc_gYjkYFQKyEmIwKsZRNKqfg_11_11"/>
      <w:bookmarkStart w:id="647" w:name="Tc_Xk6LglKZLUePzYa24hkW2A_11_8"/>
      <w:bookmarkStart w:id="648" w:name="Tc_1n1jxasyT0maoB_KOCSkZw_11_5"/>
      <w:bookmarkStart w:id="649" w:name="Tc_kzLD2HzJNUegUdPXQFtGJg_11_2"/>
      <w:bookmarkStart w:id="650" w:name="Tc_cPF8c-FxtkOdK0DuAxgRcg_11_0"/>
      <w:bookmarkStart w:id="651" w:name="Tc_ipJToSqt00O5hyijVDDjbA_10_0"/>
      <w:bookmarkStart w:id="652" w:name="Tc_gn21nSsMYEKz2Zhjq8VIfw_8_11"/>
      <w:bookmarkStart w:id="653" w:name="Tc_kzzMPKvMXkGO8spcniDSBw_8_8"/>
      <w:bookmarkStart w:id="654" w:name="Tc_o-OlL1GDxk-CJgGQwP9KQw_8_5"/>
      <w:bookmarkStart w:id="655" w:name="Tc_qrVlxKDICU2mINhN_xei6Q_8_2"/>
      <w:bookmarkStart w:id="656" w:name="Tc_zCW_Er5wp0OqJ-bcElcPYQ_8_0"/>
      <w:bookmarkStart w:id="657" w:name="Tc_x10z6Yyjj0CtPPkEFPZcUA_7_0"/>
      <w:bookmarkStart w:id="658" w:name="Tc_jW3kMc1LuUe7r9EonsKc4A_6_11"/>
      <w:bookmarkStart w:id="659" w:name="Tc_2ZnQP_JpqEqKh9_uA2vBAg_6_8"/>
      <w:bookmarkStart w:id="660" w:name="Tc_MgvJ9jFwUEGcohxuBcLDpA_6_5"/>
      <w:bookmarkStart w:id="661" w:name="Tc_qTfdDbpfZ0GdFpTQPySmgw_6_2"/>
      <w:bookmarkStart w:id="662" w:name="Tc_b2X18LYsiE60ro9avT5WyQ_6_0"/>
      <w:bookmarkStart w:id="663" w:name="Tc_GN6kzn9b_UegFPnPOoGiNA_5_0"/>
      <w:bookmarkStart w:id="664" w:name="Tc_wHDTg18DRkmBUbdNxbIAMQ_4_2"/>
      <w:bookmarkStart w:id="665" w:name="Tc_6HXe_VlL7UKd3stsT_U6GA_3_11"/>
      <w:bookmarkStart w:id="666" w:name="Tc_Ru2oPV2v7EaTVvo8tSotGQ_3_8"/>
      <w:bookmarkStart w:id="667" w:name="Tc_ebpm2ZkCYUu28Qu7anbFMg_3_5"/>
      <w:bookmarkStart w:id="668" w:name="Tc_-Q3k6567I0-aX8VS2kpaGA_3_2"/>
      <w:bookmarkStart w:id="669" w:name="Tc_DLndLYH-AEyq3qMtOrcSnA_2_8"/>
      <w:bookmarkStart w:id="670" w:name="Tc_r4t1UM1nR0-Hk3jZPXYKcA_2_2"/>
      <w:bookmarkStart w:id="671" w:name="Tc_SyLV1R8cWkOAbC_7Dc9L8g_1_8"/>
      <w:bookmarkStart w:id="672" w:name="Tc_PSfdL_WSQ0qXvEFJCWdzxg_1_2"/>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Pr>
          <w:rFonts w:ascii="Times New Roman;Times;serif" w:hAnsi="Times New Roman;Times;serif"/>
          <w:b/>
          <w:sz w:val="20"/>
        </w:rPr>
        <w:t>Note 2 – Business segment information:</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Our chief operating decision maker (“CODM”)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w:t>
      </w:r>
    </w:p>
    <w:p>
      <w:pPr>
        <w:pStyle w:val="TextBody"/>
        <w:bidi w:val="0"/>
        <w:spacing w:before="0" w:after="0"/>
        <w:ind w:left="0" w:right="0" w:hanging="0"/>
        <w:jc w:val="left"/>
        <w:rPr/>
      </w:pPr>
      <w:r>
        <w:rPr/>
        <w:t>​</w:t>
      </w:r>
    </w:p>
    <w:tbl>
      <w:tblPr>
        <w:tblW w:w="9623" w:type="dxa"/>
        <w:jc w:val="left"/>
        <w:tblInd w:w="0" w:type="dxa"/>
        <w:tblLayout w:type="fixed"/>
        <w:tblCellMar>
          <w:top w:w="0" w:type="dxa"/>
          <w:left w:w="0" w:type="dxa"/>
          <w:bottom w:w="0" w:type="dxa"/>
          <w:right w:w="0" w:type="dxa"/>
        </w:tblCellMar>
      </w:tblPr>
      <w:tblGrid>
        <w:gridCol w:w="4441"/>
        <w:gridCol w:w="326"/>
        <w:gridCol w:w="211"/>
        <w:gridCol w:w="691"/>
        <w:gridCol w:w="326"/>
        <w:gridCol w:w="256"/>
        <w:gridCol w:w="691"/>
        <w:gridCol w:w="326"/>
        <w:gridCol w:w="211"/>
        <w:gridCol w:w="781"/>
        <w:gridCol w:w="326"/>
        <w:gridCol w:w="211"/>
        <w:gridCol w:w="826"/>
      </w:tblGrid>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38785" cy="175260"/>
                      <wp:effectExtent l="0" t="0" r="0" b="0"/>
                      <wp:wrapNone/>
                      <wp:docPr id="70" name="Frame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2560" cy="175260"/>
                      <wp:effectExtent l="0" t="0" r="0" b="0"/>
                      <wp:wrapNone/>
                      <wp:docPr id="72" name="Frame7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38785" cy="175260"/>
                      <wp:effectExtent l="0" t="0" r="0" b="0"/>
                      <wp:wrapNone/>
                      <wp:docPr id="73" name="Frame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6" name="Frame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24510" cy="175260"/>
                      <wp:effectExtent l="0" t="0" r="0" b="0"/>
                      <wp:wrapNone/>
                      <wp:docPr id="79" name="Frame7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35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left"/>
              <w:rPr/>
            </w:pPr>
            <w:r>
              <w:rPr/>
              <w:t>​</w:t>
            </w:r>
          </w:p>
        </w:tc>
        <w:tc>
          <w:tcPr>
            <w:tcW w:w="23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962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56"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5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26,567</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30,266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91,179</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7,100</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29,409</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33,667</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39,950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120,588</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18,486</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21,698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64,059</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5,713</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20,447</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24,199</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28,921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84,506</w:t>
            </w:r>
          </w:p>
        </w:tc>
      </w:tr>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8,081</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27,120</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8,962</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9,468</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36,082</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selling, 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3,528</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10,846</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2,781</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4,312</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13,627</w:t>
            </w:r>
          </w:p>
        </w:tc>
      </w:tr>
      <w:tr>
        <w:trPr/>
        <w:tc>
          <w:tcPr>
            <w:tcW w:w="44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4,553</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16,274</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6,181</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5,156</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22,455</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(5,505)</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3,349</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16,950</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2,519</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4,584</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5,561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19,469</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1,867</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897</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2,764</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Intersegment sales are not material. Our CODM is not regularly provided financial information related to the assets of the reportable segments, including capital expenditures, and he does not evaluate the reportable segments’ performance or allocate resources to them based on assets. Therefore, total assets by reportable segment are not included in our segment disclosure.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73" w:name="Tc_LG4SMyDjP0GhUok_M0NiCw_8_5"/>
      <w:bookmarkStart w:id="674" w:name="Tc_lveU2uNJI06MiAEQmdhjdA_8_2"/>
      <w:bookmarkStart w:id="675" w:name="Tc_9RCYF4Miy0CrWOMNg5Sclw_8_0"/>
      <w:bookmarkStart w:id="676" w:name="Tc_aF2ShixcHUKA7DXsQ3RcoA_7_0"/>
      <w:bookmarkStart w:id="677" w:name="Tc_CSB5Kk5jb0SRBSpgIAksBQ_6_0"/>
      <w:bookmarkStart w:id="678" w:name="Tc_fH9oe9O3uU-3kbJb1sAZOg_5_5"/>
      <w:bookmarkStart w:id="679" w:name="Tc_0pV9SxB2VkGL64jiv59UuA_5_2"/>
      <w:bookmarkStart w:id="680" w:name="Tc_vOYGr5xmKUqfe8wqDt1SzA_5_0"/>
      <w:bookmarkStart w:id="681" w:name="Tc_363ot2NdGECnwLc1b8jy5g_4_0"/>
      <w:bookmarkStart w:id="682" w:name="Tc_fJzuBfl8iEipoKgCPFqGsg_3_2"/>
      <w:bookmarkStart w:id="683" w:name="Tc_zxuf9hAkS0ytwjTW0qmF1w_2_5"/>
      <w:bookmarkStart w:id="684" w:name="Tc_EBPHXismrkqG6HvCNsfL1Q_2_2"/>
      <w:bookmarkStart w:id="685" w:name="Tc_aVFwatGUN06WoWz8xqYVbQ_1_5"/>
      <w:bookmarkStart w:id="686" w:name="Tc_zW5A9YZrdEaMkyJTKp3K1g_1_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r>
        <w:rPr>
          <w:rFonts w:ascii="Times New Roman;Times;serif" w:hAnsi="Times New Roman;Times;serif"/>
          <w:b/>
          <w:sz w:val="20"/>
        </w:rPr>
        <w:t>Note 3 – Accounts receivable, net:</w:t>
      </w:r>
    </w:p>
    <w:p>
      <w:pPr>
        <w:pStyle w:val="TextBody"/>
        <w:bidi w:val="0"/>
        <w:spacing w:before="0" w:after="0"/>
        <w:ind w:left="0" w:right="0" w:hanging="0"/>
        <w:jc w:val="left"/>
        <w:rPr/>
      </w:pPr>
      <w:r>
        <w:rPr/>
        <w:t>​</w:t>
      </w:r>
    </w:p>
    <w:tbl>
      <w:tblPr>
        <w:tblW w:w="6128" w:type="dxa"/>
        <w:jc w:val="left"/>
        <w:tblInd w:w="0" w:type="dxa"/>
        <w:tblLayout w:type="fixed"/>
        <w:tblCellMar>
          <w:top w:w="0" w:type="dxa"/>
          <w:left w:w="0" w:type="dxa"/>
          <w:bottom w:w="0" w:type="dxa"/>
          <w:right w:w="0" w:type="dxa"/>
        </w:tblCellMar>
      </w:tblPr>
      <w:tblGrid>
        <w:gridCol w:w="2776"/>
        <w:gridCol w:w="326"/>
        <w:gridCol w:w="310"/>
        <w:gridCol w:w="995"/>
        <w:gridCol w:w="326"/>
        <w:gridCol w:w="296"/>
        <w:gridCol w:w="1099"/>
      </w:tblGrid>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96850" cy="175260"/>
                      <wp:effectExtent l="0" t="0" r="0" b="0"/>
                      <wp:wrapNone/>
                      <wp:docPr id="81" name="Frame8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31825" cy="175260"/>
                      <wp:effectExtent l="0" t="0" r="0" b="0"/>
                      <wp:wrapNone/>
                      <wp:docPr id="82" name="Frame82"/>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87960" cy="175260"/>
                      <wp:effectExtent l="0" t="0" r="0" b="0"/>
                      <wp:wrapNone/>
                      <wp:docPr id="84" name="Frame8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7865" cy="175260"/>
                      <wp:effectExtent l="0" t="0" r="0" b="0"/>
                      <wp:wrapNone/>
                      <wp:docPr id="85" name="Frame85"/>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12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12,149</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13,855</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4,077</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14,113</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17,862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687" w:name="Tc_KsiycN1VikqImQuEFgGIyg_16_5"/>
      <w:bookmarkStart w:id="688" w:name="Tc_kHiFSe37o0CK6RLPZONrjw_16_2"/>
      <w:bookmarkStart w:id="689" w:name="Tc_1X2kbPDewUOWzvSNAfsh8A_16_0"/>
      <w:bookmarkStart w:id="690" w:name="Tc_a4GSe8hhuEeHPMinD2cTzg_15_0"/>
      <w:bookmarkStart w:id="691" w:name="Tc_w-_H_zXGV0C2n2nc91X1ng_14_0"/>
      <w:bookmarkStart w:id="692" w:name="Tc_yzfQN_JGt0m2RnlcUOrucw_13_0"/>
      <w:bookmarkStart w:id="693" w:name="Tc_1PDZOJfmeECdfspoh9W11Q_12_0"/>
      <w:bookmarkStart w:id="694" w:name="Tc_Fetb6AhnCkmfeqarJtRd-w_11_0"/>
      <w:bookmarkStart w:id="695" w:name="Tc_S9DwxXSFxE2AMfsc9gVXmg_10_0"/>
      <w:bookmarkStart w:id="696" w:name="Tc_WNwpOVb3ZUy80eM6kO0vkQ_9_0"/>
      <w:bookmarkStart w:id="697" w:name="Tc_CQTTOJTCbEqQtH1c20BXiw_8_0"/>
      <w:bookmarkStart w:id="698" w:name="Tc_WzkulAuE7ky57iAvj0A-bg_7_0"/>
      <w:bookmarkStart w:id="699" w:name="Tc_uCJkJca6uU-SEYmsApp91w_6_0"/>
      <w:bookmarkStart w:id="700" w:name="Tc_OkTO-Y1fI0aLlo1pxWOojg_5_5"/>
      <w:bookmarkStart w:id="701" w:name="Tc_J4NZL3Lp0kyHRj9bCr_big_5_2"/>
      <w:bookmarkStart w:id="702" w:name="Tc_0XSggy1aFkOU3RFFzNpOcg_5_0"/>
      <w:bookmarkStart w:id="703" w:name="Tc_WMQAd-F7ek-38rkLUlkoiQ_4_0"/>
      <w:bookmarkStart w:id="704" w:name="Tc_Q_tOuwpsGU-2X4aREK_bAg_3_2"/>
      <w:bookmarkStart w:id="705" w:name="Tc_15elFJ9CWkKPx6GDieA4tw_2_5"/>
      <w:bookmarkStart w:id="706" w:name="Tc_N0ko_lESSkaOaYlrVeW-kA_2_2"/>
      <w:bookmarkStart w:id="707" w:name="Tc_mrk2qu7rX0u7CJLBTNhmTA_1_5"/>
      <w:bookmarkStart w:id="708" w:name="Tc_xPPp_oKlMUeqGwnLVq7cMw_1_2"/>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r>
        <w:rPr>
          <w:rFonts w:ascii="Times New Roman;Times;serif" w:hAnsi="Times New Roman;Times;serif"/>
          <w:b/>
          <w:sz w:val="20"/>
        </w:rPr>
        <w:t>Note 4 – Inventories, net:</w:t>
      </w:r>
    </w:p>
    <w:p>
      <w:pPr>
        <w:pStyle w:val="TextBody"/>
        <w:bidi w:val="0"/>
        <w:spacing w:before="0" w:after="0"/>
        <w:ind w:left="0" w:right="0" w:hanging="0"/>
        <w:jc w:val="left"/>
        <w:rPr/>
      </w:pPr>
      <w:r>
        <w:rPr/>
        <w:t>​</w:t>
      </w:r>
    </w:p>
    <w:tbl>
      <w:tblPr>
        <w:tblW w:w="5243" w:type="dxa"/>
        <w:jc w:val="left"/>
        <w:tblInd w:w="0" w:type="dxa"/>
        <w:tblLayout w:type="fixed"/>
        <w:tblCellMar>
          <w:top w:w="0" w:type="dxa"/>
          <w:left w:w="0" w:type="dxa"/>
          <w:bottom w:w="0" w:type="dxa"/>
          <w:right w:w="0" w:type="dxa"/>
        </w:tblCellMar>
      </w:tblPr>
      <w:tblGrid>
        <w:gridCol w:w="1891"/>
        <w:gridCol w:w="326"/>
        <w:gridCol w:w="310"/>
        <w:gridCol w:w="995"/>
        <w:gridCol w:w="326"/>
        <w:gridCol w:w="296"/>
        <w:gridCol w:w="1099"/>
      </w:tblGrid>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96850" cy="175260"/>
                      <wp:effectExtent l="0" t="0" r="0" b="0"/>
                      <wp:wrapNone/>
                      <wp:docPr id="87" name="Frame8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31825" cy="175260"/>
                      <wp:effectExtent l="0" t="0" r="0" b="0"/>
                      <wp:wrapNone/>
                      <wp:docPr id="88" name="Frame88"/>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87960" cy="175260"/>
                      <wp:effectExtent l="0" t="0" r="0" b="0"/>
                      <wp:wrapNone/>
                      <wp:docPr id="90" name="Frame9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7865" cy="175260"/>
                      <wp:effectExtent l="0" t="0" r="0" b="0"/>
                      <wp:wrapNone/>
                      <wp:docPr id="91" name="Frame91"/>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24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4,152</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1,615</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raw materials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5,652</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5,767</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13,241</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14,849</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4,397</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5,801</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work-in-process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17,638</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20,650</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2,782</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2,181</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1,752</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finished goods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5,076</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4,534</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28,366</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30,951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rFonts w:ascii="Times New Roman;Times;serif" w:hAnsi="Times New Roman;Times;serif"/>
          <w:b/>
          <w:sz w:val="20"/>
        </w:rPr>
      </w:pPr>
      <w:bookmarkStart w:id="709" w:name="Tc_vwbSlQjuxEWyharSwumWdA_17_5"/>
      <w:bookmarkStart w:id="710" w:name="Tc_C442Hxyz8k-96sPDteNnbg_17_2"/>
      <w:bookmarkStart w:id="711" w:name="Tc_mFvTt22eJ0e10qpHfXEEMg_17_0"/>
      <w:bookmarkStart w:id="712" w:name="Tc_DmnPDYZx60OHaQwGy_BkAg_16_0"/>
      <w:bookmarkStart w:id="713" w:name="Tc_AsoD8CbNWUSZw5TNdONglQ_15_0"/>
      <w:bookmarkStart w:id="714" w:name="Tc_IEgRjBklJEO2FV4SriJzGg_14_0"/>
      <w:bookmarkStart w:id="715" w:name="Tc_E1f1trzyekeU-tC1HNjr7g_13_0"/>
      <w:bookmarkStart w:id="716" w:name="Tc_rI3iCm9Mj0ik7wYLOADkCw_12_0"/>
      <w:bookmarkStart w:id="717" w:name="Tc_tuHC6q71FkS9gRaqaCsfJA_11_0"/>
      <w:bookmarkStart w:id="718" w:name="Tc_I1yQI9oSIESX93H_g4BoBQ_10_0"/>
      <w:bookmarkStart w:id="719" w:name="Tc_oLRhwpNFZEiisiMkImnUXg_9_0"/>
      <w:bookmarkStart w:id="720" w:name="Tc_OYcK1rEyREWugopoh2yBPA_8_3"/>
      <w:bookmarkStart w:id="721" w:name="Tc_tLwXJYnQpUqGRnwk1BS1kQ_8_0"/>
      <w:bookmarkStart w:id="722" w:name="Tc_cZPU9DOCvU6Isg5eKZostw_7_3"/>
      <w:bookmarkStart w:id="723" w:name="Tc_Ory_Ekt5ukWqimWR-wK3rQ_7_0"/>
      <w:bookmarkStart w:id="724" w:name="Tc_k5IXEx-jYUOTmZtDTwBmjw_6_0"/>
      <w:bookmarkStart w:id="725" w:name="Tc_OQFsExD6_k-H_rTuFxAlFg_5_5"/>
      <w:bookmarkStart w:id="726" w:name="Tc_6huWt1K1zU2tayVKEWYBdQ_5_2"/>
      <w:bookmarkStart w:id="727" w:name="Tc_wcMz8-WY7UiuO9KwReFUyw_5_0"/>
      <w:bookmarkStart w:id="728" w:name="Tc_8Xvkxi7Xa0OUtoPnz-57XA_4_0"/>
      <w:bookmarkStart w:id="729" w:name="Tc_k9Ooe-NHR0uPo3qw-RxwfQ_3_2"/>
      <w:bookmarkStart w:id="730" w:name="Tc_uMYN8pfe90GGNkLEBhtdKg_2_5"/>
      <w:bookmarkStart w:id="731" w:name="Tc_IMec91jwgUazrj1XtzrXSQ_2_2"/>
      <w:bookmarkStart w:id="732" w:name="Tc_LVJykcSF2UCjnSX8Q0Eaxw_1_5"/>
      <w:bookmarkStart w:id="733" w:name="Tc_WZCV1Asxd0yEt5hMHXYLxA_1_2"/>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Pr>
          <w:rFonts w:ascii="Times New Roman;Times;serif" w:hAnsi="Times New Roman;Times;serif"/>
          <w:b/>
          <w:sz w:val="20"/>
        </w:rPr>
        <w:t>Note 5 – Accounts payable and accrued liabilities:</w:t>
      </w:r>
    </w:p>
    <w:p>
      <w:pPr>
        <w:pStyle w:val="TextBody"/>
        <w:bidi w:val="0"/>
        <w:spacing w:before="0" w:after="0"/>
        <w:ind w:left="0" w:right="0" w:hanging="0"/>
        <w:jc w:val="left"/>
        <w:rPr/>
      </w:pPr>
      <w:r>
        <w:rPr/>
        <w:t>​</w:t>
      </w:r>
    </w:p>
    <w:tbl>
      <w:tblPr>
        <w:tblW w:w="7208" w:type="dxa"/>
        <w:jc w:val="left"/>
        <w:tblInd w:w="0" w:type="dxa"/>
        <w:tblLayout w:type="fixed"/>
        <w:tblCellMar>
          <w:top w:w="0" w:type="dxa"/>
          <w:left w:w="0" w:type="dxa"/>
          <w:bottom w:w="0" w:type="dxa"/>
          <w:right w:w="0" w:type="dxa"/>
        </w:tblCellMar>
      </w:tblPr>
      <w:tblGrid>
        <w:gridCol w:w="3856"/>
        <w:gridCol w:w="326"/>
        <w:gridCol w:w="310"/>
        <w:gridCol w:w="995"/>
        <w:gridCol w:w="326"/>
        <w:gridCol w:w="296"/>
        <w:gridCol w:w="1099"/>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96850" cy="175260"/>
                      <wp:effectExtent l="0" t="0" r="0" b="0"/>
                      <wp:wrapNone/>
                      <wp:docPr id="93" name="Frame9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31825" cy="175260"/>
                      <wp:effectExtent l="0" t="0" r="0" b="0"/>
                      <wp:wrapNone/>
                      <wp:docPr id="94" name="Frame94"/>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87960" cy="175260"/>
                      <wp:effectExtent l="0" t="0" r="0" b="0"/>
                      <wp:wrapNone/>
                      <wp:docPr id="96" name="Frame96"/>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7865" cy="175260"/>
                      <wp:effectExtent l="0" t="0" r="0" b="0"/>
                      <wp:wrapNone/>
                      <wp:docPr id="97" name="Frame97"/>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20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615</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to affiliate - Contran</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9,794</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9,025</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other than on income</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tooling</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14,971</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14,052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34" w:name="Tc_yASZnj2O-kS8jDHJHw4sMA_13_11"/>
      <w:bookmarkStart w:id="735" w:name="Tc_0V0gzePAdE6g765mT_Oq0w_13_8"/>
      <w:bookmarkStart w:id="736" w:name="Tc_NDTVaj3U9U6a351jd_EeUg_13_5"/>
      <w:bookmarkStart w:id="737" w:name="Tc_9cqtQa9IxUGusHW7K_6xhQ_13_2"/>
      <w:bookmarkStart w:id="738" w:name="Tc_JcmdHQSMSky2TD4ILCmoLA_13_0"/>
      <w:bookmarkStart w:id="739" w:name="Tc_bdh_lBSIek-FBUZ0hE6Hyw_12_12"/>
      <w:bookmarkStart w:id="740" w:name="Tc_Ag3LcfVyc0SOeHPaRZ3e8A_12_6"/>
      <w:bookmarkStart w:id="741" w:name="Tc_Mi7y5HefqkizTnBAVIA7vw_12_0"/>
      <w:bookmarkStart w:id="742" w:name="Tc_MK_jJ-DPn0ybJpyaRdpPDg_11_11"/>
      <w:bookmarkStart w:id="743" w:name="Tc_XfNeVODaxEWSovEa46aqrw_11_8"/>
      <w:bookmarkStart w:id="744" w:name="Tc_DkoKKcBm_keG1JGIgd9glQ_11_5"/>
      <w:bookmarkStart w:id="745" w:name="Tc_KdHyiwKD7UmQmo_2la_h8w_11_2"/>
      <w:bookmarkStart w:id="746" w:name="Tc_99sQYsqOb0OkmEsqShSrcg_11_0"/>
      <w:bookmarkStart w:id="747" w:name="Tc_8N8Ul17za0WnPlKf0enmQg_10_0"/>
      <w:bookmarkStart w:id="748" w:name="Tc_ymcfwMKr5kej8dbRsmevLg_8_11"/>
      <w:bookmarkStart w:id="749" w:name="Tc_wHsCz4yuMUKgLK4WCosKVg_8_8"/>
      <w:bookmarkStart w:id="750" w:name="Tc_qUGRad7ui0aa4PvGotgsPw_8_5"/>
      <w:bookmarkStart w:id="751" w:name="Tc_Moq_d0dsoUubGXBfqM0qEQ_8_2"/>
      <w:bookmarkStart w:id="752" w:name="Tc_5xTUWfWLX0GZ9h5LD-4DWg_8_0"/>
      <w:bookmarkStart w:id="753" w:name="Tc_uYjiWOFEYEOcB7uhaGWqeA_7_0"/>
      <w:bookmarkStart w:id="754" w:name="Tc_LGSm0dvmu0GeOAphBB0gXQ_6_0"/>
      <w:bookmarkStart w:id="755" w:name="Tc_8aehaqXPjEuXpRyhi9_D0g_5_11"/>
      <w:bookmarkStart w:id="756" w:name="Tc_uEbChty7nUGH5MFP9G4jpQ_5_8"/>
      <w:bookmarkStart w:id="757" w:name="Tc_oC697CRHmkyshGC30-AlXw_5_5"/>
      <w:bookmarkStart w:id="758" w:name="Tc_XipSPY5orUOZk7JOx38yNw_5_2"/>
      <w:bookmarkStart w:id="759" w:name="Tc_L1GU0B12W02tADXP_B0uwQ_5_0"/>
      <w:bookmarkStart w:id="760" w:name="Tc_SvOcm06uikqaIkE06TFQrQ_4_2"/>
      <w:bookmarkStart w:id="761" w:name="Tc_iYzZsdvJ1kmsP4VmQEMvRw_3_11"/>
      <w:bookmarkStart w:id="762" w:name="Tc_7DiFT-vZg0KLJuhpQaYgPg_3_8"/>
      <w:bookmarkStart w:id="763" w:name="Tc_VTEcVFqzDk-HOqH04ISrNA_3_5"/>
      <w:bookmarkStart w:id="764" w:name="Tc_0mOFmATuXkugGYfUwcfQag_3_2"/>
      <w:bookmarkStart w:id="765" w:name="Tc_9XxqqC5T6U2a4NoyQJDY1A_2_8"/>
      <w:bookmarkStart w:id="766" w:name="Tc_l9cXq63Sf02VOuT2wlVDpg_2_2"/>
      <w:bookmarkStart w:id="767" w:name="Tc_mwNJ8knVFEuQlskToKHsOQ_1_8"/>
      <w:bookmarkStart w:id="768" w:name="Tc_pmZGcXgxOk2K0zAiyxnxwQ_1_2"/>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r>
        <w:rPr>
          <w:rFonts w:ascii="Times New Roman;Times;serif" w:hAnsi="Times New Roman;Times;serif"/>
          <w:b/>
          <w:sz w:val="20"/>
        </w:rPr>
        <w:t>Note 6 – Income taxes:</w:t>
      </w:r>
    </w:p>
    <w:p>
      <w:pPr>
        <w:pStyle w:val="TextBody"/>
        <w:bidi w:val="0"/>
        <w:spacing w:before="0" w:after="0"/>
        <w:ind w:left="0" w:right="0" w:hanging="0"/>
        <w:jc w:val="left"/>
        <w:rPr/>
      </w:pPr>
      <w:r>
        <w:rPr/>
        <w:t>​</w:t>
      </w:r>
    </w:p>
    <w:tbl>
      <w:tblPr>
        <w:tblW w:w="9213" w:type="dxa"/>
        <w:jc w:val="left"/>
        <w:tblInd w:w="0" w:type="dxa"/>
        <w:tblLayout w:type="fixed"/>
        <w:tblCellMar>
          <w:top w:w="0" w:type="dxa"/>
          <w:left w:w="0" w:type="dxa"/>
          <w:bottom w:w="0" w:type="dxa"/>
          <w:right w:w="0" w:type="dxa"/>
        </w:tblCellMar>
      </w:tblPr>
      <w:tblGrid>
        <w:gridCol w:w="4666"/>
        <w:gridCol w:w="326"/>
        <w:gridCol w:w="211"/>
        <w:gridCol w:w="571"/>
        <w:gridCol w:w="326"/>
        <w:gridCol w:w="211"/>
        <w:gridCol w:w="571"/>
        <w:gridCol w:w="326"/>
        <w:gridCol w:w="211"/>
        <w:gridCol w:w="571"/>
        <w:gridCol w:w="326"/>
        <w:gridCol w:w="211"/>
        <w:gridCol w:w="686"/>
      </w:tblGrid>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62585" cy="175260"/>
                      <wp:effectExtent l="0" t="0" r="0" b="0"/>
                      <wp:wrapNone/>
                      <wp:docPr id="100" name="Frame1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62585" cy="175260"/>
                      <wp:effectExtent l="0" t="0" r="0" b="0"/>
                      <wp:wrapNone/>
                      <wp:docPr id="103" name="Frame10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62585" cy="175260"/>
                      <wp:effectExtent l="0" t="0" r="0" b="0"/>
                      <wp:wrapNone/>
                      <wp:docPr id="106" name="Frame1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35610" cy="175260"/>
                      <wp:effectExtent l="0" t="0" r="0" b="0"/>
                      <wp:wrapNone/>
                      <wp:docPr id="109" name="Frame10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0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0"/>
              <w:ind w:left="0" w:right="0" w:hanging="0"/>
              <w:jc w:val="left"/>
              <w:rPr/>
            </w:pPr>
            <w:r>
              <w:rPr/>
              <w:t>​</w:t>
            </w:r>
          </w:p>
        </w:tc>
        <w:tc>
          <w:tcPr>
            <w:tcW w:w="20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921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2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tax expense, at the U.S. federal statutory </w:t>
              <w:br/>
              <w:t>  income tax rate of 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4,088</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548</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4,663</w:t>
            </w:r>
          </w:p>
        </w:tc>
      </w:tr>
      <w:tr>
        <w:trPr/>
        <w:tc>
          <w:tcPr>
            <w:tcW w:w="46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provision for income taxes allocable to:</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4,663</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 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4,663</w:t>
            </w:r>
          </w:p>
        </w:tc>
      </w:tr>
    </w:tbl>
    <w:p>
      <w:pPr>
        <w:pStyle w:val="TextBody"/>
        <w:bidi w:val="0"/>
        <w:spacing w:before="0" w:after="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4, 2025, the One Big Beautiful Bill Act (“OBBBA”) was signed into law in the United States. The OBBBA, among other provisions, provides for bonus depreciation of qualified property, permanently modifies the interest expense deduction to use an adjusted taxable income based on a calculation similar to EBITDA, and makes changes to international tax provisions including Foreign-Derived Intangible Income (“FDII”) (renamed Foreign-derived Deduction Eligible Income (“FDDEI”)). The legislation has multiple effective dates, with certain provisions effective in 2025 and others implemented through 2027. The OBBBA did not have a material impact on our 2025 consolidated financial statements, and we are in the process of evaluating the impact to future years as additional provisions take effect.</w:t>
      </w:r>
    </w:p>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7 – 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 involved in various environmental, contractual, product liability, patent (or intellectual property), employment and other claims and disputes incidental to our business. At least quarterly our management discusses and evaluates the status of any pending litigation to which we are a party. The factors considered in such evaluation include, among other things, the nature of such pending cases, the status of such pending cases, the advice of legal counsel and our experience in similar cases (if any). Based on such evaluation, we make a determination as to whether we believe (i) it is probable a loss has been incurred, and if so if the amount of such loss (or a range of loss) is reasonably estimable, or (ii) it is reasonably possible but not probable a loss has been incurred, and if so if the amount of such loss (or a range of loss) is reasonably estimable, or (iii) the probability a loss has been incurred is remote. We have not accrued any amounts for litigation matters because of the uncertainty of the liability and inability to reasonably estimate the liability, if any. We currently believe the disposition of all claims and disputes, individually or in the aggregate, should not have a material adverse effect on our Consolidated Financial Statements, results of operations or liquidity.</w:t>
      </w:r>
    </w:p>
    <w:p>
      <w:pPr>
        <w:pStyle w:val="TextBody"/>
        <w:bidi w:val="0"/>
        <w:spacing w:before="240" w:after="240"/>
        <w:ind w:left="0" w:right="0" w:hanging="0"/>
        <w:jc w:val="left"/>
        <w:rPr>
          <w:rFonts w:ascii="Times New Roman;Times;serif" w:hAnsi="Times New Roman;Times;serif"/>
          <w:b/>
          <w:sz w:val="20"/>
        </w:rPr>
      </w:pPr>
      <w:bookmarkStart w:id="769" w:name="Tc_h7W1Ljsq6UudLrmGUfDELA_5_11"/>
      <w:bookmarkStart w:id="770" w:name="Tc_RcdXk3k3h0Gcd1-rc2Hkeg_5_8"/>
      <w:bookmarkStart w:id="771" w:name="Tc_NWukxgIlMkSvgnExwVVpmw_5_5"/>
      <w:bookmarkStart w:id="772" w:name="Tc_SGls77d7pUS58qd3bavymA_5_2"/>
      <w:bookmarkStart w:id="773" w:name="Tc_LBt7ElKVCU2RJmtLCs13uw_5_0"/>
      <w:bookmarkStart w:id="774" w:name="Tc_X00a4KXWG0S1Y5r5BRsbSg_4_2"/>
      <w:bookmarkStart w:id="775" w:name="Tc_xhBLpvTyoUe-GsNjH5Qh4A_3_11"/>
      <w:bookmarkStart w:id="776" w:name="Tc_gl9zx2MpyECur4qAhOPiCw_3_8"/>
      <w:bookmarkStart w:id="777" w:name="Tc_Lqxy3AT-QEi4aAIpQhYEVw_3_5"/>
      <w:bookmarkStart w:id="778" w:name="Tc_DCBKSFkUXUOtR3j4KnXEHw_3_2"/>
      <w:bookmarkStart w:id="779" w:name="Tc_R6KTsnGXMkuVgtpqj4ZeyQ_2_11"/>
      <w:bookmarkStart w:id="780" w:name="Tc_DBGUhk-V50i4iD2XUltOgg_2_8"/>
      <w:bookmarkStart w:id="781" w:name="Tc_YDMJkJUNLEaL32G23PhG_w_2_5"/>
      <w:bookmarkStart w:id="782" w:name="Tc_PbQdgpFPKkK8A16RI47Rqg_2_2"/>
      <w:bookmarkStart w:id="783" w:name="Tc_CkNBkUUSFkuDZ_rw08XkLQ_1_8"/>
      <w:bookmarkStart w:id="784" w:name="Tc_fzaUFh3PbkeoFDVfUmeD1g_1_2"/>
      <w:bookmarkStart w:id="785" w:name="_0ec9ecd1_2b8c_44de_bc15_87f40132d8c3"/>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Pr>
          <w:rFonts w:ascii="Times New Roman;Times;serif" w:hAnsi="Times New Roman;Times;serif"/>
          <w:b/>
          <w:sz w:val="20"/>
        </w:rPr>
        <w:t>Note 8 –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tbl>
      <w:tblPr>
        <w:tblW w:w="7251" w:type="dxa"/>
        <w:jc w:val="left"/>
        <w:tblInd w:w="0" w:type="dxa"/>
        <w:tblLayout w:type="fixed"/>
        <w:tblCellMar>
          <w:top w:w="0" w:type="dxa"/>
          <w:left w:w="0" w:type="dxa"/>
          <w:bottom w:w="0" w:type="dxa"/>
          <w:right w:w="0" w:type="dxa"/>
        </w:tblCellMar>
      </w:tblPr>
      <w:tblGrid>
        <w:gridCol w:w="2266"/>
        <w:gridCol w:w="326"/>
        <w:gridCol w:w="214"/>
        <w:gridCol w:w="687"/>
        <w:gridCol w:w="326"/>
        <w:gridCol w:w="211"/>
        <w:gridCol w:w="676"/>
        <w:gridCol w:w="326"/>
        <w:gridCol w:w="214"/>
        <w:gridCol w:w="687"/>
        <w:gridCol w:w="326"/>
        <w:gridCol w:w="211"/>
        <w:gridCol w:w="781"/>
      </w:tblGrid>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5890" cy="175260"/>
                      <wp:effectExtent l="0" t="0" r="0" b="0"/>
                      <wp:wrapNone/>
                      <wp:docPr id="111" name="Frame11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6245" cy="175260"/>
                      <wp:effectExtent l="0" t="0" r="0" b="0"/>
                      <wp:wrapNone/>
                      <wp:docPr id="112" name="Frame112"/>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9260" cy="175260"/>
                      <wp:effectExtent l="0" t="0" r="0" b="0"/>
                      <wp:wrapNone/>
                      <wp:docPr id="115" name="Frame1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5890" cy="175260"/>
                      <wp:effectExtent l="0" t="0" r="0" b="0"/>
                      <wp:wrapNone/>
                      <wp:docPr id="117" name="Frame11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6245" cy="175260"/>
                      <wp:effectExtent l="0" t="0" r="0" b="0"/>
                      <wp:wrapNone/>
                      <wp:docPr id="118" name="Frame118"/>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95935" cy="175260"/>
                      <wp:effectExtent l="0" t="0" r="0" b="0"/>
                      <wp:wrapNone/>
                      <wp:docPr id="121" name="Frame1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1"/>
              <w:ind w:left="0" w:right="0" w:hanging="0"/>
              <w:jc w:val="left"/>
              <w:rPr/>
            </w:pPr>
            <w:r>
              <w:rPr/>
              <w:t>​</w:t>
            </w:r>
          </w:p>
        </w:tc>
        <w:tc>
          <w:tcPr>
            <w:tcW w:w="221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725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659"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60,782</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46,268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46,268</w:t>
            </w:r>
          </w:p>
        </w:tc>
      </w:tr>
    </w:tbl>
    <w:p>
      <w:pPr>
        <w:pStyle w:val="TextBody"/>
        <w:bidi w:val="0"/>
        <w:spacing w:before="0" w:after="0"/>
        <w:ind w:left="0" w:right="0" w:hanging="0"/>
        <w:jc w:val="left"/>
        <w:rPr/>
      </w:pPr>
      <w:r>
        <w:rPr/>
        <w: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Due to their near-term maturities, the carrying amounts of accounts receivable and accounts payable are considered equivalent to fair value. See Notes 3 and 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Related party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$25 million. Our loan to Valhi, as amended, bears interest at prime plus 1.00%, payable quarterly, with all principal due on demand, but in any event no earlier than December 31, 2026. Loans made to Valhi at any time under the agreement are at our discretion. At September 30, 2025, the outstanding principal balance receivable from Valhi under the promissory note was $8.1 million. Interest income (including unused commitment fees) on our loan to Valhi was $.8 million and $.7 million for the nine months ended September 30, 2024 and 2025,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10 – 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ASU 2023-09, Income Taxes (Topic 740): </w:t>
      </w:r>
      <w:r>
        <w:rPr>
          <w:rFonts w:ascii="Times New Roman;Times;serif" w:hAnsi="Times New Roman;Times;serif"/>
          <w:i/>
          <w:sz w:val="20"/>
        </w:rPr>
        <w:t>Improvements to Income Tax Disclosures</w:t>
      </w:r>
      <w:r>
        <w:rPr>
          <w:rFonts w:ascii="Times New Roman;Times;serif" w:hAnsi="Times New Roman;Times;serif"/>
          <w:sz w:val="20"/>
        </w:rPr>
        <w:t>. The ASU requires additional annual disclosure and disaggregation for the rate reconciliation, income taxes paid and income tax expense by federal, state and non-U.S. tax jurisdictions. In addition, the standard increases the disclosure requirements for items included in the rate reconciliation that meet a quantitative threshold. The ASU is effective for us beginning with our 2025 Annual Report. The ASU may be applied prospectively; however, entities have the option to apply it retrospectively. We are in the process of evaluating the additional disclosure requirements.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Reporting Comprehensive Income - Expense Disaggregation Disclosures</w:t>
      </w:r>
      <w:r>
        <w:rPr>
          <w:rFonts w:ascii="Times New Roman;Times;serif" w:hAnsi="Times New Roman;Times;serif"/>
          <w:sz w:val="20"/>
        </w:rPr>
        <w:t>. The ASU requires additional information about specific expense categories in the notes to 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pStyle w:val="Normal"/>
        <w:bidi w:val="0"/>
        <w:spacing w:before="0" w:after="0"/>
        <w:jc w:val="left"/>
        <w:rPr>
          <w:sz w:val="4"/>
          <w:szCs w:val="4"/>
        </w:rPr>
      </w:pPr>
      <w:r>
        <w:rPr>
          <w:sz w:val="4"/>
          <w:szCs w:val="4"/>
        </w:rPr>
      </w:r>
      <w:bookmarkStart w:id="786" w:name="ITEM2MANAGEMENTSDISCUSSIONANDANALYSIS_62"/>
      <w:bookmarkStart w:id="787" w:name="_c434e51f_f66c_4c3c_a0a3_c01abf0a8bfb"/>
      <w:bookmarkStart w:id="788" w:name="ITEM2MANAGEMENTSDISCUSSIONANDANALYSIS_62"/>
      <w:bookmarkStart w:id="789" w:name="_c434e51f_f66c_4c3c_a0a3_c01abf0a8bfb"/>
      <w:bookmarkEnd w:id="788"/>
      <w:bookmarkEnd w:id="789"/>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through our Marine Components segment.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raw material and other operating costs (such as zinc, brass, aluminum, steel and energy costs), including as a result of additional or changed tariffs on imported raw materials, and our ability to pass those costs on to our customers or offset them with reductions in other operating costs;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product competition from low-cost manufacturing sources (such as China);</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 including substitute products;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new product development and the development of new product features;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our use of certain permitted chemicals in our production process) or other actions;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our intellectual property rights;</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difficulties in integrating future acquisitions;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emission and discharge standards for existing and new facilities);</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disruption of our business or increases in the cost of doing business resulting from terrorist activities or global conflicts.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Operating Income Overview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Operating income in the third quarter of 2025 was $4.8 million compared to $3.3 million in the same period of 2024. Operating income for the first nine months of 2025 was $17.0 million compared to $12.1 million for the comparable prior year period. Our operating income increased in the third quarter and for the first nine months of 2025 due to higher sales and gross margin at each of the Security Products and Marine Components segments.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tbl>
      <w:tblPr>
        <w:tblW w:w="6747" w:type="dxa"/>
        <w:jc w:val="left"/>
        <w:tblInd w:w="0" w:type="dxa"/>
        <w:tblLayout w:type="fixed"/>
        <w:tblCellMar>
          <w:top w:w="0" w:type="dxa"/>
          <w:left w:w="0" w:type="dxa"/>
          <w:bottom w:w="0" w:type="dxa"/>
          <w:right w:w="0" w:type="dxa"/>
        </w:tblCellMar>
      </w:tblPr>
      <w:tblGrid>
        <w:gridCol w:w="2506"/>
        <w:gridCol w:w="326"/>
        <w:gridCol w:w="211"/>
        <w:gridCol w:w="676"/>
        <w:gridCol w:w="146"/>
        <w:gridCol w:w="571"/>
        <w:gridCol w:w="361"/>
        <w:gridCol w:w="211"/>
        <w:gridCol w:w="676"/>
        <w:gridCol w:w="146"/>
        <w:gridCol w:w="571"/>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91310" cy="175260"/>
                      <wp:effectExtent l="0" t="0" r="0" b="0"/>
                      <wp:wrapNone/>
                      <wp:docPr id="122" name="Frame122"/>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260" cy="175260"/>
                      <wp:effectExtent l="0" t="0" r="0" b="0"/>
                      <wp:wrapNone/>
                      <wp:docPr id="125" name="Frame1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92710" cy="175260"/>
                      <wp:effectExtent l="0" t="0" r="0" b="0"/>
                      <wp:wrapNone/>
                      <wp:docPr id="126" name="Frame1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62585" cy="175260"/>
                      <wp:effectExtent l="0" t="0" r="0" b="0"/>
                      <wp:wrapNone/>
                      <wp:docPr id="127" name="Frame1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29235" cy="175260"/>
                      <wp:effectExtent l="0" t="0" r="0" b="0"/>
                      <wp:wrapNone/>
                      <wp:docPr id="128" name="Frame12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29260" cy="175260"/>
                      <wp:effectExtent l="0" t="0" r="0" b="0"/>
                      <wp:wrapNone/>
                      <wp:docPr id="130" name="Frame1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92710" cy="175260"/>
                      <wp:effectExtent l="0" t="0" r="0" b="0"/>
                      <wp:wrapNone/>
                      <wp:docPr id="131" name="Frame13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62585" cy="175260"/>
                      <wp:effectExtent l="0" t="0" r="0" b="0"/>
                      <wp:wrapNone/>
                      <wp:docPr id="132" name="Frame1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56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6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r>
      <w:tr>
        <w:trPr/>
        <w:tc>
          <w:tcPr>
            <w:tcW w:w="674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6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33,667</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39,950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24,199</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28,921</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72.4</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9,468</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11,029</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27.6</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6,119</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6,268</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3,349</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4,761</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firstLine="720"/>
        <w:jc w:val="both"/>
        <w:rPr/>
      </w:pPr>
      <w:r>
        <w:rPr/>
        <w:t>​</w:t>
      </w:r>
    </w:p>
    <w:tbl>
      <w:tblPr>
        <w:tblW w:w="7317" w:type="dxa"/>
        <w:jc w:val="left"/>
        <w:tblInd w:w="0" w:type="dxa"/>
        <w:tblLayout w:type="fixed"/>
        <w:tblCellMar>
          <w:top w:w="0" w:type="dxa"/>
          <w:left w:w="0" w:type="dxa"/>
          <w:bottom w:w="0" w:type="dxa"/>
          <w:right w:w="0" w:type="dxa"/>
        </w:tblCellMar>
      </w:tblPr>
      <w:tblGrid>
        <w:gridCol w:w="2506"/>
        <w:gridCol w:w="326"/>
        <w:gridCol w:w="211"/>
        <w:gridCol w:w="781"/>
        <w:gridCol w:w="326"/>
        <w:gridCol w:w="571"/>
        <w:gridCol w:w="361"/>
        <w:gridCol w:w="211"/>
        <w:gridCol w:w="781"/>
        <w:gridCol w:w="326"/>
        <w:gridCol w:w="571"/>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591310" cy="175260"/>
                      <wp:effectExtent l="0" t="0" r="0" b="0"/>
                      <wp:wrapNone/>
                      <wp:docPr id="134" name="Frame134"/>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95935" cy="175260"/>
                      <wp:effectExtent l="0" t="0" r="0" b="0"/>
                      <wp:wrapNone/>
                      <wp:docPr id="137" name="Frame1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62585" cy="175260"/>
                      <wp:effectExtent l="0" t="0" r="0" b="0"/>
                      <wp:wrapNone/>
                      <wp:docPr id="139" name="Frame1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29235" cy="175260"/>
                      <wp:effectExtent l="0" t="0" r="0" b="0"/>
                      <wp:wrapNone/>
                      <wp:docPr id="140" name="Frame1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95935" cy="175260"/>
                      <wp:effectExtent l="0" t="0" r="0" b="0"/>
                      <wp:wrapNone/>
                      <wp:docPr id="142" name="Frame1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62585" cy="175260"/>
                      <wp:effectExtent l="0" t="0" r="0" b="0"/>
                      <wp:wrapNone/>
                      <wp:docPr id="144" name="Frame1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3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3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61"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1"/>
              <w:ind w:left="0" w:right="0" w:hanging="0"/>
              <w:jc w:val="left"/>
              <w:rPr/>
            </w:pPr>
            <w:r>
              <w:rPr/>
              <w:t>​</w:t>
            </w:r>
          </w:p>
        </w:tc>
      </w:tr>
      <w:tr>
        <w:trPr/>
        <w:tc>
          <w:tcPr>
            <w:tcW w:w="731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39" w:type="dxa"/>
            <w:gridSpan w:val="9"/>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107,525</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120,588</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77,225</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84,506</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70.1</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30,300</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36,082</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29.9</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18,155</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19,132</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15.9</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12,145</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16,950</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Net sales increased $6.3 million and $13.1 million in the third quarter and for the first nine months of 2025, respectively, compared to the same periods in 2024 primarily due to higher Security Products sales to the government security market and higher Marine Component sales to various markets including the towboat, government and industrial markets. See segment discussion below.</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Cost of sales and gross margin. </w:t>
      </w:r>
      <w:r>
        <w:rPr>
          <w:rFonts w:ascii="Times New Roman;Times;serif" w:hAnsi="Times New Roman;Times;serif"/>
          <w:sz w:val="20"/>
        </w:rPr>
        <w:t xml:space="preserve">Cost of sales as a percentage of sales increased .5% in the third quarter of 2025 compared to the same period in 2024. As a result, gross margin as a percentage of sales decreased over the same period. Gross margin percentage decreased in the third quarter of 2025 compared to the same period in 2024 primarily due to lower Security Products gross margin percentage partially offset by higher Marine Components gross margin percentage. Cost of sales as a percentage of sales improved 1.7% for the first nine months of 2025 compared to the same period in 2024. As a result, gross margin as a percentage of sales increased over the same period. The increase in gross margin percentage for the nine-month comparative period is primarily due to higher gross margin percentage at Marine Components, partially offset by lower Security Products gross margin percentage. See segment discussion below.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Operating costs and expenses consist primarily of sales and administrative-related personnel costs, sales commissions and advertising expenses directly related to product sales and administrative costs relating to business unit and corporate management activities, as well as any gains and losses on property and equipment. Operating costs and expenses for the third quarter of 2025 were comparable to the same period in 2024. Operating costs and expenses for the first nine months of 2025 increased $1.0 million compared to the same period in 2024 primarily due to higher employee-related costs including salaries, benefits and medical expenses at both segments. Operating costs and expenses as a percentage of net sales decreased for the third quarter and for the first nine months of 2025 due to higher coverage of operating costs and expenses as a result of higher sales.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xml:space="preserve"> As a percentage of net sales, operating income for the third quarter and the first nine months of 2025 increased compared to the same periods of 2024 and was primarily impacted by the factors affecting sales, cost of sales, gross margin and operating costs and expenses. See segment discussion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 xml:space="preserve">Interest income decreased $.4 million and $1.2 million in the third quarter and for the first nine months of 2025, respectively, compared to the same periods in 2024 primarily due to lower average interest rates and decreased cash balances.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 xml:space="preserve"> A tabular reconciliation of our actual tax provision to the U.S. federal statutory income tax rate is included in Note 6 to the Condensed Consolidated Financial Statements. Our operations are wholly within the U.S. and therefore our effective income tax rate is primarily reflective of the U.S. federal statutory rate and applicable state taxes.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Key performance indicators for our segments are gross margin and operating income.</w:t>
      </w:r>
    </w:p>
    <w:tbl>
      <w:tblPr>
        <w:tblW w:w="10063" w:type="dxa"/>
        <w:jc w:val="left"/>
        <w:tblInd w:w="0" w:type="dxa"/>
        <w:tblLayout w:type="fixed"/>
        <w:tblCellMar>
          <w:top w:w="0" w:type="dxa"/>
          <w:left w:w="0" w:type="dxa"/>
          <w:bottom w:w="0" w:type="dxa"/>
          <w:right w:w="0" w:type="dxa"/>
        </w:tblCellMar>
      </w:tblPr>
      <w:tblGrid>
        <w:gridCol w:w="2506"/>
        <w:gridCol w:w="326"/>
        <w:gridCol w:w="211"/>
        <w:gridCol w:w="676"/>
        <w:gridCol w:w="361"/>
        <w:gridCol w:w="211"/>
        <w:gridCol w:w="676"/>
        <w:gridCol w:w="391"/>
        <w:gridCol w:w="751"/>
        <w:gridCol w:w="361"/>
        <w:gridCol w:w="211"/>
        <w:gridCol w:w="676"/>
        <w:gridCol w:w="361"/>
        <w:gridCol w:w="211"/>
        <w:gridCol w:w="676"/>
        <w:gridCol w:w="391"/>
        <w:gridCol w:w="75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591310" cy="175260"/>
                      <wp:effectExtent l="0" t="0" r="0" b="0"/>
                      <wp:wrapNone/>
                      <wp:docPr id="146" name="Frame14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29260" cy="175260"/>
                      <wp:effectExtent l="0" t="0" r="0" b="0"/>
                      <wp:wrapNone/>
                      <wp:docPr id="149" name="Frame1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29235" cy="175260"/>
                      <wp:effectExtent l="0" t="0" r="0" b="0"/>
                      <wp:wrapNone/>
                      <wp:docPr id="150" name="Frame15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29260" cy="175260"/>
                      <wp:effectExtent l="0" t="0" r="0" b="0"/>
                      <wp:wrapNone/>
                      <wp:docPr id="152" name="Frame1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48285" cy="175260"/>
                      <wp:effectExtent l="0" t="0" r="0" b="0"/>
                      <wp:wrapNone/>
                      <wp:docPr id="153" name="Frame15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76885" cy="175260"/>
                      <wp:effectExtent l="0" t="0" r="0" b="0"/>
                      <wp:wrapNone/>
                      <wp:docPr id="154" name="Frame15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9235" cy="175260"/>
                      <wp:effectExtent l="0" t="0" r="0" b="0"/>
                      <wp:wrapNone/>
                      <wp:docPr id="155" name="Frame1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29260" cy="175260"/>
                      <wp:effectExtent l="0" t="0" r="0" b="0"/>
                      <wp:wrapNone/>
                      <wp:docPr id="157" name="Frame1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29235" cy="175260"/>
                      <wp:effectExtent l="0" t="0" r="0" b="0"/>
                      <wp:wrapNone/>
                      <wp:docPr id="158" name="Frame15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29260" cy="175260"/>
                      <wp:effectExtent l="0" t="0" r="0" b="0"/>
                      <wp:wrapNone/>
                      <wp:docPr id="160" name="Frame1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48285" cy="175260"/>
                      <wp:effectExtent l="0" t="0" r="0" b="0"/>
                      <wp:wrapNone/>
                      <wp:docPr id="161" name="Frame16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76885" cy="175260"/>
                      <wp:effectExtent l="0" t="0" r="0" b="0"/>
                      <wp:wrapNone/>
                      <wp:docPr id="162" name="Frame16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0660" cy="175260"/>
                      <wp:effectExtent l="0" t="0" r="0" b="0"/>
                      <wp:wrapNone/>
                      <wp:docPr id="163" name="Frame1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 </w:t>
            </w:r>
          </w:p>
        </w:tc>
      </w:tr>
      <w:tr>
        <w:trPr/>
        <w:tc>
          <w:tcPr>
            <w:tcW w:w="10063"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26,567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30,266</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84,667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91,179</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21,698</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58,862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64,059</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8,568</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25,805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27,120</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3,583</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10,846</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4,985</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15,445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16,274</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28.3</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29.7</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16.5</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17.8</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Security Products</w:t>
      </w:r>
      <w:r>
        <w:rPr>
          <w:rFonts w:ascii="Times New Roman;Times;serif" w:hAnsi="Times New Roman;Times;serif"/>
          <w:sz w:val="20"/>
        </w:rPr>
        <w:t>. Security Products net sales increased 14% and 8% in the third quarter and first nine months of 2025, respectively, compared to the same periods in 2024. Relative to prior year, the increase in third quarter sales was primarily due to $4.0 million higher sales to the government security market and $.3 million higher sales to the gas station security market, partially offset by $.7 million lower sales to the healthcare market and $.3 million lower sales to the tool storage market. Relative to prior year, the increase in sales for the first nine months was primarily due to $8.9 million higher sales to the government security market and $.5 million higher sales to the gas station security market, partially offset by lower sales to a variety of other markets including $1.3 million lower sales to the transportation market, $.9 million lower sales to the tool storage market and $.4 million lower contract plating sales.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Gross margin as a percentage of net sales for the third quarter of 2025 decreased compared to the same period in 2024 primarily due to higher cost inventory produced during the second quarter of 2025 and sold in the third quarter of 2025 and higher employee-related costs including salaries, benefits and medical expense partially offset by increased coverage of fixed costs as a result of higher sales. Gross margin as a percentage of net sales for the first nine months of 2025 decreased compared to the same period in 2024 primarily due to higher employee-related costs including salaries, benefits and medical expense partially offset by increased coverage of fixed costs as result of higher sales. Operating income margin for the third quarter and for the first nine months of 2025 decreased primarily due to the decreases in gross margin discussed above partially offset by increased coverage of operating costs and expenses on higher sales.</w:t>
      </w:r>
    </w:p>
    <w:tbl>
      <w:tblPr>
        <w:tblW w:w="9875" w:type="dxa"/>
        <w:jc w:val="left"/>
        <w:tblInd w:w="0" w:type="dxa"/>
        <w:tblLayout w:type="fixed"/>
        <w:tblCellMar>
          <w:top w:w="0" w:type="dxa"/>
          <w:left w:w="0" w:type="dxa"/>
          <w:bottom w:w="0" w:type="dxa"/>
          <w:right w:w="0" w:type="dxa"/>
        </w:tblCellMar>
      </w:tblPr>
      <w:tblGrid>
        <w:gridCol w:w="2506"/>
        <w:gridCol w:w="326"/>
        <w:gridCol w:w="213"/>
        <w:gridCol w:w="578"/>
        <w:gridCol w:w="365"/>
        <w:gridCol w:w="213"/>
        <w:gridCol w:w="578"/>
        <w:gridCol w:w="391"/>
        <w:gridCol w:w="751"/>
        <w:gridCol w:w="361"/>
        <w:gridCol w:w="211"/>
        <w:gridCol w:w="676"/>
        <w:gridCol w:w="361"/>
        <w:gridCol w:w="211"/>
        <w:gridCol w:w="676"/>
        <w:gridCol w:w="391"/>
        <w:gridCol w:w="75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591310" cy="175260"/>
                      <wp:effectExtent l="0" t="0" r="0" b="0"/>
                      <wp:wrapNone/>
                      <wp:docPr id="164" name="Frame164"/>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5255" cy="175260"/>
                      <wp:effectExtent l="0" t="0" r="0" b="0"/>
                      <wp:wrapNone/>
                      <wp:docPr id="166" name="Frame16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67030" cy="175260"/>
                      <wp:effectExtent l="0" t="0" r="0" b="0"/>
                      <wp:wrapNone/>
                      <wp:docPr id="167" name="Frame167"/>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31775" cy="175260"/>
                      <wp:effectExtent l="0" t="0" r="0" b="0"/>
                      <wp:wrapNone/>
                      <wp:docPr id="168" name="Frame168"/>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5255" cy="175260"/>
                      <wp:effectExtent l="0" t="0" r="0" b="0"/>
                      <wp:wrapNone/>
                      <wp:docPr id="169" name="Frame16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67030" cy="175260"/>
                      <wp:effectExtent l="0" t="0" r="0" b="0"/>
                      <wp:wrapNone/>
                      <wp:docPr id="170" name="Frame170"/>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48285" cy="175260"/>
                      <wp:effectExtent l="0" t="0" r="0" b="0"/>
                      <wp:wrapNone/>
                      <wp:docPr id="171" name="Frame17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76885" cy="175260"/>
                      <wp:effectExtent l="0" t="0" r="0" b="0"/>
                      <wp:wrapNone/>
                      <wp:docPr id="172" name="Frame17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29235" cy="175260"/>
                      <wp:effectExtent l="0" t="0" r="0" b="0"/>
                      <wp:wrapNone/>
                      <wp:docPr id="173" name="Frame1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29260" cy="175260"/>
                      <wp:effectExtent l="0" t="0" r="0" b="0"/>
                      <wp:wrapNone/>
                      <wp:docPr id="175" name="Frame1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29235" cy="175260"/>
                      <wp:effectExtent l="0" t="0" r="0" b="0"/>
                      <wp:wrapNone/>
                      <wp:docPr id="176" name="Frame17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29260" cy="175260"/>
                      <wp:effectExtent l="0" t="0" r="0" b="0"/>
                      <wp:wrapNone/>
                      <wp:docPr id="178" name="Frame1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48285" cy="175260"/>
                      <wp:effectExtent l="0" t="0" r="0" b="0"/>
                      <wp:wrapNone/>
                      <wp:docPr id="179" name="Frame17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76885" cy="175260"/>
                      <wp:effectExtent l="0" t="0" r="0" b="0"/>
                      <wp:wrapNone/>
                      <wp:docPr id="180" name="Frame18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0660" cy="175260"/>
                      <wp:effectExtent l="0" t="0" r="0" b="0"/>
                      <wp:wrapNone/>
                      <wp:docPr id="181" name="Frame18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7"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5" w:type="dxa"/>
            <w:tcBorders/>
            <w:vAlign w:val="center"/>
          </w:tcPr>
          <w:p>
            <w:pPr>
              <w:pStyle w:val="TableContents"/>
              <w:bidi w:val="0"/>
              <w:spacing w:before="0" w:after="1"/>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 </w:t>
            </w:r>
          </w:p>
        </w:tc>
      </w:tr>
      <w:tr>
        <w:trPr/>
        <w:tc>
          <w:tcPr>
            <w:tcW w:w="987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7"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578" w:type="dxa"/>
            <w:tcBorders/>
            <w:shd w:fill="CCEEFF" w:val="clear"/>
            <w:vAlign w:val="center"/>
          </w:tcPr>
          <w:p>
            <w:pPr>
              <w:pStyle w:val="TableContents"/>
              <w:bidi w:val="0"/>
              <w:spacing w:before="0" w:after="1"/>
              <w:ind w:left="0" w:right="0" w:hanging="0"/>
              <w:jc w:val="right"/>
              <w:rPr/>
            </w:pPr>
            <w:r>
              <w:rPr/>
              <w:t>  </w:t>
            </w:r>
          </w:p>
        </w:tc>
        <w:tc>
          <w:tcPr>
            <w:tcW w:w="365" w:type="dxa"/>
            <w:tcBorders/>
            <w:shd w:fill="CCEEFF" w:val="clear"/>
            <w:vAlign w:val="center"/>
          </w:tcPr>
          <w:p>
            <w:pPr>
              <w:pStyle w:val="TableContents"/>
              <w:bidi w:val="0"/>
              <w:spacing w:before="0" w:after="1"/>
              <w:ind w:left="0" w:right="0" w:hanging="0"/>
              <w:jc w:val="left"/>
              <w:rPr/>
            </w:pPr>
            <w:r>
              <w:rPr/>
              <w:t> </w:t>
            </w:r>
          </w:p>
        </w:tc>
        <w:tc>
          <w:tcPr>
            <w:tcW w:w="213" w:type="dxa"/>
            <w:tcBorders/>
            <w:shd w:fill="CCEEFF" w:val="clear"/>
            <w:vAlign w:val="center"/>
          </w:tcPr>
          <w:p>
            <w:pPr>
              <w:pStyle w:val="TableContents"/>
              <w:bidi w:val="0"/>
              <w:spacing w:before="0" w:after="1"/>
              <w:ind w:left="0" w:right="0" w:hanging="0"/>
              <w:jc w:val="left"/>
              <w:rPr/>
            </w:pPr>
            <w:r>
              <w:rPr/>
              <w:t>​</w:t>
            </w:r>
          </w:p>
        </w:tc>
        <w:tc>
          <w:tcPr>
            <w:tcW w:w="578"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7,100</w:t>
            </w:r>
          </w:p>
        </w:tc>
        <w:tc>
          <w:tcPr>
            <w:tcW w:w="365"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9,684</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22,858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29,409</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5,713</w:t>
            </w:r>
          </w:p>
        </w:tc>
        <w:tc>
          <w:tcPr>
            <w:tcW w:w="365"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7,223</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18,363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20,447</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w:t>
            </w:r>
          </w:p>
        </w:tc>
        <w:tc>
          <w:tcPr>
            <w:tcW w:w="365"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2,461</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8,962</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w:t>
            </w:r>
          </w:p>
        </w:tc>
        <w:tc>
          <w:tcPr>
            <w:tcW w:w="365"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915</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2,781</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w:t>
            </w:r>
          </w:p>
        </w:tc>
        <w:tc>
          <w:tcPr>
            <w:tcW w:w="365"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1,546</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6,181</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578"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578"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3"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25.4</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30.5</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65"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Marine Components</w:t>
      </w:r>
      <w:r>
        <w:rPr>
          <w:rFonts w:ascii="Times New Roman;Times;serif" w:hAnsi="Times New Roman;Times;serif"/>
          <w:sz w:val="20"/>
        </w:rPr>
        <w:t>. Marine Components net sales increased 36% in the third quarter of 2025 compared to the same period in 2024. Relative to prior year, the increase in third quarter sales was primarily due to $1.2 million higher sales to the industrial market, $.9 million higher sales to the towboat market and $.5 million higher sales to the government market. Marine Components net sales increased 29% in the first nine months of 2025 compared to the same period in 2024. Relative to prior year, the increase in sales for the first nine months was primarily due to $3.2 million higher sales to the towboat market, $3.1 million higher sales to the government market and $1.0 million higher sales to the industrial market, partially offset by $.9 million lower sales to the center console market.</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Gross margin as a percentage of net sales increased in the third quarter and for the first nine months of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compared to the same periods last year primarily due to increased coverage of fixed costs as a result of higher sales and to a lesser extent a more favorable customer and product mix. Operating income margin increased primarily due to the increases in gross margin discussed above and increased coverage of operating costs and expenses on higher sales.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Outlook.</w:t>
      </w:r>
      <w:r>
        <w:rPr>
          <w:rFonts w:ascii="Times New Roman;Times;serif" w:hAnsi="Times New Roman;Times;serif"/>
          <w:sz w:val="20"/>
        </w:rPr>
        <w:t xml:space="preserve"> Sales for the first nine months of 2025 reflect sustained demand across both of our segments, with year-to-date results exceeding those for the same period in 2024. Marine Components sales and operating income for the first nine months of 2025 exceeded prior year levels, driven by improved demand in the government and industrial markets as well as increased sales to the towboat market primarily in the first quarter of 2025 related to a one-time stocking event for a towboat OEM customer. Security Products sales improved from prior year primarily due to increased sales to the government security market. Raw material price increases that began in the third quarter of 2024 have persisted through the first nine months of 2025. Additionally, we began incurring tariff-related surcharges on certain components, primarily electronic components from Asia, beginning late in the second quarter of 2025. We expect these cost pressures to continue through the remainder of the year.</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We expect Security Products net sales in 2025 to improve over 2024 primarily due to continued higher sales to the government security market. However, we expect softness in various other markets to partially offset these gains, primarily the transportation and tool storage markets. Security Products gross margin and operating income percentages are expected to be slightly below prior year levels due to the impact of higher-cost inventory and tariff-related surcharges. We expect Marine Components net sales to increase in 2025 predominantly due to higher expected sales to the government and industrial markets as well as the one-time stocking event for a towboat OEM customer in the first quarter 2025. Overall, we expect Marine Components to have improved gross margin and operating income percentages in 2025 compared to 2024 due to increased coverage of fixed costs on higher expected sales volumes.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We manufacture substantially all of our products in the U.S. and source a substantial majority of our raw materials from U.S. suppliers. We also source certain components, primarily electronic components from Asia, including China. Early in the first quarter of 2025, in anticipation of the U.S. federal government tariffs announcements, we increased purchases of certain electronic components and other components to mitigate the potential near-term impact of tariffs. As noted above, late in the second quarter we began incurring tariff-related surcharges on certain raw materials, primarily electronic components. In addition to tariffs on imported raw materials and components, some of our U.S. based suppliers have recently begun to implement tariff-related surcharges on certain U.S. based purchases. Where possible, we are increasing selling prices to our customers to recoup these increased raw material costs, although the extent to which we can fully recover such costs will depend on a variety of factors including the ultimate tariff rate, the length of time tariffs are in effect, and the ability of our customers to substitute alternative products. We will continue to monitor current and anticipated near-term customer demand levels to ensure our production capabilities and inventories are aligned accordingly.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Our expectations for our operations and the markets we serve are based on a number of factors outside our control. Currently, our supply chains are stable and transportation and logistical delays are minimal. We have experienced global and domestic supply chain challenges in the past, and any future impacts on our operations will depend on, among other things, any future disruption in our operations or our suppliers’ operations, the effect of tariffs, and the impact of economic conditions, consumer confidence, and geopolitical events on demand for our products or our customers’ and suppliers’ operations, all of which remain uncertain and cannot be predicted.</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Consolidated cash flows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Trends in cash flows from operating activities, excluding changes in assets and liabilities, 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cash provided by operating activities for the first nine months of 2025 decreased by $4.8 million as compared to the first nine months of 2024. The decrease in net cash provided is primarily due to the net effects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$9.4 million increase in the amount of net cash used by relative changes in our inventories, receivables, prepaids, payables and non-tax related accruals in 2025;</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$4.9 million increase in operating income in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- 15 -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 million decrease in interest received in 2025 due to lower interest rates and decreased cash balances; and</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 million decrease in cash paid for taxes in 2025 due to the relative timing of payments.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working capital can have a significant effect on cash flows from operating activities. As shown below, the change in our average days sales outstanding increased from December 31, 2024 to September 30, 2025 primarily as a result of a seasonal increase in sales during the third quarter as compared to the fourth quarter and the timing of sales and collections relative to the end of the quarter. For comparative purposes, we have provided December 31, 2023 and September 30, 2024 numbers below.</w:t>
      </w:r>
    </w:p>
    <w:tbl>
      <w:tblPr>
        <w:tblW w:w="8824" w:type="dxa"/>
        <w:jc w:val="left"/>
        <w:tblInd w:w="0" w:type="dxa"/>
        <w:tblLayout w:type="fixed"/>
        <w:tblCellMar>
          <w:top w:w="0" w:type="dxa"/>
          <w:left w:w="0" w:type="dxa"/>
          <w:bottom w:w="0" w:type="dxa"/>
          <w:right w:w="0" w:type="dxa"/>
        </w:tblCellMar>
      </w:tblPr>
      <w:tblGrid>
        <w:gridCol w:w="2161"/>
        <w:gridCol w:w="326"/>
        <w:gridCol w:w="1306"/>
        <w:gridCol w:w="326"/>
        <w:gridCol w:w="1351"/>
        <w:gridCol w:w="326"/>
        <w:gridCol w:w="1306"/>
        <w:gridCol w:w="326"/>
        <w:gridCol w:w="139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72235" cy="175260"/>
                      <wp:effectExtent l="0" t="0" r="0" b="0"/>
                      <wp:wrapNone/>
                      <wp:docPr id="182" name="Frame182"/>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829310" cy="175260"/>
                      <wp:effectExtent l="0" t="0" r="0" b="0"/>
                      <wp:wrapNone/>
                      <wp:docPr id="184" name="Frame184"/>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57885" cy="175260"/>
                      <wp:effectExtent l="0" t="0" r="0" b="0"/>
                      <wp:wrapNone/>
                      <wp:docPr id="186" name="Frame18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829310" cy="175260"/>
                      <wp:effectExtent l="0" t="0" r="0" b="0"/>
                      <wp:wrapNone/>
                      <wp:docPr id="188" name="Frame18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886460" cy="175260"/>
                      <wp:effectExtent l="0" t="0" r="0" b="0"/>
                      <wp:wrapNone/>
                      <wp:docPr id="190" name="Frame190"/>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72235" cy="175260"/>
                      <wp:effectExtent l="0" t="0" r="0" b="0"/>
                      <wp:wrapNone/>
                      <wp:docPr id="191" name="Frame191"/>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829310" cy="175260"/>
                      <wp:effectExtent l="0" t="0" r="0" b="0"/>
                      <wp:wrapNone/>
                      <wp:docPr id="193" name="Frame19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857885" cy="175260"/>
                      <wp:effectExtent l="0" t="0" r="0" b="0"/>
                      <wp:wrapNone/>
                      <wp:docPr id="195" name="Frame195"/>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829310" cy="175260"/>
                      <wp:effectExtent l="0" t="0" r="0" b="0"/>
                      <wp:wrapNone/>
                      <wp:docPr id="197" name="Frame19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886460" cy="175260"/>
                      <wp:effectExtent l="0" t="0" r="0" b="0"/>
                      <wp:wrapNone/>
                      <wp:docPr id="199" name="Frame199"/>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139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21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Sales Outstanding:</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37 Days</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40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 Days</w:t>
            </w:r>
          </w:p>
        </w:tc>
        <w:tc>
          <w:tcPr>
            <w:tcW w:w="326" w:type="dxa"/>
            <w:tcBorders/>
            <w:shd w:fill="CCEEFF" w:val="clear"/>
            <w:vAlign w:val="center"/>
          </w:tcPr>
          <w:p>
            <w:pPr>
              <w:pStyle w:val="TableContents"/>
              <w:bidi w:val="0"/>
              <w:spacing w:before="0" w:after="1"/>
              <w:ind w:left="0" w:right="0" w:hanging="0"/>
              <w:jc w:val="left"/>
              <w:rPr/>
            </w:pPr>
            <w:r>
              <w:rPr/>
              <w:t> </w:t>
            </w:r>
          </w:p>
        </w:tc>
        <w:tc>
          <w:tcPr>
            <w:tcW w:w="13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 Days</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 Days</w:t>
            </w:r>
          </w:p>
        </w:tc>
        <w:tc>
          <w:tcPr>
            <w:tcW w:w="32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37 Days</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 Days</w:t>
            </w:r>
          </w:p>
        </w:tc>
        <w:tc>
          <w:tcPr>
            <w:tcW w:w="326" w:type="dxa"/>
            <w:tcBorders/>
            <w:vAlign w:val="center"/>
          </w:tcPr>
          <w:p>
            <w:pPr>
              <w:pStyle w:val="TableContents"/>
              <w:bidi w:val="0"/>
              <w:spacing w:before="0" w:after="1"/>
              <w:ind w:left="0" w:right="0" w:hanging="0"/>
              <w:jc w:val="left"/>
              <w:rPr/>
            </w:pPr>
            <w:r>
              <w:rPr/>
              <w:t> </w:t>
            </w:r>
          </w:p>
        </w:tc>
        <w:tc>
          <w:tcPr>
            <w:tcW w:w="13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 Days</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 Days</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 Days</w:t>
            </w:r>
          </w:p>
        </w:tc>
        <w:tc>
          <w:tcPr>
            <w:tcW w:w="326" w:type="dxa"/>
            <w:tcBorders/>
            <w:shd w:fill="CCEEFF" w:val="clear"/>
            <w:vAlign w:val="center"/>
          </w:tcPr>
          <w:p>
            <w:pPr>
              <w:pStyle w:val="TableContents"/>
              <w:bidi w:val="0"/>
              <w:spacing w:before="0" w:after="1"/>
              <w:ind w:left="0" w:right="0" w:hanging="0"/>
              <w:jc w:val="left"/>
              <w:rPr/>
            </w:pPr>
            <w:r>
              <w:rPr/>
              <w:t> </w:t>
            </w:r>
          </w:p>
        </w:tc>
        <w:tc>
          <w:tcPr>
            <w:tcW w:w="13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 Days</w:t>
            </w:r>
          </w:p>
        </w:tc>
      </w:tr>
    </w:tbl>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shown below, our average number of days in inventory increased from December 31, 2024 to September 30, 2025 primarily due to increased inventory at Security Products as a result of higher raw material and production costs and to meet expected customer demand, partially offset by lower days in inventory at Marine Components primarily due to higher sales volumes for the third quarter of 2025 as compared to the fourth quarter of 2024. For comparative purposes, we have provided December 31, 2023 and September 30, 2024 numbers below.</w:t>
      </w:r>
    </w:p>
    <w:tbl>
      <w:tblPr>
        <w:tblW w:w="8663" w:type="dxa"/>
        <w:jc w:val="left"/>
        <w:tblInd w:w="0" w:type="dxa"/>
        <w:tblLayout w:type="fixed"/>
        <w:tblCellMar>
          <w:top w:w="0" w:type="dxa"/>
          <w:left w:w="0" w:type="dxa"/>
          <w:bottom w:w="0" w:type="dxa"/>
          <w:right w:w="0" w:type="dxa"/>
        </w:tblCellMar>
      </w:tblPr>
      <w:tblGrid>
        <w:gridCol w:w="1891"/>
        <w:gridCol w:w="326"/>
        <w:gridCol w:w="1306"/>
        <w:gridCol w:w="326"/>
        <w:gridCol w:w="1351"/>
        <w:gridCol w:w="326"/>
        <w:gridCol w:w="1306"/>
        <w:gridCol w:w="326"/>
        <w:gridCol w:w="1351"/>
        <w:gridCol w:w="154"/>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00785" cy="175260"/>
                      <wp:effectExtent l="0" t="0" r="0" b="0"/>
                      <wp:wrapNone/>
                      <wp:docPr id="200" name="Frame200"/>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829310" cy="175260"/>
                      <wp:effectExtent l="0" t="0" r="0" b="0"/>
                      <wp:wrapNone/>
                      <wp:docPr id="202" name="Frame20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857885" cy="175260"/>
                      <wp:effectExtent l="0" t="0" r="0" b="0"/>
                      <wp:wrapNone/>
                      <wp:docPr id="204" name="Frame20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829310" cy="175260"/>
                      <wp:effectExtent l="0" t="0" r="0" b="0"/>
                      <wp:wrapNone/>
                      <wp:docPr id="206" name="Frame206"/>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57885" cy="175260"/>
                      <wp:effectExtent l="0" t="0" r="0" b="0"/>
                      <wp:wrapNone/>
                      <wp:docPr id="208" name="Frame20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7790" cy="175260"/>
                      <wp:effectExtent l="0" t="0" r="0" b="0"/>
                      <wp:wrapNone/>
                      <wp:docPr id="209" name="Frame20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154" w:type="dxa"/>
            <w:tcBorders/>
            <w:vAlign w:val="center"/>
          </w:tcPr>
          <w:p>
            <w:pPr>
              <w:pStyle w:val="TableContents"/>
              <w:bidi w:val="0"/>
              <w:spacing w:before="0" w:after="1"/>
              <w:ind w:left="0" w:right="0" w:hanging="0"/>
              <w:jc w:val="center"/>
              <w:rPr/>
            </w:pPr>
            <w:r>
              <w:rPr/>
              <w:t>​</w:t>
            </w:r>
          </w:p>
        </w:tc>
      </w:tr>
      <w:tr>
        <w:trPr/>
        <w:tc>
          <w:tcPr>
            <w:tcW w:w="189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in Inventory:</w:t>
            </w:r>
          </w:p>
        </w:tc>
        <w:tc>
          <w:tcPr>
            <w:tcW w:w="326" w:type="dxa"/>
            <w:tcBorders/>
            <w:shd w:fill="CCEEFF" w:val="clear"/>
            <w:vAlign w:val="center"/>
          </w:tcPr>
          <w:p>
            <w:pPr>
              <w:pStyle w:val="TableContents"/>
              <w:bidi w:val="0"/>
              <w:spacing w:before="0" w:after="1"/>
              <w:ind w:left="0" w:right="0" w:hanging="0"/>
              <w:jc w:val="center"/>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shd w:fill="CCEEFF" w:val="clear"/>
            <w:vAlign w:val="center"/>
          </w:tcPr>
          <w:p>
            <w:pPr>
              <w:pStyle w:val="TableContents"/>
              <w:bidi w:val="0"/>
              <w:spacing w:before="0" w:after="1"/>
              <w:ind w:left="0" w:right="0" w:hanging="0"/>
              <w:jc w:val="center"/>
              <w:rPr/>
            </w:pPr>
            <w:r>
              <w:rPr/>
              <w:t>    </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shd w:fill="CCEEFF" w:val="clear"/>
            <w:vAlign w:val="center"/>
          </w:tcPr>
          <w:p>
            <w:pPr>
              <w:pStyle w:val="TableContents"/>
              <w:bidi w:val="0"/>
              <w:spacing w:before="0" w:after="1"/>
              <w:ind w:left="0" w:right="0" w:hanging="0"/>
              <w:jc w:val="center"/>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shd w:fill="CCEEFF" w:val="clear"/>
            <w:vAlign w:val="center"/>
          </w:tcPr>
          <w:p>
            <w:pPr>
              <w:pStyle w:val="TableContents"/>
              <w:bidi w:val="0"/>
              <w:spacing w:before="0" w:after="1"/>
              <w:ind w:left="0" w:right="0" w:hanging="0"/>
              <w:jc w:val="center"/>
              <w:rPr/>
            </w:pPr>
            <w:r>
              <w:rPr/>
              <w:t>    </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54" w:type="dxa"/>
            <w:tcBorders/>
            <w:shd w:fill="CCEEFF" w:val="clear"/>
            <w:vAlign w:val="center"/>
          </w:tcPr>
          <w:p>
            <w:pPr>
              <w:pStyle w:val="TableContents"/>
              <w:bidi w:val="0"/>
              <w:spacing w:before="0" w:after="1"/>
              <w:ind w:left="0" w:right="0" w:hanging="0"/>
              <w:jc w:val="center"/>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77 Days</w:t>
            </w:r>
          </w:p>
        </w:tc>
        <w:tc>
          <w:tcPr>
            <w:tcW w:w="32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 Days</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 Days</w:t>
            </w:r>
          </w:p>
        </w:tc>
        <w:tc>
          <w:tcPr>
            <w:tcW w:w="32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91 Days</w:t>
            </w:r>
          </w:p>
        </w:tc>
        <w:tc>
          <w:tcPr>
            <w:tcW w:w="154"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175 Days</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130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130 Days</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116 Days</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 Days</w:t>
            </w:r>
          </w:p>
        </w:tc>
        <w:tc>
          <w:tcPr>
            <w:tcW w:w="32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105 Days</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 Days</w:t>
            </w:r>
          </w:p>
        </w:tc>
        <w:tc>
          <w:tcPr>
            <w:tcW w:w="32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97 Days</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 xml:space="preserve">Investing activities. </w:t>
      </w:r>
      <w:r>
        <w:rPr>
          <w:rFonts w:ascii="Times New Roman;Times;serif" w:hAnsi="Times New Roman;Times;serif"/>
          <w:sz w:val="20"/>
        </w:rPr>
        <w:t>Our capital expenditures were $3.1 million and $1.2 million in the first nine months of 2025 and 2024, respectively. During the first nine months of 2025, Valhi repaid a net $1.2 million under the promissory note ($10.7 million of gross borrowings and $11.9 million of gross repayments). During the first nine months of 2024, Valhi repaid a net $2.7 million under the promissory note ($17.7 million of gross borrowings and $20.4 million of gross repayments). See Note 9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first nine months of 2024, we received gross proceeds totaling $36.0 million related to U.S. treasury bill maturities.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Financing activities. </w:t>
      </w:r>
      <w:r>
        <w:rPr>
          <w:rFonts w:ascii="Times New Roman;Times;serif" w:hAnsi="Times New Roman;Times;serif"/>
          <w:sz w:val="20"/>
        </w:rPr>
        <w:t xml:space="preserve">Financing activities consisted only of cash dividends. During the first nine months of 2025 and 2024, we paid aggregate quarterly dividends to CompX stockholders of $.90 per share. Additionally, in August 2024 and August 2025, our board of directors declared a special dividend on our Class A common stock of $2.00 per share ($24.6 million) and $1.00 per share ($12.3 million), respectively.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Future cash requirements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Liquidity</w:t>
      </w:r>
      <w:r>
        <w:rPr>
          <w:rFonts w:ascii="Times New Roman;Times;serif" w:hAnsi="Times New Roman;Times;serif"/>
          <w:sz w:val="20"/>
        </w:rPr>
        <w:t>. Our primary source of liquidity on an ongoing basis is our cash flow from operating activities, which is 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- 16 -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may consider using available cash, issuing additional equity securities or increasing our indebtedness or that of our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$46.3 million aggregate cash and cash equivalents at September 30, 2025 were held in the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Firm purchase commitments for capital projects in process at September 30, 2025 totaled $1.2 million. We expect our capital expenditures for 2025 will be approximately $4 million primarily to meet our existing customer demand and those required to properly maintain our facilities and technology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Stock repurchase program. </w:t>
      </w:r>
      <w:r>
        <w:rPr>
          <w:rFonts w:ascii="Times New Roman;Times;serif" w:hAnsi="Times New Roman;Times;serif"/>
          <w:sz w:val="20"/>
        </w:rPr>
        <w:t>At September 30, 2025, we have 523,647 shares available for repurchase under a stock repurchase program authorized by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Commitments and contingencies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certain commitments and contingencies, as more fully described in our 2024 Annual Report or in Note 7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10 to our Condensed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changes in the first nine months of 2025 with respect to our critical accounting policies presented in Management’s Discussion and Analysis of Financial Condition and Results of Operations in our 2024 Annual Report.</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bookmarkStart w:id="790" w:name="ITEM3QUANTITATIVEANDQUALITATIVE_461712"/>
      <w:bookmarkStart w:id="791" w:name="_f29f386b_5b61_4a8c_a062_b0a5d55bd4b3"/>
      <w:bookmarkEnd w:id="790"/>
      <w:bookmarkEnd w:id="791"/>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exposed to market risk from changes in interest rates and raw material prices. There have been no material changes in these market risks since we filed our 2024 Annual Report, and we refer you to Part I, Item 7A – “Quantitative and Qualitative Disclosure About Market Risk” in our 2024 Annual Report. See also Note 8 to our Condensed Consolidated Financial Statements.</w:t>
      </w:r>
    </w:p>
    <w:p>
      <w:pPr>
        <w:pStyle w:val="TextBody"/>
        <w:bidi w:val="0"/>
        <w:spacing w:before="0" w:after="240"/>
        <w:ind w:left="0" w:right="0" w:firstLine="720"/>
        <w:jc w:val="both"/>
        <w:rPr/>
      </w:pPr>
      <w:r>
        <w:rPr/>
        <w:t>​</w:t>
      </w:r>
    </w:p>
    <w:p>
      <w:pPr>
        <w:pStyle w:val="TextBody"/>
        <w:pBdr/>
        <w:bidi w:val="0"/>
        <w:spacing w:before="0" w:after="240"/>
        <w:ind w:left="0" w:right="0" w:hanging="0"/>
        <w:jc w:val="left"/>
        <w:rPr>
          <w:rFonts w:ascii="Times New Roman;Times;serif" w:hAnsi="Times New Roman;Times;serif"/>
          <w:b/>
          <w:sz w:val="20"/>
        </w:rPr>
      </w:pPr>
      <w:bookmarkStart w:id="792" w:name="ITEM4CONTROLSANDPROCEDURES_115866"/>
      <w:bookmarkStart w:id="793" w:name="_f075cc31_4561_4a38_8622_fab9d3c53c08"/>
      <w:bookmarkEnd w:id="792"/>
      <w:bookmarkEnd w:id="793"/>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Evaluation of Disclosure Controls and Procedures. </w:t>
      </w:r>
      <w:r>
        <w:rPr>
          <w:rFonts w:ascii="Times New Roman;Times;serif" w:hAnsi="Times New Roman;Times;serif"/>
          <w:sz w:val="20"/>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September 30, 2025. Based upon their evaluation, these executive officers have concluded that our disclosure controls and procedures are effective as of the date of such evaluation.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Internal Control Over Financial Reporting</w:t>
      </w:r>
      <w:r>
        <w:rPr>
          <w:rFonts w:ascii="Times New Roman;Times;serif" w:hAnsi="Times New Roman;Times;serif"/>
          <w:sz w:val="20"/>
        </w:rPr>
        <w:t xml:space="preserve">. Our management is responsible for establishing and maintaining adequate internal control over financial reporting which, as defined in Exchange Act Rule 13a-15(f), means a process designed by, or under the supervision of, our principal executive and principal financial officers, or persons performing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- 17 -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our assets that could have a material effect on our Condensed Consolidated Financial Statements.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There have been no changes in our internal control over financial reporting during the quarter ended September 30, 2025 that have materially affected, or are reasonably likely to materially affect, our internal control over financial reporting.</w:t>
      </w:r>
    </w:p>
    <w:p>
      <w:pPr>
        <w:pStyle w:val="TextBody"/>
        <w:bidi w:val="0"/>
        <w:spacing w:before="240" w:after="240"/>
        <w:ind w:left="0" w:right="0" w:hanging="0"/>
        <w:jc w:val="center"/>
        <w:rPr>
          <w:rFonts w:ascii="Times New Roman;Times;serif" w:hAnsi="Times New Roman;Times;serif"/>
          <w:b/>
          <w:sz w:val="20"/>
        </w:rPr>
      </w:pPr>
      <w:bookmarkStart w:id="794" w:name="PartIIOTHERINFORMATION_828529"/>
      <w:bookmarkStart w:id="795" w:name="_fa66aa0c_dd46_4f6a_aa6d_757ca8dfb12b"/>
      <w:bookmarkEnd w:id="794"/>
      <w:bookmarkEnd w:id="795"/>
      <w:r>
        <w:rPr>
          <w:rFonts w:ascii="Times New Roman;Times;serif" w:hAnsi="Times New Roman;Times;serif"/>
          <w:b/>
          <w:sz w:val="20"/>
        </w:rPr>
        <w:t>Part II. OTHER INFORMATION</w:t>
      </w:r>
    </w:p>
    <w:p>
      <w:pPr>
        <w:pStyle w:val="TextBody"/>
        <w:pBdr/>
        <w:bidi w:val="0"/>
        <w:spacing w:before="0" w:after="240"/>
        <w:ind w:left="0" w:right="0" w:hanging="0"/>
        <w:jc w:val="left"/>
        <w:rPr>
          <w:rFonts w:ascii="Times New Roman;Times;serif" w:hAnsi="Times New Roman;Times;serif"/>
          <w:b/>
          <w:sz w:val="20"/>
        </w:rPr>
      </w:pPr>
      <w:bookmarkStart w:id="796" w:name="ITEM1LEGALPROCEEDINGS"/>
      <w:bookmarkEnd w:id="796"/>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Refer to Note 7 to our Condensed Consolidated Financial Statements and our 2024 Annual Report for descriptions of certain legal proceedings.</w:t>
      </w:r>
    </w:p>
    <w:p>
      <w:pPr>
        <w:pStyle w:val="TextBody"/>
        <w:pBdr/>
        <w:bidi w:val="0"/>
        <w:spacing w:before="0" w:after="240"/>
        <w:ind w:left="0" w:right="0" w:hanging="0"/>
        <w:jc w:val="left"/>
        <w:rPr>
          <w:rFonts w:ascii="Times New Roman;Times;serif" w:hAnsi="Times New Roman;Times;serif"/>
          <w:b/>
          <w:sz w:val="20"/>
        </w:rPr>
      </w:pPr>
      <w:bookmarkStart w:id="797" w:name="ITEM1ARiskFactors_841388"/>
      <w:bookmarkEnd w:id="797"/>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2024 Annual Report for a discussion of risk factors related to our businesses.</w:t>
      </w:r>
    </w:p>
    <w:p>
      <w:pPr>
        <w:pStyle w:val="TextBody"/>
        <w:pBdr/>
        <w:bidi w:val="0"/>
        <w:spacing w:before="0" w:after="240"/>
        <w:ind w:left="0" w:right="0" w:hanging="0"/>
        <w:jc w:val="left"/>
        <w:rPr>
          <w:rFonts w:ascii="Times New Roman;Times;serif" w:hAnsi="Times New Roman;Times;serif"/>
          <w:sz w:val="20"/>
        </w:rPr>
      </w:pPr>
      <w:bookmarkStart w:id="798" w:name="ITEM6Exhibits_812943"/>
      <w:bookmarkStart w:id="799" w:name="_bbce409c_abd4_43f7_94a9_8c8b751b522e"/>
      <w:bookmarkEnd w:id="798"/>
      <w:bookmarkEnd w:id="799"/>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858"/>
        <w:gridCol w:w="326"/>
        <w:gridCol w:w="9021"/>
      </w:tblGrid>
      <w:tr>
        <w:trPr/>
        <w:tc>
          <w:tcPr>
            <w:tcW w:w="85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72415" cy="175260"/>
                      <wp:effectExtent l="0" t="0" r="0" b="0"/>
                      <wp:wrapNone/>
                      <wp:docPr id="210" name="Frame210"/>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03505" cy="175260"/>
                      <wp:effectExtent l="0" t="0" r="0" b="0"/>
                      <wp:wrapNone/>
                      <wp:docPr id="211" name="Frame211"/>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02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863850" cy="175260"/>
                      <wp:effectExtent l="0" t="0" r="0" b="0"/>
                      <wp:wrapNone/>
                      <wp:docPr id="212" name="Frame212"/>
                      <a:graphic xmlns:a="http://schemas.openxmlformats.org/drawingml/2006/main">
                        <a:graphicData uri="http://schemas.microsoft.com/office/word/2010/wordprocessingShape">
                          <wps:wsp>
                            <wps:cNvSpPr txBox="1"/>
                            <wps:spPr>
                              <a:xfrm>
                                <a:off x="0" y="0"/>
                                <a:ext cx="286385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58" w:type="dxa"/>
            <w:tcBorders/>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No.</w:t>
            </w:r>
          </w:p>
        </w:tc>
        <w:tc>
          <w:tcPr>
            <w:tcW w:w="326" w:type="dxa"/>
            <w:tcBorders/>
            <w:vAlign w:val="center"/>
          </w:tcPr>
          <w:p>
            <w:pPr>
              <w:pStyle w:val="TableHeading"/>
              <w:bidi w:val="0"/>
              <w:spacing w:before="0" w:after="0"/>
              <w:ind w:left="0" w:right="0" w:hanging="0"/>
              <w:jc w:val="left"/>
              <w:rPr/>
            </w:pPr>
            <w:r>
              <w:rPr/>
              <w:t>    </w:t>
            </w:r>
          </w:p>
        </w:tc>
        <w:tc>
          <w:tcPr>
            <w:tcW w:w="9021" w:type="dxa"/>
            <w:tcBorders/>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 Index</w:t>
            </w:r>
          </w:p>
        </w:tc>
      </w:tr>
      <w:tr>
        <w:trPr/>
        <w:tc>
          <w:tcPr>
            <w:tcW w:w="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pPr>
            <w:hyperlink w:anchor="cix-20250930xex31d1.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pPr>
            <w:hyperlink w:anchor="cix-20250930xex31d2.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pPr>
            <w:hyperlink w:anchor="cix-20250930xex32d1.htm">
              <w:r>
                <w:rPr>
                  <w:rStyle w:val="InternetLink"/>
                  <w:rFonts w:ascii="Times New Roman;Times;serif" w:hAnsi="Times New Roman;Times;serif"/>
                  <w:b w:val="false"/>
                  <w:i w:val="false"/>
                  <w:caps w:val="false"/>
                  <w:smallCaps w:val="false"/>
                  <w:sz w:val="20"/>
                </w:rPr>
                <w:t>Certification</w:t>
              </w:r>
            </w:hyperlink>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Schema</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858"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8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800" w:name="_172e3b41_096e_4572_84e2_b2cba0f7e023"/>
      <w:bookmarkEnd w:id="800"/>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- 18 -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319" w:type="dxa"/>
        <w:jc w:val="left"/>
        <w:tblInd w:w="0" w:type="dxa"/>
        <w:tblLayout w:type="fixed"/>
        <w:tblCellMar>
          <w:top w:w="0" w:type="dxa"/>
          <w:left w:w="0" w:type="dxa"/>
          <w:bottom w:w="0" w:type="dxa"/>
          <w:right w:w="0" w:type="dxa"/>
        </w:tblCellMar>
      </w:tblPr>
      <w:tblGrid>
        <w:gridCol w:w="2146"/>
        <w:gridCol w:w="326"/>
        <w:gridCol w:w="406"/>
        <w:gridCol w:w="444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62710" cy="175260"/>
                      <wp:effectExtent l="0" t="0" r="0" b="0"/>
                      <wp:wrapNone/>
                      <wp:docPr id="213" name="Frame213"/>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57810" cy="175260"/>
                      <wp:effectExtent l="0" t="0" r="0" b="0"/>
                      <wp:wrapNone/>
                      <wp:docPr id="214" name="Frame21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820035" cy="175260"/>
                      <wp:effectExtent l="0" t="0" r="0" b="0"/>
                      <wp:wrapNone/>
                      <wp:docPr id="215" name="Frame215"/>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COMPX INTERNATIONAL INC.</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E. Ruf</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E. Ruf</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Controller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- 19 -</w:t>
      </w:r>
    </w:p>
    <w:p>
      <w:pPr>
        <w:pStyle w:val="TextBody"/>
        <w:bidi w:val="0"/>
        <w:spacing w:before="0" w:after="240"/>
        <w:ind w:left="0" w:right="0" w:hanging="0"/>
        <w:jc w:val="right"/>
        <w:rPr>
          <w:rFonts w:ascii="Times New Roman;Times;serif" w:hAnsi="Times New Roman;Times;serif"/>
          <w:b/>
          <w:sz w:val="20"/>
        </w:rPr>
      </w:pPr>
      <w:bookmarkStart w:id="801" w:name="cix-20250930xex31d1.htm"/>
      <w:bookmarkStart w:id="802" w:name="kscix20250930xex31d1"/>
      <w:bookmarkEnd w:id="801"/>
      <w:bookmarkEnd w:id="802"/>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Scott C. James,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November 5, 2025</w:t>
      </w:r>
    </w:p>
    <w:p>
      <w:pPr>
        <w:pStyle w:val="TextBody"/>
        <w:bidi w:val="0"/>
        <w:spacing w:before="0" w:after="0"/>
        <w:ind w:left="0" w:right="0" w:hanging="0"/>
        <w:jc w:val="left"/>
        <w:rPr/>
      </w:pPr>
      <w:r>
        <w:rPr/>
        <w:t>​</w:t>
      </w:r>
    </w:p>
    <w:tbl>
      <w:tblPr>
        <w:tblW w:w="3741" w:type="dxa"/>
        <w:jc w:val="center"/>
        <w:tblInd w:w="0" w:type="dxa"/>
        <w:tblLayout w:type="fixed"/>
        <w:tblCellMar>
          <w:top w:w="0" w:type="dxa"/>
          <w:left w:w="0" w:type="dxa"/>
          <w:bottom w:w="0" w:type="dxa"/>
          <w:right w:w="0" w:type="dxa"/>
        </w:tblCellMar>
      </w:tblPr>
      <w:tblGrid>
        <w:gridCol w:w="421"/>
        <w:gridCol w:w="3166"/>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03" w:name="cix-20250930xex31d2.htm"/>
      <w:bookmarkStart w:id="804" w:name="kscix20250930xex31d2"/>
      <w:bookmarkEnd w:id="803"/>
      <w:bookmarkEnd w:id="804"/>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Amy A. Samford,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p>
      <w:pPr>
        <w:pStyle w:val="TextBody"/>
        <w:bidi w:val="0"/>
        <w:spacing w:before="0" w:after="0"/>
        <w:ind w:left="0" w:right="0" w:hanging="0"/>
        <w:jc w:val="left"/>
        <w:rPr/>
      </w:pPr>
      <w:r>
        <w:rPr/>
        <w:t>​</w:t>
      </w:r>
    </w:p>
    <w:tbl>
      <w:tblPr>
        <w:tblW w:w="4971" w:type="dxa"/>
        <w:jc w:val="center"/>
        <w:tblInd w:w="0" w:type="dxa"/>
        <w:tblLayout w:type="fixed"/>
        <w:tblCellMar>
          <w:top w:w="0" w:type="dxa"/>
          <w:left w:w="0" w:type="dxa"/>
          <w:bottom w:w="0" w:type="dxa"/>
          <w:right w:w="0" w:type="dxa"/>
        </w:tblCellMar>
      </w:tblPr>
      <w:tblGrid>
        <w:gridCol w:w="421"/>
        <w:gridCol w:w="4396"/>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67335" cy="175260"/>
                      <wp:effectExtent l="0" t="0" r="0" b="0"/>
                      <wp:wrapNone/>
                      <wp:docPr id="216" name="Frame21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791460" cy="175260"/>
                      <wp:effectExtent l="0" t="0" r="0" b="0"/>
                      <wp:wrapNone/>
                      <wp:docPr id="217" name="Frame217"/>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05" w:name="cix-20250930xex32d1.htm"/>
      <w:bookmarkStart w:id="806" w:name="kscix20250930xex32d1"/>
      <w:bookmarkEnd w:id="805"/>
      <w:bookmarkEnd w:id="806"/>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CompX International Inc. (the Company) on Form 10-Q for the period ending September 30, 2025,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5016" w:type="dxa"/>
        <w:jc w:val="center"/>
        <w:tblInd w:w="0" w:type="dxa"/>
        <w:tblLayout w:type="fixed"/>
        <w:tblCellMar>
          <w:top w:w="0" w:type="dxa"/>
          <w:left w:w="0" w:type="dxa"/>
          <w:bottom w:w="0" w:type="dxa"/>
          <w:right w:w="0" w:type="dxa"/>
        </w:tblCellMar>
      </w:tblPr>
      <w:tblGrid>
        <w:gridCol w:w="421"/>
        <w:gridCol w:w="4441"/>
        <w:gridCol w:w="154"/>
      </w:tblGrid>
      <w:tr>
        <w:trPr/>
        <w:tc>
          <w:tcPr>
            <w:tcW w:w="42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November 5, 2025</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9449</Words>
  <Characters>51395</Characters>
  <CharactersWithSpaces>61966</CharactersWithSpaces>
  <Paragraphs>3674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