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cix-20260304x8k.htm"/>
      <w:bookmarkStart w:id="1" w:name="kscix20260304x8k"/>
      <w:bookmarkEnd w:id="0"/>
      <w:bookmarkEnd w:id="1"/>
      <w:r>
        <w:rPr/>
        <w:t>​</w:t>
      </w:r>
    </w:p>
    <w:p>
      <w:pPr>
        <w:pStyle w:val="TextBody"/>
        <w:bidi w:val="0"/>
        <w:spacing w:before="0" w:after="24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445452d3_a017_4abf_8736_180119e7d87a"/>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March 4, 2026</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COMPX INTERNATIONAL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2dAp1_WUl0C-R8XRrihtHw_5_2"/>
      <w:bookmarkStart w:id="4" w:name="Tc_9g8KAoH2BkmKdUVsMmDyyw_5_0"/>
      <w:bookmarkStart w:id="5" w:name="Tc_TLVq_3kV0EO2jNRC1OZ0bQ_4_0"/>
      <w:bookmarkStart w:id="6" w:name="Tc_bXlwPeNjUUON825oFdg8Hg_1_2"/>
      <w:bookmarkStart w:id="7" w:name="Tc_bFW7WG3EGkaLfeRfJHKy8Q_1_1"/>
      <w:bookmarkStart w:id="8" w:name="Tc_GXrjPwqLl06YVwWj0_5gVw_1_0"/>
      <w:bookmarkStart w:id="9" w:name="_b4f68095_e54f_4e44_947a_47c1ed4f140d"/>
      <w:bookmarkStart w:id="10" w:name="Tc_2dAp1_WUl0C-R8XRrihtHw_5_2"/>
      <w:bookmarkStart w:id="11" w:name="Tc_9g8KAoH2BkmKdUVsMmDyyw_5_0"/>
      <w:bookmarkStart w:id="12" w:name="Tc_TLVq_3kV0EO2jNRC1OZ0bQ_4_0"/>
      <w:bookmarkStart w:id="13" w:name="Tc_bXlwPeNjUUON825oFdg8Hg_1_2"/>
      <w:bookmarkStart w:id="14" w:name="Tc_bFW7WG3EGkaLfeRfJHKy8Q_1_1"/>
      <w:bookmarkStart w:id="15" w:name="Tc_GXrjPwqLl06YVwWj0_5gVw_1_0"/>
      <w:bookmarkStart w:id="16" w:name="_b4f68095_e54f_4e44_947a_47c1ed4f140d"/>
      <w:bookmarkEnd w:id="10"/>
      <w:bookmarkEnd w:id="11"/>
      <w:bookmarkEnd w:id="12"/>
      <w:bookmarkEnd w:id="13"/>
      <w:bookmarkEnd w:id="14"/>
      <w:bookmarkEnd w:id="15"/>
      <w:bookmarkEnd w:id="16"/>
    </w:p>
    <w:tbl>
      <w:tblPr>
        <w:tblW w:w="6513" w:type="dxa"/>
        <w:jc w:val="left"/>
        <w:tblInd w:w="0" w:type="dxa"/>
        <w:tblLayout w:type="fixed"/>
        <w:tblCellMar>
          <w:top w:w="0" w:type="dxa"/>
          <w:left w:w="0" w:type="dxa"/>
          <w:bottom w:w="0" w:type="dxa"/>
          <w:right w:w="0" w:type="dxa"/>
        </w:tblCellMar>
      </w:tblPr>
      <w:tblGrid>
        <w:gridCol w:w="3676"/>
        <w:gridCol w:w="1186"/>
        <w:gridCol w:w="1651"/>
      </w:tblGrid>
      <w:tr>
        <w:trPr/>
        <w:tc>
          <w:tcPr>
            <w:tcW w:w="367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Delaware</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1-13905</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57-0981653</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r>
        <w:trPr/>
        <w:tc>
          <w:tcPr>
            <w:tcW w:w="3676" w:type="dxa"/>
            <w:tcBorders/>
            <w:vAlign w:val="center"/>
          </w:tcPr>
          <w:p>
            <w:pPr>
              <w:pStyle w:val="TableContents"/>
              <w:bidi w:val="0"/>
              <w:spacing w:before="0" w:after="240"/>
              <w:ind w:left="0" w:right="0" w:hanging="0"/>
              <w:jc w:val="center"/>
              <w:rPr/>
            </w:pPr>
            <w:r>
              <w:rPr/>
              <w:t>​</w:t>
            </w:r>
          </w:p>
        </w:tc>
        <w:tc>
          <w:tcPr>
            <w:tcW w:w="1186" w:type="dxa"/>
            <w:tcBorders/>
            <w:vAlign w:val="center"/>
          </w:tcPr>
          <w:p>
            <w:pPr>
              <w:pStyle w:val="TableContents"/>
              <w:bidi w:val="0"/>
              <w:spacing w:before="0" w:after="240"/>
              <w:ind w:left="0" w:right="0" w:hanging="0"/>
              <w:jc w:val="center"/>
              <w:rPr/>
            </w:pPr>
            <w:r>
              <w:rPr/>
              <w:t>​</w:t>
            </w:r>
          </w:p>
        </w:tc>
        <w:tc>
          <w:tcPr>
            <w:tcW w:w="1651" w:type="dxa"/>
            <w:tcBorders/>
            <w:vAlign w:val="center"/>
          </w:tcPr>
          <w:p>
            <w:pPr>
              <w:pStyle w:val="TableContents"/>
              <w:bidi w:val="0"/>
              <w:spacing w:before="0" w:after="240"/>
              <w:ind w:left="0" w:right="0" w:hanging="0"/>
              <w:jc w:val="center"/>
              <w:rPr/>
            </w:pPr>
            <w:r>
              <w:rPr/>
              <w:t>​</w:t>
            </w:r>
          </w:p>
        </w:tc>
      </w:tr>
      <w:tr>
        <w:trPr/>
        <w:tc>
          <w:tcPr>
            <w:tcW w:w="3676" w:type="dxa"/>
            <w:tcBorders/>
            <w:vAlign w:val="center"/>
          </w:tcPr>
          <w:p>
            <w:pPr>
              <w:pStyle w:val="TableContents"/>
              <w:bidi w:val="0"/>
              <w:spacing w:before="0" w:after="240"/>
              <w:ind w:left="0" w:right="0" w:hanging="0"/>
              <w:jc w:val="center"/>
              <w:rPr/>
            </w:pPr>
            <w:r>
              <w:rPr/>
              <w:t>​</w:t>
            </w:r>
          </w:p>
        </w:tc>
        <w:tc>
          <w:tcPr>
            <w:tcW w:w="1186" w:type="dxa"/>
            <w:tcBorders/>
            <w:vAlign w:val="center"/>
          </w:tcPr>
          <w:p>
            <w:pPr>
              <w:pStyle w:val="TableContents"/>
              <w:bidi w:val="0"/>
              <w:spacing w:before="0" w:after="240"/>
              <w:ind w:left="0" w:right="0" w:hanging="0"/>
              <w:jc w:val="center"/>
              <w:rPr/>
            </w:pPr>
            <w:r>
              <w:rPr/>
              <w:t>​</w:t>
            </w:r>
          </w:p>
        </w:tc>
        <w:tc>
          <w:tcPr>
            <w:tcW w:w="1651" w:type="dxa"/>
            <w:tcBorders/>
            <w:vAlign w:val="center"/>
          </w:tcPr>
          <w:p>
            <w:pPr>
              <w:pStyle w:val="TableContents"/>
              <w:bidi w:val="0"/>
              <w:spacing w:before="0" w:after="240"/>
              <w:ind w:left="0" w:right="0" w:hanging="0"/>
              <w:jc w:val="center"/>
              <w:rPr/>
            </w:pPr>
            <w:r>
              <w:rPr/>
              <w:t>​</w:t>
            </w:r>
          </w:p>
        </w:tc>
      </w:tr>
      <w:tr>
        <w:trP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5430 LBJ Freeway, Suite 1700, Dallas, Texas</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75240-2620</w:t>
            </w:r>
          </w:p>
        </w:tc>
      </w:tr>
      <w:tr>
        <w:trP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(972) 448-1400</w:t>
      </w:r>
    </w:p>
    <w:p>
      <w:pPr>
        <w:pStyle w:val="TextBody"/>
        <w:bidi w:val="0"/>
        <w:spacing w:before="0" w:after="240"/>
        <w:ind w:left="0" w:right="0" w:hanging="0"/>
        <w:jc w:val="both"/>
        <w:rPr/>
      </w:pPr>
      <w:r>
        <w:rPr/>
        <w:t>​</w:t>
      </w:r>
    </w:p>
    <w:tbl>
      <w:tblPr>
        <w:tblW w:w="5289" w:type="dxa"/>
        <w:jc w:val="left"/>
        <w:tblInd w:w="0" w:type="dxa"/>
        <w:tblLayout w:type="fixed"/>
        <w:tblCellMar>
          <w:top w:w="0" w:type="dxa"/>
          <w:left w:w="0" w:type="dxa"/>
          <w:bottom w:w="0" w:type="dxa"/>
          <w:right w:w="0" w:type="dxa"/>
        </w:tblCellMar>
      </w:tblPr>
      <w:tblGrid>
        <w:gridCol w:w="124"/>
        <w:gridCol w:w="5011"/>
        <w:gridCol w:w="154"/>
      </w:tblGrid>
      <w:tr>
        <w:trPr/>
        <w:tc>
          <w:tcPr>
            <w:tcW w:w="124" w:type="dxa"/>
            <w:tcBorders/>
            <w:vAlign w:val="center"/>
          </w:tcPr>
          <w:p>
            <w:pPr>
              <w:pStyle w:val="TableContents"/>
              <w:bidi w:val="0"/>
              <w:spacing w:before="0" w:after="240"/>
              <w:ind w:left="0" w:right="0" w:hanging="0"/>
              <w:jc w:val="center"/>
              <w:rPr/>
            </w:pPr>
            <w:r>
              <w:rPr/>
              <w:t>​</w:t>
            </w:r>
          </w:p>
        </w:tc>
        <w:tc>
          <w:tcPr>
            <w:tcW w:w="5011" w:type="dxa"/>
            <w:tcBorders>
              <w:bottom w:val="single" w:sz="2" w:space="0" w:color="000000"/>
            </w:tcBorders>
            <w:tcMar>
              <w:bottom w:w="28" w:type="dxa"/>
            </w:tcMar>
            <w:vAlign w:val="center"/>
          </w:tcPr>
          <w:p>
            <w:pPr>
              <w:pStyle w:val="TableContents"/>
              <w:bidi w:val="0"/>
              <w:spacing w:before="0" w:after="240"/>
              <w:ind w:left="0" w:right="0" w:hanging="0"/>
              <w:jc w:val="center"/>
              <w:rPr/>
            </w:pPr>
            <w:r>
              <w:rPr/>
              <w:t>​</w:t>
            </w:r>
          </w:p>
        </w:tc>
        <w:tc>
          <w:tcPr>
            <w:tcW w:w="154" w:type="dxa"/>
            <w:tcBorders/>
            <w:vAlign w:val="center"/>
          </w:tcPr>
          <w:p>
            <w:pPr>
              <w:pStyle w:val="TableContents"/>
              <w:bidi w:val="0"/>
              <w:spacing w:before="0" w:after="240"/>
              <w:ind w:left="0" w:right="0" w:hanging="0"/>
              <w:jc w:val="center"/>
              <w:rPr/>
            </w:pPr>
            <w:r>
              <w:rPr/>
              <w:t>​</w:t>
            </w:r>
          </w:p>
        </w:tc>
      </w:tr>
      <w:tr>
        <w:trPr/>
        <w:tc>
          <w:tcPr>
            <w:tcW w:w="124" w:type="dxa"/>
            <w:tcBorders/>
            <w:vAlign w:val="center"/>
          </w:tcPr>
          <w:p>
            <w:pPr>
              <w:pStyle w:val="TableContents"/>
              <w:bidi w:val="0"/>
              <w:spacing w:before="0" w:after="240"/>
              <w:ind w:left="0" w:right="0" w:hanging="0"/>
              <w:jc w:val="center"/>
              <w:rPr/>
            </w:pPr>
            <w:r>
              <w:rPr/>
              <w:t>​</w:t>
            </w:r>
          </w:p>
        </w:tc>
        <w:tc>
          <w:tcPr>
            <w:tcW w:w="50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c>
          <w:tcPr>
            <w:tcW w:w="154" w:type="dxa"/>
            <w:tcBorders/>
            <w:vAlign w:val="center"/>
          </w:tcPr>
          <w:p>
            <w:pPr>
              <w:pStyle w:val="TableContents"/>
              <w:bidi w:val="0"/>
              <w:spacing w:before="0" w:after="24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T5_Xp9Sms0SZ0xnplwWLXA_6_1"/>
      <w:bookmarkStart w:id="18" w:name="Tc_ElgHVR3IW0idFMA-Unwv4w_4_1"/>
      <w:bookmarkStart w:id="19" w:name="Tc_Q5dgJjjvf0ufscgThXsavQ_2_1"/>
      <w:bookmarkStart w:id="20" w:name="Tc_ER5sgVrGHUuLyA-yO97MIA_0_1"/>
      <w:bookmarkStart w:id="21" w:name="_03f466d9_c487_4fb9_bacb_2fc3efc44005"/>
      <w:bookmarkStart w:id="22" w:name="Tc_T5_Xp9Sms0SZ0xnplwWLXA_6_1"/>
      <w:bookmarkStart w:id="23" w:name="Tc_ElgHVR3IW0idFMA-Unwv4w_4_1"/>
      <w:bookmarkStart w:id="24" w:name="Tc_Q5dgJjjvf0ufscgThXsavQ_2_1"/>
      <w:bookmarkStart w:id="25" w:name="Tc_ER5sgVrGHUuLyA-yO97MIA_0_1"/>
      <w:bookmarkStart w:id="26" w:name="_03f466d9_c487_4fb9_bacb_2fc3efc44005"/>
      <w:bookmarkEnd w:id="22"/>
      <w:bookmarkEnd w:id="23"/>
      <w:bookmarkEnd w:id="24"/>
      <w:bookmarkEnd w:id="25"/>
      <w:bookmarkEnd w:id="26"/>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both"/>
        <w:rPr/>
      </w:pPr>
      <w:r>
        <w:rPr/>
        <w:t>​</w:t>
      </w:r>
    </w:p>
    <w:tbl>
      <w:tblPr>
        <w:tblW w:w="6755" w:type="dxa"/>
        <w:jc w:val="left"/>
        <w:tblInd w:w="0" w:type="dxa"/>
        <w:tblLayout w:type="fixed"/>
        <w:tblCellMar>
          <w:top w:w="0" w:type="dxa"/>
          <w:left w:w="0" w:type="dxa"/>
          <w:bottom w:w="28" w:type="dxa"/>
          <w:right w:w="0" w:type="dxa"/>
        </w:tblCellMar>
      </w:tblPr>
      <w:tblGrid>
        <w:gridCol w:w="1921"/>
        <w:gridCol w:w="346"/>
        <w:gridCol w:w="826"/>
        <w:gridCol w:w="346"/>
        <w:gridCol w:w="3316"/>
      </w:tblGrid>
      <w:tr>
        <w:trPr/>
        <w:tc>
          <w:tcPr>
            <w:tcW w:w="19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bottom w:val="single" w:sz="2" w:space="0" w:color="000000"/>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346" w:type="dxa"/>
            <w:tcBorders>
              <w:bottom w:val="single" w:sz="2" w:space="0" w:color="000000"/>
            </w:tcBorders>
            <w:vAlign w:val="center"/>
          </w:tcPr>
          <w:p>
            <w:pPr>
              <w:pStyle w:val="TableContents"/>
              <w:bidi w:val="0"/>
              <w:spacing w:before="0" w:after="0"/>
              <w:ind w:left="0" w:right="0" w:hanging="0"/>
              <w:jc w:val="center"/>
              <w:rPr/>
            </w:pPr>
            <w:r>
              <w:rPr/>
              <w:t>  ​ ​ ​</w:t>
            </w:r>
          </w:p>
        </w:tc>
        <w:tc>
          <w:tcPr>
            <w:tcW w:w="33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92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Class A common stock</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($.01 par value per share)</w:t>
            </w:r>
          </w:p>
        </w:tc>
        <w:tc>
          <w:tcPr>
            <w:tcW w:w="346" w:type="dxa"/>
            <w:tcBorders/>
            <w:tcMar>
              <w:bottom w:w="0" w:type="dxa"/>
            </w:tcMar>
            <w:vAlign w:val="center"/>
          </w:tcPr>
          <w:p>
            <w:pPr>
              <w:pStyle w:val="TableContents"/>
              <w:bidi w:val="0"/>
              <w:spacing w:before="0" w:after="240"/>
              <w:ind w:left="0" w:right="0" w:hanging="0"/>
              <w:jc w:val="center"/>
              <w:rPr/>
            </w:pPr>
            <w:r>
              <w:rPr/>
              <w:t>​</w:t>
            </w:r>
          </w:p>
        </w:tc>
        <w:tc>
          <w:tcPr>
            <w:tcW w:w="8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CIX</w:t>
            </w:r>
          </w:p>
        </w:tc>
        <w:tc>
          <w:tcPr>
            <w:tcW w:w="346" w:type="dxa"/>
            <w:tcBorders/>
            <w:tcMar>
              <w:bottom w:w="0" w:type="dxa"/>
            </w:tcMar>
            <w:vAlign w:val="center"/>
          </w:tcPr>
          <w:p>
            <w:pPr>
              <w:pStyle w:val="TableContents"/>
              <w:bidi w:val="0"/>
              <w:spacing w:before="0" w:after="240"/>
              <w:ind w:left="0" w:right="0" w:hanging="0"/>
              <w:jc w:val="center"/>
              <w:rPr/>
            </w:pPr>
            <w:r>
              <w:rPr/>
              <w:t>​</w:t>
            </w:r>
          </w:p>
        </w:tc>
        <w:tc>
          <w:tcPr>
            <w:tcW w:w="33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 American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Normal"/>
        <w:bidi w:val="0"/>
        <w:spacing w:before="0" w:after="0"/>
        <w:ind w:left="600" w:right="600" w:hanging="0"/>
        <w:jc w:val="left"/>
        <w:rPr>
          <w:sz w:val="4"/>
          <w:szCs w:val="4"/>
        </w:rPr>
      </w:pPr>
      <w:r>
        <w:rPr>
          <w:sz w:val="4"/>
          <w:szCs w:val="4"/>
        </w:rPr>
      </w:r>
      <w:bookmarkStart w:id="27" w:name="_3090df65_8070_4a61_8d10_5cb1cc0852d0"/>
      <w:bookmarkStart w:id="28" w:name="_3090df65_8070_4a61_8d10_5cb1cc0852d0"/>
      <w:bookmarkEnd w:id="28"/>
    </w:p>
    <w:tbl>
      <w:tblPr>
        <w:tblW w:w="4889" w:type="dxa"/>
        <w:jc w:val="left"/>
        <w:tblInd w:w="0" w:type="dxa"/>
        <w:tblLayout w:type="fixed"/>
        <w:tblCellMar>
          <w:top w:w="0" w:type="dxa"/>
          <w:left w:w="0" w:type="dxa"/>
          <w:bottom w:w="0" w:type="dxa"/>
          <w:right w:w="0" w:type="dxa"/>
        </w:tblCellMar>
      </w:tblPr>
      <w:tblGrid>
        <w:gridCol w:w="898"/>
        <w:gridCol w:w="3991"/>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2.02</w:t>
            </w:r>
          </w:p>
        </w:tc>
        <w:tc>
          <w:tcPr>
            <w:tcW w:w="3991"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Results of Operations and Financial Condition.</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both"/>
        <w:rPr>
          <w:rFonts w:ascii="Times New Roman;Times;serif" w:hAnsi="Times New Roman;Times;serif"/>
          <w:spacing w:val="-3"/>
          <w:sz w:val="20"/>
        </w:rPr>
      </w:pPr>
      <w:r>
        <w:rPr>
          <w:rFonts w:ascii="Times New Roman;Times;serif" w:hAnsi="Times New Roman;Times;serif"/>
          <w:spacing w:val="-3"/>
          <w:sz w:val="20"/>
        </w:rPr>
        <w:t>The registrant hereby furnishes the information set forth in its press release entitled “CompX Reports Fourth Quarter 2025 Results” that the registrant issued on March 4, 2026, a copy of which is attached hereto as Exhibit 99.1 and incorporated herein by reference.</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press release the registrant furnishes as Exhibit 99.1 to this current report is not </w:t>
      </w:r>
      <w:r>
        <w:rPr>
          <w:rFonts w:ascii="Times New Roman;Times;serif" w:hAnsi="Times New Roman;Times;serif"/>
          <w:spacing w:val="-3"/>
          <w:sz w:val="20"/>
        </w:rPr>
        <w:t>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bidi w:val="0"/>
        <w:spacing w:before="0" w:after="0"/>
        <w:ind w:left="0" w:right="0" w:firstLine="720"/>
        <w:jc w:val="both"/>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29" w:name="_06c19a20_1d61_488e_8006_9d28acdaec47"/>
      <w:bookmarkStart w:id="30" w:name="_06c19a20_1d61_488e_8006_9d28acdaec47"/>
      <w:bookmarkEnd w:id="30"/>
    </w:p>
    <w:tbl>
      <w:tblPr>
        <w:tblW w:w="3194" w:type="dxa"/>
        <w:jc w:val="left"/>
        <w:tblInd w:w="0" w:type="dxa"/>
        <w:tblLayout w:type="fixed"/>
        <w:tblCellMar>
          <w:top w:w="0" w:type="dxa"/>
          <w:left w:w="0" w:type="dxa"/>
          <w:bottom w:w="0" w:type="dxa"/>
          <w:right w:w="0" w:type="dxa"/>
        </w:tblCellMar>
      </w:tblPr>
      <w:tblGrid>
        <w:gridCol w:w="898"/>
        <w:gridCol w:w="2296"/>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7.01</w:t>
            </w:r>
          </w:p>
        </w:tc>
        <w:tc>
          <w:tcPr>
            <w:tcW w:w="2296"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Regulation FD Disclosure.</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pacing w:val="-3"/>
          <w:sz w:val="20"/>
        </w:rPr>
        <w:t xml:space="preserve">The registrant hereby furnishes the information set forth in its press release entitled “CompX </w:t>
      </w:r>
      <w:r>
        <w:rPr>
          <w:rFonts w:ascii="Times New Roman;Times;serif" w:hAnsi="Times New Roman;Times;serif"/>
          <w:sz w:val="20"/>
        </w:rPr>
        <w:t>Declares Regular Quarterly Dividend</w:t>
      </w:r>
      <w:r>
        <w:rPr>
          <w:rFonts w:ascii="Times New Roman;Times;serif" w:hAnsi="Times New Roman;Times;serif"/>
          <w:spacing w:val="-3"/>
          <w:sz w:val="20"/>
        </w:rPr>
        <w:t xml:space="preserve">” that the registrant also </w:t>
      </w:r>
      <w:r>
        <w:rPr>
          <w:rFonts w:ascii="Times New Roman;Times;serif" w:hAnsi="Times New Roman;Times;serif"/>
          <w:sz w:val="20"/>
        </w:rPr>
        <w:t>issued on March 4, 2026, a copy of which is attached hereto as Exhibit 99.2 and incorporated herein by reference.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w:t>
      </w:r>
      <w:r>
        <w:rPr>
          <w:rFonts w:ascii="Times New Roman;Times;serif" w:hAnsi="Times New Roman;Times;serif"/>
          <w:spacing w:val="-3"/>
          <w:sz w:val="20"/>
        </w:rPr>
        <w:t xml:space="preserve">U.S. </w:t>
      </w:r>
      <w:r>
        <w:rPr>
          <w:rFonts w:ascii="Times New Roman;Times;serif" w:hAnsi="Times New Roman;Times;serif"/>
          <w:sz w:val="20"/>
        </w:rPr>
        <w:t>Securities and Exchange Commission shall not incorporate this information by reference, except as otherwise expressly stated in such filing.</w:t>
      </w:r>
    </w:p>
    <w:p>
      <w:pPr>
        <w:pStyle w:val="TextBody"/>
        <w:bidi w:val="0"/>
        <w:spacing w:before="0" w:after="0"/>
        <w:ind w:left="0" w:right="0" w:firstLine="720"/>
        <w:jc w:val="both"/>
        <w:rPr>
          <w:spacing w:val="-3"/>
        </w:rPr>
      </w:pPr>
      <w:r>
        <w:rPr>
          <w:spacing w:val="-3"/>
        </w:rPr>
        <w:t>​</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31" w:name="_211225b1_15c3_4785_960a_dba95c9d90e8"/>
      <w:bookmarkStart w:id="32" w:name="_211225b1_15c3_4785_960a_dba95c9d90e8"/>
      <w:bookmarkEnd w:id="32"/>
    </w:p>
    <w:tbl>
      <w:tblPr>
        <w:tblW w:w="3893" w:type="dxa"/>
        <w:jc w:val="left"/>
        <w:tblInd w:w="0" w:type="dxa"/>
        <w:tblLayout w:type="fixed"/>
        <w:tblCellMar>
          <w:top w:w="0" w:type="dxa"/>
          <w:left w:w="0" w:type="dxa"/>
          <w:bottom w:w="0" w:type="dxa"/>
          <w:right w:w="0" w:type="dxa"/>
        </w:tblCellMar>
      </w:tblPr>
      <w:tblGrid>
        <w:gridCol w:w="898"/>
        <w:gridCol w:w="2995"/>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9.01</w:t>
            </w:r>
          </w:p>
        </w:tc>
        <w:tc>
          <w:tcPr>
            <w:tcW w:w="2995"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Financial Statements and Exhibits.</w:t>
            </w:r>
          </w:p>
        </w:tc>
      </w:tr>
    </w:tbl>
    <w:p>
      <w:pPr>
        <w:pStyle w:val="TextBody"/>
        <w:pBdr/>
        <w:bidi w:val="0"/>
        <w:spacing w:before="0" w:after="0"/>
        <w:ind w:left="0" w:right="0" w:hanging="1620"/>
        <w:jc w:val="left"/>
        <w:rPr>
          <w:spacing w:val="-3"/>
        </w:rPr>
      </w:pPr>
      <w:r>
        <w:rPr>
          <w:spacing w:val="-3"/>
        </w:rPr>
        <w:t>​</w:t>
      </w:r>
    </w:p>
    <w:tbl>
      <w:tblPr>
        <w:tblW w:w="10205" w:type="dxa"/>
        <w:jc w:val="left"/>
        <w:tblInd w:w="0" w:type="dxa"/>
        <w:tblLayout w:type="fixed"/>
        <w:tblCellMar>
          <w:top w:w="0" w:type="dxa"/>
          <w:left w:w="0" w:type="dxa"/>
          <w:bottom w:w="0" w:type="dxa"/>
          <w:right w:w="0" w:type="dxa"/>
        </w:tblCellMar>
      </w:tblPr>
      <w:tblGrid>
        <w:gridCol w:w="337"/>
        <w:gridCol w:w="807"/>
        <w:gridCol w:w="109"/>
        <w:gridCol w:w="8952"/>
      </w:tblGrid>
      <w:tr>
        <w:trPr/>
        <w:tc>
          <w:tcPr>
            <w:tcW w:w="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80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337"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(d)</w:t>
            </w:r>
          </w:p>
        </w:tc>
        <w:tc>
          <w:tcPr>
            <w:tcW w:w="807"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Exhibits</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left"/>
              <w:rPr>
                <w:spacing w:val="-3"/>
              </w:rPr>
            </w:pPr>
            <w:r>
              <w:rPr>
                <w:spacing w:val="-3"/>
              </w:rPr>
              <w:t>​</w:t>
            </w:r>
          </w:p>
        </w:tc>
      </w:tr>
      <w:tr>
        <w:trPr/>
        <w:tc>
          <w:tcPr>
            <w:tcW w:w="337"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left"/>
              <w:rPr>
                <w:spacing w:val="-3"/>
              </w:rPr>
            </w:pPr>
            <w:r>
              <w:rPr>
                <w:spacing w:val="-3"/>
              </w:rPr>
              <w:t>​</w:t>
            </w:r>
          </w:p>
        </w:tc>
      </w:tr>
      <w:tr>
        <w:trPr/>
        <w:tc>
          <w:tcPr>
            <w:tcW w:w="337" w:type="dxa"/>
            <w:tcBorders/>
            <w:vAlign w:val="center"/>
          </w:tcPr>
          <w:p>
            <w:pPr>
              <w:pStyle w:val="TableContents"/>
              <w:bidi w:val="0"/>
              <w:spacing w:before="0" w:after="0"/>
              <w:ind w:left="0" w:right="0" w:hanging="0"/>
              <w:jc w:val="center"/>
              <w:rPr>
                <w:spacing w:val="-3"/>
              </w:rPr>
            </w:pPr>
            <w:r>
              <w:rPr>
                <w:spacing w:val="-3"/>
              </w:rPr>
              <w:t>​</w:t>
            </w:r>
          </w:p>
        </w:tc>
        <w:tc>
          <w:tcPr>
            <w:tcW w:w="807"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Item No.</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Description</w:t>
            </w:r>
          </w:p>
        </w:tc>
      </w:tr>
      <w:tr>
        <w:trPr/>
        <w:tc>
          <w:tcPr>
            <w:tcW w:w="337"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left"/>
              <w:rPr>
                <w:spacing w:val="-3"/>
              </w:rPr>
            </w:pPr>
            <w:r>
              <w:rPr>
                <w:spacing w:val="-3"/>
              </w:rPr>
              <w:t>​</w:t>
            </w:r>
          </w:p>
        </w:tc>
      </w:tr>
      <w:tr>
        <w:trPr/>
        <w:tc>
          <w:tcPr>
            <w:tcW w:w="337"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99.1</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both"/>
              <w:rPr/>
            </w:pPr>
            <w:hyperlink w:anchor="cix-20260304xex99d1.htm">
              <w:r>
                <w:rPr>
                  <w:rStyle w:val="InternetLink"/>
                  <w:rFonts w:ascii="Times New Roman;Times;serif" w:hAnsi="Times New Roman;Times;serif"/>
                  <w:b w:val="false"/>
                  <w:i w:val="false"/>
                  <w:caps w:val="false"/>
                  <w:smallCaps w:val="false"/>
                  <w:sz w:val="20"/>
                </w:rPr>
                <w:t xml:space="preserve">Press release dated March 4, 2026 </w:t>
              </w:r>
            </w:hyperlink>
            <w:hyperlink w:anchor="cix-20260304xex99d1.htm">
              <w:r>
                <w:rPr>
                  <w:rStyle w:val="InternetLink"/>
                  <w:rFonts w:ascii="Times New Roman;Times;serif" w:hAnsi="Times New Roman;Times;serif"/>
                  <w:b w:val="false"/>
                  <w:i w:val="false"/>
                  <w:caps w:val="false"/>
                  <w:smallCaps w:val="false"/>
                  <w:spacing w:val="-3"/>
                  <w:sz w:val="20"/>
                </w:rPr>
                <w:t xml:space="preserve">entitled “CompX Reports Fourth Quarter 2026 Results” and </w:t>
              </w:r>
            </w:hyperlink>
            <w:hyperlink w:anchor="cix-20260304xex99d1.htm">
              <w:r>
                <w:rPr>
                  <w:rStyle w:val="InternetLink"/>
                  <w:rFonts w:ascii="Times New Roman;Times;serif" w:hAnsi="Times New Roman;Times;serif"/>
                  <w:b w:val="false"/>
                  <w:i w:val="false"/>
                  <w:caps w:val="false"/>
                  <w:smallCaps w:val="false"/>
                  <w:sz w:val="20"/>
                </w:rPr>
                <w:t>issued by the registrant.</w:t>
              </w:r>
            </w:hyperlink>
          </w:p>
        </w:tc>
      </w:tr>
      <w:tr>
        <w:trPr/>
        <w:tc>
          <w:tcPr>
            <w:tcW w:w="337"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left"/>
              <w:rPr>
                <w:spacing w:val="-3"/>
              </w:rPr>
            </w:pPr>
            <w:r>
              <w:rPr>
                <w:spacing w:val="-3"/>
              </w:rPr>
              <w:t>​</w:t>
            </w:r>
          </w:p>
        </w:tc>
      </w:tr>
      <w:tr>
        <w:trPr/>
        <w:tc>
          <w:tcPr>
            <w:tcW w:w="337"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99.2</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left"/>
              <w:rPr/>
            </w:pPr>
            <w:hyperlink w:anchor="cix-20260304xex99d2.htm">
              <w:r>
                <w:rPr>
                  <w:rStyle w:val="InternetLink"/>
                  <w:rFonts w:ascii="Times New Roman;Times;serif" w:hAnsi="Times New Roman;Times;serif"/>
                  <w:b w:val="false"/>
                  <w:i w:val="false"/>
                  <w:caps w:val="false"/>
                  <w:smallCaps w:val="false"/>
                  <w:sz w:val="20"/>
                </w:rPr>
                <w:t xml:space="preserve">Press release dated March 4, 2026 </w:t>
              </w:r>
            </w:hyperlink>
            <w:hyperlink w:anchor="cix-20260304xex99d2.htm">
              <w:r>
                <w:rPr>
                  <w:rStyle w:val="InternetLink"/>
                  <w:rFonts w:ascii="Times New Roman;Times;serif" w:hAnsi="Times New Roman;Times;serif"/>
                  <w:b w:val="false"/>
                  <w:i w:val="false"/>
                  <w:caps w:val="false"/>
                  <w:smallCaps w:val="false"/>
                  <w:spacing w:val="-3"/>
                  <w:sz w:val="20"/>
                </w:rPr>
                <w:t>entitled “</w:t>
              </w:r>
            </w:hyperlink>
            <w:hyperlink w:anchor="cix-20260304xex99d2.htm">
              <w:r>
                <w:rPr>
                  <w:rStyle w:val="InternetLink"/>
                  <w:rFonts w:ascii="Times New Roman;Times;serif" w:hAnsi="Times New Roman;Times;serif"/>
                  <w:b w:val="false"/>
                  <w:i w:val="false"/>
                  <w:caps w:val="false"/>
                  <w:smallCaps w:val="false"/>
                  <w:sz w:val="20"/>
                </w:rPr>
                <w:t>CompX Declares Regular Quarterly Dividend</w:t>
              </w:r>
            </w:hyperlink>
            <w:hyperlink w:anchor="cix-20260304xex99d2.htm">
              <w:r>
                <w:rPr>
                  <w:rStyle w:val="InternetLink"/>
                  <w:rFonts w:ascii="Times New Roman;Times;serif" w:hAnsi="Times New Roman;Times;serif"/>
                  <w:caps w:val="false"/>
                  <w:smallCaps w:val="false"/>
                  <w:spacing w:val="-3"/>
                  <w:sz w:val="20"/>
                </w:rPr>
                <w:t xml:space="preserve">” </w:t>
              </w:r>
            </w:hyperlink>
            <w:hyperlink w:anchor="cix-20260304xex99d2.htm">
              <w:r>
                <w:rPr>
                  <w:rStyle w:val="InternetLink"/>
                  <w:rFonts w:ascii="Times New Roman;Times;serif" w:hAnsi="Times New Roman;Times;serif"/>
                  <w:b w:val="false"/>
                  <w:i w:val="false"/>
                  <w:caps w:val="false"/>
                  <w:smallCaps w:val="false"/>
                  <w:spacing w:val="-3"/>
                  <w:sz w:val="20"/>
                </w:rPr>
                <w:t xml:space="preserve">and </w:t>
              </w:r>
            </w:hyperlink>
            <w:hyperlink w:anchor="cix-20260304xex99d2.htm">
              <w:r>
                <w:rPr>
                  <w:rStyle w:val="InternetLink"/>
                  <w:rFonts w:ascii="Times New Roman;Times;serif" w:hAnsi="Times New Roman;Times;serif"/>
                  <w:b w:val="false"/>
                  <w:i w:val="false"/>
                  <w:caps w:val="false"/>
                  <w:smallCaps w:val="false"/>
                  <w:sz w:val="20"/>
                </w:rPr>
                <w:t>issued by the registrant</w:t>
              </w:r>
            </w:hyperlink>
            <w:r>
              <w:rPr>
                <w:rFonts w:ascii="Times New Roman;Times;serif" w:hAnsi="Times New Roman;Times;serif"/>
                <w:sz w:val="20"/>
              </w:rPr>
              <w:t>.</w:t>
            </w:r>
          </w:p>
        </w:tc>
      </w:tr>
      <w:tr>
        <w:trPr/>
        <w:tc>
          <w:tcPr>
            <w:tcW w:w="337"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left"/>
              <w:rPr>
                <w:spacing w:val="-3"/>
              </w:rPr>
            </w:pPr>
            <w:r>
              <w:rPr>
                <w:spacing w:val="-3"/>
              </w:rPr>
              <w:t>​</w:t>
            </w:r>
          </w:p>
        </w:tc>
      </w:tr>
      <w:tr>
        <w:trPr/>
        <w:tc>
          <w:tcPr>
            <w:tcW w:w="337"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104</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3" w:name="_1c3a94c7_f3d2_4b3a_bdef_bce220d9eb64"/>
      <w:bookmarkEnd w:id="33"/>
      <w:r>
        <w:rPr>
          <w:rFonts w:ascii="Times New Roman;Times;serif" w:hAnsi="Times New Roman;Times;serif"/>
          <w:b/>
          <w:sz w:val="20"/>
        </w:rPr>
        <w:t>SIGNATURE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hanging="0"/>
        <w:jc w:val="center"/>
        <w:rPr/>
      </w:pPr>
      <w:r>
        <w:rPr/>
        <w:t>​</w:t>
      </w:r>
    </w:p>
    <w:tbl>
      <w:tblPr>
        <w:tblW w:w="5193" w:type="dxa"/>
        <w:jc w:val="left"/>
        <w:tblInd w:w="0" w:type="dxa"/>
        <w:tblLayout w:type="fixed"/>
        <w:tblCellMar>
          <w:top w:w="0" w:type="dxa"/>
          <w:left w:w="0" w:type="dxa"/>
          <w:bottom w:w="0" w:type="dxa"/>
          <w:right w:w="0" w:type="dxa"/>
        </w:tblCellMar>
      </w:tblPr>
      <w:tblGrid>
        <w:gridCol w:w="1786"/>
        <w:gridCol w:w="406"/>
        <w:gridCol w:w="3001"/>
      </w:tblGrid>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COMPX INTERNATIONAL INC.</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4,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Amy A. Samford</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4" w:name="cix-20260304xex99d1.htm"/>
      <w:bookmarkStart w:id="35" w:name="kscix20260304xex99d1"/>
      <w:bookmarkStart w:id="36" w:name="cix-20260304xex99d1.htm"/>
      <w:bookmarkStart w:id="37" w:name="kscix20260304xex99d1"/>
      <w:bookmarkEnd w:id="36"/>
      <w:bookmarkEnd w:id="37"/>
      <w:r>
        <w:br w:type="page"/>
      </w:r>
    </w:p>
    <w:tbl>
      <w:tblPr>
        <w:tblW w:w="4420" w:type="dxa"/>
        <w:jc w:val="left"/>
        <w:tblInd w:w="0" w:type="dxa"/>
        <w:tblLayout w:type="fixed"/>
        <w:tblCellMar>
          <w:top w:w="0" w:type="dxa"/>
          <w:left w:w="0" w:type="dxa"/>
          <w:bottom w:w="0" w:type="dxa"/>
          <w:right w:w="0" w:type="dxa"/>
        </w:tblCellMar>
      </w:tblPr>
      <w:tblGrid>
        <w:gridCol w:w="4420"/>
      </w:tblGrid>
      <w:tr>
        <w:trPr/>
        <w:tc>
          <w:tcPr>
            <w:tcW w:w="4420" w:type="dxa"/>
            <w:tcBorders/>
            <w:vAlign w:val="center"/>
          </w:tcPr>
          <w:p>
            <w:pPr>
              <w:pStyle w:val="TableContents"/>
              <w:bidi w:val="0"/>
              <w:spacing w:before="0" w:after="0"/>
              <w:ind w:left="0" w:right="0" w:hanging="0"/>
              <w:jc w:val="right"/>
              <w:rPr/>
            </w:pPr>
            <w:r>
              <w:rPr/>
              <w:t>​</w:t>
            </w:r>
          </w:p>
        </w:tc>
      </w:tr>
      <w:tr>
        <w:trPr/>
        <w:tc>
          <w:tcPr>
            <w:tcW w:w="4420" w:type="dxa"/>
            <w:tcBorders/>
            <w:vAlign w:val="center"/>
          </w:tcPr>
          <w:p>
            <w:pPr>
              <w:pStyle w:val="TableContents"/>
              <w:bidi w:val="0"/>
              <w:spacing w:before="0" w:after="0"/>
              <w:ind w:left="0" w:right="0" w:hanging="0"/>
              <w:jc w:val="center"/>
              <w:rPr/>
            </w:pPr>
            <w:r>
              <w:rPr/>
              <w:drawing>
                <wp:inline distT="0" distB="0" distL="0" distR="0">
                  <wp:extent cx="271399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3990" cy="904875"/>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30"/>
        </w:rPr>
      </w:pPr>
      <w:r>
        <w:rPr>
          <w:rFonts w:ascii="Times New Roman;Times;serif" w:hAnsi="Times New Roman;Times;serif"/>
          <w:b/>
          <w:sz w:val="30"/>
        </w:rPr>
        <w:t>COMPX REPORTS FOURTH QUARTER 2025 RESULTS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 xml:space="preserve">DALLAS, TEXAS </w:t>
      </w:r>
      <w:r>
        <w:rPr>
          <w:rFonts w:ascii="Times New Roman;Times;serif" w:hAnsi="Times New Roman;Times;serif"/>
          <w:sz w:val="20"/>
        </w:rPr>
        <w:t xml:space="preserve">… </w:t>
      </w:r>
      <w:r>
        <w:rPr>
          <w:rFonts w:ascii="Times New Roman;Times;serif" w:hAnsi="Times New Roman;Times;serif"/>
          <w:sz w:val="24"/>
        </w:rPr>
        <w:t xml:space="preserve">March 4, 2026 </w:t>
      </w:r>
      <w:r>
        <w:rPr>
          <w:rFonts w:ascii="Times New Roman;Times;serif" w:hAnsi="Times New Roman;Times;serif"/>
          <w:sz w:val="20"/>
        </w:rPr>
        <w:t xml:space="preserve">… </w:t>
      </w:r>
      <w:r>
        <w:rPr>
          <w:rFonts w:ascii="Times New Roman;Times;serif" w:hAnsi="Times New Roman;Times;serif"/>
          <w:sz w:val="24"/>
        </w:rPr>
        <w:t xml:space="preserve">CompX International Inc. (NYSE American: CIX) announced today net sales of $37.7 million for the fourth quarter of 2025 compared to $38.4 million in the same period of 2024. Operating income was $5.6 million in the fourth quarter of 2025 compared to $4.9 million in the same period of 2024. Net income was $4.7 million, or $.38 per basic and diluted common share, for the fourth quarter of 2025 compared to $4.5 million, or $.37 per basic and diluted common share, in the same period of 2024.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Net sales for the year ended December 31, 2025 were $158.3 million compared to $145.9 million in the previous year. Operating income was $22.6 million for the year ended December 31, 2025 compared to $17.0 million in 2024. Net income for the year ended December 31, 2025 was $19.5 million, or $1.58 per basic and diluted common share, compared to $16.6 million, or $1.35 per basic and diluted common share, for the same period in 2024.</w:t>
      </w:r>
    </w:p>
    <w:p>
      <w:pPr>
        <w:pStyle w:val="TextBody"/>
        <w:bidi w:val="0"/>
        <w:spacing w:before="0" w:after="0"/>
        <w:ind w:left="0" w:right="0" w:hanging="0"/>
        <w:jc w:val="both"/>
        <w:rPr/>
      </w:pPr>
      <w:r>
        <w:rPr/>
        <w:t>​</w:t>
      </w:r>
    </w:p>
    <w:p>
      <w:pPr>
        <w:pStyle w:val="TextBody"/>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 xml:space="preserve">Fourth quarter 2025 net sales decreased over the comparable 2024 period predominantly due to lower Security Products sales to the healthcare market, partially offset by higher Marine Components sales to the industrial market. Operating income increased in the fourth quarter of 2025 compared to the same period in 2024 primarily due to higher sales at Marine Components as well as improved gross margins at each of the Security Products and Marine Components segments.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Net sales increased for the full year of 2025 compared to the same period in 2024 primarily due to higher Security Products sales to the government security market and higher Marine Components sales to various markets including the towboat, government and industrial markets. Operating income for the full year of 2025 increased compared to 2024 due to higher sales and improved gross margins at each of the Security Products and Marine Components segments.</w:t>
      </w:r>
    </w:p>
    <w:p>
      <w:pPr>
        <w:pStyle w:val="TextBody"/>
        <w:bidi w:val="0"/>
        <w:spacing w:before="0" w:after="0"/>
        <w:ind w:left="0" w:right="0" w:hanging="0"/>
        <w:jc w:val="both"/>
        <w:rPr/>
      </w:pPr>
      <w:r>
        <w:rPr/>
        <w:t>​</w:t>
      </w:r>
    </w:p>
    <w:p>
      <w:pPr>
        <w:pStyle w:val="TextBody"/>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CompX is a leading manufacturer of security products and recreational marine components. It operates from three locations in the U.S. and employs approximately 549 people.</w:t>
      </w:r>
    </w:p>
    <w:p>
      <w:pPr>
        <w:pStyle w:val="TextBody"/>
        <w:bidi w:val="0"/>
        <w:spacing w:before="240" w:after="240"/>
        <w:ind w:left="0" w:right="0" w:hanging="0"/>
        <w:jc w:val="left"/>
        <w:rPr>
          <w:rFonts w:ascii="Times New Roman;Times;serif" w:hAnsi="Times New Roman;Times;serif"/>
          <w:b/>
          <w:sz w:val="24"/>
        </w:rPr>
      </w:pPr>
      <w:r>
        <w:rPr>
          <w:rFonts w:ascii="Times New Roman;Times;serif" w:hAnsi="Times New Roman;Times;serif"/>
          <w:b/>
          <w:sz w:val="24"/>
        </w:rPr>
        <w:t>Forward-Looking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The statements in this press release relating to matters that are not historical facts are forward-looking statements that represent management</w:t>
      </w:r>
      <w:r>
        <w:rPr>
          <w:rFonts w:ascii="Times New Roman;Times;serif" w:hAnsi="Times New Roman;Times;serif"/>
          <w:sz w:val="20"/>
        </w:rPr>
        <w:t>’</w:t>
      </w:r>
      <w:r>
        <w:rPr>
          <w:rFonts w:ascii="Times New Roman;Times;serif" w:hAnsi="Times New Roman;Times;serif"/>
          <w:sz w:val="24"/>
        </w:rPr>
        <w:t xml:space="preserve">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The factors that could cause our actual future results to differ materially include, but are not limited to, the following:</w:t>
      </w:r>
    </w:p>
    <w:tbl>
      <w:tblPr>
        <w:tblW w:w="4368" w:type="dxa"/>
        <w:jc w:val="left"/>
        <w:tblInd w:w="0" w:type="dxa"/>
        <w:tblLayout w:type="fixed"/>
        <w:tblCellMar>
          <w:top w:w="0" w:type="dxa"/>
          <w:left w:w="0" w:type="dxa"/>
          <w:bottom w:w="0" w:type="dxa"/>
          <w:right w:w="0" w:type="dxa"/>
        </w:tblCellMar>
      </w:tblPr>
      <w:tblGrid>
        <w:gridCol w:w="23"/>
        <w:gridCol w:w="170"/>
        <w:gridCol w:w="41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Future supply and demand for our products;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Changes in our raw material and other operating costs (such as zinc, brass, aluminum, steel and energy costs), including as a result of additional or changed tariffs on imported raw materials, and our ability to pass those costs on to our customers or offset them with reductions in other operating costs;</w:t>
            </w:r>
          </w:p>
        </w:tc>
      </w:tr>
    </w:tbl>
    <w:tbl>
      <w:tblPr>
        <w:tblW w:w="8208" w:type="dxa"/>
        <w:jc w:val="left"/>
        <w:tblInd w:w="0" w:type="dxa"/>
        <w:tblLayout w:type="fixed"/>
        <w:tblCellMar>
          <w:top w:w="0" w:type="dxa"/>
          <w:left w:w="0" w:type="dxa"/>
          <w:bottom w:w="0" w:type="dxa"/>
          <w:right w:w="0" w:type="dxa"/>
        </w:tblCellMar>
      </w:tblPr>
      <w:tblGrid>
        <w:gridCol w:w="23"/>
        <w:gridCol w:w="170"/>
        <w:gridCol w:w="80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Price and product competition from low-cost manufacturing sources (such as China);</w:t>
            </w:r>
          </w:p>
        </w:tc>
      </w:tr>
    </w:tbl>
    <w:tbl>
      <w:tblPr>
        <w:tblW w:w="4728" w:type="dxa"/>
        <w:jc w:val="left"/>
        <w:tblInd w:w="0" w:type="dxa"/>
        <w:tblLayout w:type="fixed"/>
        <w:tblCellMar>
          <w:top w:w="0" w:type="dxa"/>
          <w:left w:w="0" w:type="dxa"/>
          <w:bottom w:w="0" w:type="dxa"/>
          <w:right w:w="0" w:type="dxa"/>
        </w:tblCellMar>
      </w:tblPr>
      <w:tblGrid>
        <w:gridCol w:w="23"/>
        <w:gridCol w:w="170"/>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impact of pricing and production decisions;</w:t>
            </w:r>
          </w:p>
        </w:tc>
      </w:tr>
    </w:tbl>
    <w:tbl>
      <w:tblPr>
        <w:tblW w:w="6348" w:type="dxa"/>
        <w:jc w:val="left"/>
        <w:tblInd w:w="0" w:type="dxa"/>
        <w:tblLayout w:type="fixed"/>
        <w:tblCellMar>
          <w:top w:w="0" w:type="dxa"/>
          <w:left w:w="0" w:type="dxa"/>
          <w:bottom w:w="0" w:type="dxa"/>
          <w:right w:w="0" w:type="dxa"/>
        </w:tblCellMar>
      </w:tblPr>
      <w:tblGrid>
        <w:gridCol w:w="23"/>
        <w:gridCol w:w="170"/>
        <w:gridCol w:w="61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Customer and competitor strategies including substitute products;</w:t>
            </w:r>
          </w:p>
        </w:tc>
      </w:tr>
    </w:tbl>
    <w:tbl>
      <w:tblPr>
        <w:tblW w:w="3528" w:type="dxa"/>
        <w:jc w:val="left"/>
        <w:tblInd w:w="0" w:type="dxa"/>
        <w:tblLayout w:type="fixed"/>
        <w:tblCellMar>
          <w:top w:w="0" w:type="dxa"/>
          <w:left w:w="0" w:type="dxa"/>
          <w:bottom w:w="0" w:type="dxa"/>
          <w:right w:w="0" w:type="dxa"/>
        </w:tblCellMar>
      </w:tblPr>
      <w:tblGrid>
        <w:gridCol w:w="23"/>
        <w:gridCol w:w="170"/>
        <w:gridCol w:w="3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Our ability to retain key customers;</w:t>
            </w:r>
          </w:p>
        </w:tc>
      </w:tr>
    </w:tbl>
    <w:tbl>
      <w:tblPr>
        <w:tblW w:w="9858" w:type="dxa"/>
        <w:jc w:val="left"/>
        <w:tblInd w:w="0" w:type="dxa"/>
        <w:tblLayout w:type="fixed"/>
        <w:tblCellMar>
          <w:top w:w="0" w:type="dxa"/>
          <w:left w:w="0" w:type="dxa"/>
          <w:bottom w:w="0" w:type="dxa"/>
          <w:right w:w="0" w:type="dxa"/>
        </w:tblCellMar>
      </w:tblPr>
      <w:tblGrid>
        <w:gridCol w:w="23"/>
        <w:gridCol w:w="170"/>
        <w:gridCol w:w="96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Uncertainties associated with new product development and the development of new product features;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Pending or possible future litigation (such as litigation related to our use of certain permitted chemicals in our production process) or other actions;</w:t>
            </w:r>
          </w:p>
        </w:tc>
      </w:tr>
    </w:tbl>
    <w:tbl>
      <w:tblPr>
        <w:tblW w:w="6093" w:type="dxa"/>
        <w:jc w:val="left"/>
        <w:tblInd w:w="0" w:type="dxa"/>
        <w:tblLayout w:type="fixed"/>
        <w:tblCellMar>
          <w:top w:w="0" w:type="dxa"/>
          <w:left w:w="0" w:type="dxa"/>
          <w:bottom w:w="0" w:type="dxa"/>
          <w:right w:w="0" w:type="dxa"/>
        </w:tblCellMar>
      </w:tblPr>
      <w:tblGrid>
        <w:gridCol w:w="23"/>
        <w:gridCol w:w="170"/>
        <w:gridCol w:w="59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Our ability to protect or defend our intellectual property rights;</w:t>
            </w:r>
          </w:p>
        </w:tc>
      </w:tr>
    </w:tbl>
    <w:tbl>
      <w:tblPr>
        <w:tblW w:w="5238" w:type="dxa"/>
        <w:jc w:val="left"/>
        <w:tblInd w:w="0" w:type="dxa"/>
        <w:tblLayout w:type="fixed"/>
        <w:tblCellMar>
          <w:top w:w="0" w:type="dxa"/>
          <w:left w:w="0" w:type="dxa"/>
          <w:bottom w:w="0" w:type="dxa"/>
          <w:right w:w="0" w:type="dxa"/>
        </w:tblCellMar>
      </w:tblPr>
      <w:tblGrid>
        <w:gridCol w:w="23"/>
        <w:gridCol w:w="170"/>
        <w:gridCol w:w="50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Potential difficulties in integrating future acquisitions;</w:t>
            </w:r>
          </w:p>
        </w:tc>
      </w:tr>
    </w:tbl>
    <w:tbl>
      <w:tblPr>
        <w:tblW w:w="7593" w:type="dxa"/>
        <w:jc w:val="left"/>
        <w:tblInd w:w="0" w:type="dxa"/>
        <w:tblLayout w:type="fixed"/>
        <w:tblCellMar>
          <w:top w:w="0" w:type="dxa"/>
          <w:left w:w="0" w:type="dxa"/>
          <w:bottom w:w="0" w:type="dxa"/>
          <w:right w:w="0" w:type="dxa"/>
        </w:tblCellMar>
      </w:tblPr>
      <w:tblGrid>
        <w:gridCol w:w="23"/>
        <w:gridCol w:w="170"/>
        <w:gridCol w:w="74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Decisions to sell operating assets other than in the ordinary course of business;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Environmental matters (such as those requiring emission and discharge standards for existing and new facilities);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ultimate outcome of income tax audits, tax settlement initiatives or other tax matters, including future tax reform;</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Government laws and regulations and possible changes therein including new environmental, health and safety, sustainability or other regulations;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Operating interruptions (including, but not limited to, labor disputes, leaks, natural disasters, fires, explosions, unscheduled or unplanned downtime, transportation interruptions, certain regional and world events or economic conditions and public health crises);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introduction of new, or changes in existing, tariffs, trade barriers or trade disputes (including tariffs imposed by the U.S. government on imports from China and Mexico);</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Technology related disruptions (including, but not limited to, cyber attacks; software implementation, upgrades or improvements; technology processing failures; or other events) related to our technology infrastructure that could impact our ability to continue </w:t>
            </w:r>
          </w:p>
        </w:tc>
      </w:tr>
    </w:tbl>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operations, or at key vendors which could impact our supply chain, or at key customers which could impact their operations and cause them to curtail or pause orders;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Possible disruption of our business or increases in the cost of doing business resulting from terrorist activities or global conflicts.</w:t>
            </w:r>
          </w:p>
        </w:tc>
      </w:tr>
    </w:tbl>
    <w:p>
      <w:pPr>
        <w:pStyle w:val="TextBody"/>
        <w:bidi w:val="0"/>
        <w:spacing w:before="0" w:after="240"/>
        <w:ind w:left="360" w:right="0" w:hanging="0"/>
        <w:jc w:val="both"/>
        <w:rPr>
          <w:rFonts w:ascii="Times New Roman;Times;serif" w:hAnsi="Times New Roman;Times;serif"/>
          <w:sz w:val="24"/>
        </w:rPr>
      </w:pPr>
      <w:r>
        <w:rPr>
          <w:rFonts w:ascii="Times New Roman;Times;serif" w:hAnsi="Times New Roman;Times;serif"/>
          <w:sz w:val="24"/>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120" w:after="0"/>
        <w:ind w:left="0" w:right="0" w:hanging="0"/>
        <w:jc w:val="left"/>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 972-233-1700</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 * *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COMPX INTERNATIONAL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SUMMARY OF CONSOLIDATED OPERATIONS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millions, except per share amounts)</w:t>
      </w:r>
    </w:p>
    <w:p>
      <w:pPr>
        <w:pStyle w:val="TextBody"/>
        <w:bidi w:val="0"/>
        <w:spacing w:before="0" w:after="0"/>
        <w:ind w:left="0" w:right="0" w:hanging="0"/>
        <w:jc w:val="center"/>
        <w:rPr/>
      </w:pPr>
      <w:r>
        <w:rPr/>
        <w:t>​</w:t>
      </w:r>
    </w:p>
    <w:tbl>
      <w:tblPr>
        <w:tblW w:w="9335" w:type="dxa"/>
        <w:jc w:val="left"/>
        <w:tblInd w:w="0" w:type="dxa"/>
        <w:tblLayout w:type="fixed"/>
        <w:tblCellMar>
          <w:top w:w="0" w:type="dxa"/>
          <w:left w:w="0" w:type="dxa"/>
          <w:bottom w:w="0" w:type="dxa"/>
          <w:right w:w="0" w:type="dxa"/>
        </w:tblCellMar>
      </w:tblPr>
      <w:tblGrid>
        <w:gridCol w:w="5221"/>
        <w:gridCol w:w="225"/>
        <w:gridCol w:w="497"/>
        <w:gridCol w:w="369"/>
        <w:gridCol w:w="225"/>
        <w:gridCol w:w="497"/>
        <w:gridCol w:w="346"/>
        <w:gridCol w:w="211"/>
        <w:gridCol w:w="571"/>
        <w:gridCol w:w="346"/>
        <w:gridCol w:w="211"/>
        <w:gridCol w:w="616"/>
      </w:tblGrid>
      <w:tr>
        <w:trPr/>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315335" cy="175260"/>
                      <wp:effectExtent l="0" t="0" r="0" b="0"/>
                      <wp:wrapNone/>
                      <wp:docPr id="2" name="Frame1"/>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42875" cy="175260"/>
                      <wp:effectExtent l="0" t="0" r="0" b="0"/>
                      <wp:wrapNone/>
                      <wp:docPr id="3" name="Frame2"/>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15595" cy="175260"/>
                      <wp:effectExtent l="0" t="0" r="0" b="0"/>
                      <wp:wrapNone/>
                      <wp:docPr id="4" name="Frame3"/>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34315" cy="175260"/>
                      <wp:effectExtent l="0" t="0" r="0" b="0"/>
                      <wp:wrapNone/>
                      <wp:docPr id="5" name="Frame4"/>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42875" cy="175260"/>
                      <wp:effectExtent l="0" t="0" r="0" b="0"/>
                      <wp:wrapNone/>
                      <wp:docPr id="6" name="Frame5"/>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15595" cy="175260"/>
                      <wp:effectExtent l="0" t="0" r="0" b="0"/>
                      <wp:wrapNone/>
                      <wp:docPr id="7" name="Frame6"/>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8"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9"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62585" cy="175260"/>
                      <wp:effectExtent l="0" t="0" r="0" b="0"/>
                      <wp:wrapNone/>
                      <wp:docPr id="10" name="Frame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1"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2"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91160" cy="175260"/>
                      <wp:effectExtent l="0" t="0" r="0" b="0"/>
                      <wp:wrapNone/>
                      <wp:docPr id="13" name="Frame1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0"/>
              <w:ind w:left="0" w:right="0" w:hanging="0"/>
              <w:jc w:val="left"/>
              <w:rPr/>
            </w:pPr>
            <w:r>
              <w:rPr/>
              <w:t>​</w:t>
            </w:r>
          </w:p>
        </w:tc>
        <w:tc>
          <w:tcPr>
            <w:tcW w:w="181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346" w:type="dxa"/>
            <w:tcBorders/>
            <w:vAlign w:val="center"/>
          </w:tcPr>
          <w:p>
            <w:pPr>
              <w:pStyle w:val="TableContents"/>
              <w:bidi w:val="0"/>
              <w:spacing w:before="0" w:after="0"/>
              <w:ind w:left="0" w:right="0" w:hanging="0"/>
              <w:jc w:val="left"/>
              <w:rPr/>
            </w:pPr>
            <w:r>
              <w:rPr/>
              <w:t>  ​ ​ ​</w:t>
            </w:r>
          </w:p>
        </w:tc>
        <w:tc>
          <w:tcPr>
            <w:tcW w:w="195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5221" w:type="dxa"/>
            <w:tcBorders/>
            <w:vAlign w:val="center"/>
          </w:tcPr>
          <w:p>
            <w:pPr>
              <w:pStyle w:val="TableContents"/>
              <w:bidi w:val="0"/>
              <w:spacing w:before="0" w:after="0"/>
              <w:ind w:left="0" w:right="0" w:hanging="0"/>
              <w:jc w:val="left"/>
              <w:rPr/>
            </w:pPr>
            <w:r>
              <w:rPr/>
              <w:t>​</w:t>
            </w:r>
          </w:p>
        </w:tc>
        <w:tc>
          <w:tcPr>
            <w:tcW w:w="18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c>
          <w:tcPr>
            <w:tcW w:w="346" w:type="dxa"/>
            <w:tcBorders/>
            <w:vAlign w:val="center"/>
          </w:tcPr>
          <w:p>
            <w:pPr>
              <w:pStyle w:val="TableContents"/>
              <w:bidi w:val="0"/>
              <w:spacing w:before="0" w:after="0"/>
              <w:ind w:left="0" w:right="0" w:hanging="0"/>
              <w:jc w:val="left"/>
              <w:rPr/>
            </w:pPr>
            <w:r>
              <w:rPr/>
              <w:t>​</w:t>
            </w:r>
          </w:p>
        </w:tc>
        <w:tc>
          <w:tcPr>
            <w:tcW w:w="19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5221" w:type="dxa"/>
            <w:tcBorders/>
            <w:vAlign w:val="center"/>
          </w:tcPr>
          <w:p>
            <w:pPr>
              <w:pStyle w:val="TableContents"/>
              <w:bidi w:val="0"/>
              <w:spacing w:before="0" w:after="0"/>
              <w:ind w:left="0" w:right="0" w:hanging="0"/>
              <w:jc w:val="left"/>
              <w:rPr/>
            </w:pPr>
            <w:r>
              <w:rPr/>
              <w:t>​</w:t>
            </w:r>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69" w:type="dxa"/>
            <w:tcBorders/>
            <w:vAlign w:val="center"/>
          </w:tcPr>
          <w:p>
            <w:pPr>
              <w:pStyle w:val="TableContents"/>
              <w:bidi w:val="0"/>
              <w:spacing w:before="0" w:after="0"/>
              <w:ind w:left="0" w:right="0" w:hanging="0"/>
              <w:jc w:val="left"/>
              <w:rPr/>
            </w:pPr>
            <w:r>
              <w:rPr/>
              <w:t>  ​ ​ ​</w:t>
            </w:r>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933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5221" w:type="dxa"/>
            <w:tcBorders/>
            <w:vAlign w:val="center"/>
          </w:tcPr>
          <w:p>
            <w:pPr>
              <w:pStyle w:val="TableContents"/>
              <w:bidi w:val="0"/>
              <w:spacing w:before="0" w:after="0"/>
              <w:ind w:left="0" w:right="0" w:hanging="0"/>
              <w:jc w:val="left"/>
              <w:rPr/>
            </w:pPr>
            <w:r>
              <w:rPr/>
              <w:t>​</w:t>
            </w:r>
          </w:p>
        </w:tc>
        <w:tc>
          <w:tcPr>
            <w:tcW w:w="181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Net sales</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36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158.3</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Cost of sales</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369"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110.1</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Gross margin</w:t>
            </w:r>
          </w:p>
        </w:tc>
        <w:tc>
          <w:tcPr>
            <w:tcW w:w="225" w:type="dxa"/>
            <w:tcBorders/>
            <w:shd w:fill="CCEEFF" w:val="clear"/>
            <w:vAlign w:val="center"/>
          </w:tcPr>
          <w:p>
            <w:pPr>
              <w:pStyle w:val="TableContents"/>
              <w:bidi w:val="0"/>
              <w:spacing w:before="0" w:after="0"/>
              <w:ind w:left="0" w:right="0" w:hanging="0"/>
              <w:jc w:val="left"/>
              <w:rPr/>
            </w:pPr>
            <w:r>
              <w:rPr/>
              <w:t> </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6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48.2</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Selling, general and administrative expense</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69"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25.6</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Operating income</w:t>
            </w:r>
          </w:p>
        </w:tc>
        <w:tc>
          <w:tcPr>
            <w:tcW w:w="225" w:type="dxa"/>
            <w:tcBorders/>
            <w:shd w:fill="CCEEFF" w:val="clear"/>
            <w:vAlign w:val="center"/>
          </w:tcPr>
          <w:p>
            <w:pPr>
              <w:pStyle w:val="TableContents"/>
              <w:bidi w:val="0"/>
              <w:spacing w:before="0" w:after="0"/>
              <w:ind w:left="0" w:right="0" w:hanging="0"/>
              <w:jc w:val="left"/>
              <w:rPr/>
            </w:pPr>
            <w:r>
              <w:rPr/>
              <w:t> </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6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22.6</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Interest income</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69"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Income before income taxes</w:t>
            </w:r>
          </w:p>
        </w:tc>
        <w:tc>
          <w:tcPr>
            <w:tcW w:w="225" w:type="dxa"/>
            <w:tcBorders/>
            <w:shd w:fill="CCEEFF" w:val="clear"/>
            <w:vAlign w:val="center"/>
          </w:tcPr>
          <w:p>
            <w:pPr>
              <w:pStyle w:val="TableContents"/>
              <w:bidi w:val="0"/>
              <w:spacing w:before="0" w:after="0"/>
              <w:ind w:left="0" w:right="0" w:hanging="0"/>
              <w:jc w:val="left"/>
              <w:rPr/>
            </w:pPr>
            <w:r>
              <w:rPr/>
              <w:t> </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6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49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25.8</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Income tax expense</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9"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Net income</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69"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19.5</w:t>
            </w:r>
          </w:p>
        </w:tc>
      </w:tr>
      <w:tr>
        <w:trPr/>
        <w:tc>
          <w:tcPr>
            <w:tcW w:w="5221"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right"/>
              <w:rPr/>
            </w:pPr>
            <w:r>
              <w:rPr/>
              <w:t>​</w:t>
            </w:r>
          </w:p>
        </w:tc>
        <w:tc>
          <w:tcPr>
            <w:tcW w:w="36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Basic and diluted net income per common share</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69"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Weighted average diluted common shares outstanding</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4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69"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4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6750" w:right="0" w:hanging="0"/>
        <w:jc w:val="right"/>
        <w:rPr/>
      </w:pPr>
      <w:bookmarkStart w:id="38" w:name="cix-20260304xex99d2.htm"/>
      <w:bookmarkStart w:id="39" w:name="kscix20260304xex99d2"/>
      <w:bookmarkEnd w:id="38"/>
      <w:bookmarkEnd w:id="39"/>
      <w:r>
        <w:rPr/>
        <w:t>​</w:t>
      </w:r>
      <w:r>
        <w:br w:type="page"/>
      </w:r>
    </w:p>
    <w:p>
      <w:pPr>
        <w:pStyle w:val="TextBody"/>
        <w:bidi w:val="0"/>
        <w:spacing w:before="0" w:after="0"/>
        <w:ind w:left="0" w:right="0" w:hanging="0"/>
        <w:jc w:val="both"/>
        <w:rPr>
          <w:spacing w:val="-2"/>
        </w:rPr>
      </w:pPr>
      <w:r>
        <w:rPr>
          <w:spacing w:val="-2"/>
        </w:rPr>
        <w:t>​</w:t>
      </w:r>
    </w:p>
    <w:tbl>
      <w:tblPr>
        <w:tblW w:w="7606" w:type="dxa"/>
        <w:jc w:val="left"/>
        <w:tblInd w:w="0" w:type="dxa"/>
        <w:tblLayout w:type="fixed"/>
        <w:tblCellMar>
          <w:top w:w="0" w:type="dxa"/>
          <w:left w:w="0" w:type="dxa"/>
          <w:bottom w:w="0" w:type="dxa"/>
          <w:right w:w="0" w:type="dxa"/>
        </w:tblCellMar>
      </w:tblPr>
      <w:tblGrid>
        <w:gridCol w:w="7606"/>
      </w:tblGrid>
      <w:tr>
        <w:trPr/>
        <w:tc>
          <w:tcPr>
            <w:tcW w:w="7606" w:type="dxa"/>
            <w:tcBorders/>
            <w:vAlign w:val="center"/>
          </w:tcPr>
          <w:p>
            <w:pPr>
              <w:pStyle w:val="TableContents"/>
              <w:bidi w:val="0"/>
              <w:spacing w:before="0" w:after="0"/>
              <w:ind w:left="0" w:right="0" w:hanging="0"/>
              <w:jc w:val="both"/>
              <w:rPr/>
            </w:pPr>
            <w:r>
              <w:rPr/>
              <w:t>                                                                                                                            ​</w:t>
            </w:r>
          </w:p>
        </w:tc>
      </w:tr>
      <w:tr>
        <w:trPr/>
        <w:tc>
          <w:tcPr>
            <w:tcW w:w="7606" w:type="dxa"/>
            <w:tcBorders/>
            <w:vAlign w:val="center"/>
          </w:tcPr>
          <w:p>
            <w:pPr>
              <w:pStyle w:val="TableContents"/>
              <w:bidi w:val="0"/>
              <w:spacing w:before="0" w:after="0"/>
              <w:ind w:left="0" w:right="0" w:hanging="0"/>
              <w:jc w:val="both"/>
              <w:rPr/>
            </w:pPr>
            <w:r>
              <w:rPr/>
              <w:t>​</w:t>
            </w:r>
          </w:p>
        </w:tc>
      </w:tr>
      <w:tr>
        <w:trPr/>
        <w:tc>
          <w:tcPr>
            <w:tcW w:w="7606" w:type="dxa"/>
            <w:tcBorders/>
            <w:vAlign w:val="center"/>
          </w:tcPr>
          <w:p>
            <w:pPr>
              <w:pStyle w:val="TableContents"/>
              <w:bidi w:val="0"/>
              <w:spacing w:before="0" w:after="0"/>
              <w:ind w:left="0" w:right="0" w:hanging="0"/>
              <w:jc w:val="center"/>
              <w:rPr/>
            </w:pPr>
            <w:r>
              <w:rPr/>
              <w:drawing>
                <wp:inline distT="0" distB="0" distL="0" distR="0">
                  <wp:extent cx="2713990" cy="904875"/>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2713990" cy="904875"/>
                          </a:xfrm>
                          <a:prstGeom prst="rect">
                            <a:avLst/>
                          </a:prstGeom>
                        </pic:spPr>
                      </pic:pic>
                    </a:graphicData>
                  </a:graphic>
                </wp:inline>
              </w:drawing>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center"/>
        <w:rPr>
          <w:rFonts w:ascii="Times New Roman;Times;serif" w:hAnsi="Times New Roman;Times;serif"/>
          <w:b/>
          <w:spacing w:val="-2"/>
          <w:sz w:val="24"/>
        </w:rPr>
      </w:pPr>
      <w:r>
        <w:rPr>
          <w:rFonts w:ascii="Times New Roman;Times;serif" w:hAnsi="Times New Roman;Times;serif"/>
          <w:b/>
          <w:spacing w:val="-2"/>
          <w:sz w:val="24"/>
        </w:rPr>
        <w:t>COMPX DECLARES REGULAR QUARTERLY DIVIDEND</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center"/>
        <w:rPr>
          <w:spacing w:val="-2"/>
        </w:rPr>
      </w:pPr>
      <w:r>
        <w:rPr>
          <w:spacing w:val="-2"/>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DALLAS, TEXAS . . . March 4, 2026 . . . CompX International Inc. (NYSE American:  CIX) announced today that its board of directors has declared CompX’s regular quarterly dividend of thirty cents ($0.30) per share on its class A common stock, payable on March 24, 2026 to stockholders of record at the close of business on March 16, 2026.</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CompX is a leading manufacturer of security products and recreational marine components.</w:t>
      </w:r>
    </w:p>
    <w:p>
      <w:pPr>
        <w:pStyle w:val="TextBody"/>
        <w:bidi w:val="0"/>
        <w:spacing w:before="0" w:after="0"/>
        <w:ind w:left="0" w:right="0" w:firstLine="720"/>
        <w:jc w:val="both"/>
        <w:rPr/>
      </w:pPr>
      <w:r>
        <w:rPr/>
        <w:t>​</w:t>
      </w:r>
    </w:p>
    <w:p>
      <w:pPr>
        <w:pStyle w:val="TextBody"/>
        <w:bidi w:val="0"/>
        <w:spacing w:before="0"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 * * *</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Tel. 972-233-1700</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1827</Words>
  <Characters>9952</Characters>
  <CharactersWithSpaces>11971</CharactersWithSpaces>
  <Paragraphs>469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