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February 28, 2024</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COMPX INTERNATIONAL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7" w:lineRule="exact"/>
        <w:rPr>
          <w:sz w:val="24"/>
          <w:szCs w:val="24"/>
          <w:color w:val="auto"/>
        </w:rPr>
      </w:pPr>
    </w:p>
    <w:tbl>
      <w:tblPr>
        <w:tblLayout w:type="fixed"/>
        <w:tblInd w:w="500" w:type="dxa"/>
        <w:tblCellMar>
          <w:top w:w="0" w:type="dxa"/>
          <w:left w:w="0" w:type="dxa"/>
          <w:bottom w:w="0" w:type="dxa"/>
          <w:right w:w="0" w:type="dxa"/>
        </w:tblCellMar>
      </w:tblPr>
      <w:tr>
        <w:trPr>
          <w:trHeight w:val="256"/>
        </w:trPr>
        <w:tc>
          <w:tcPr>
            <w:tcW w:w="2820" w:type="dxa"/>
            <w:vAlign w:val="bottom"/>
          </w:tcPr>
          <w:p>
            <w:pPr>
              <w:jc w:val="center"/>
              <w:ind w:right="643"/>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2640" w:type="dxa"/>
            <w:vAlign w:val="bottom"/>
          </w:tcPr>
          <w:p>
            <w:pPr>
              <w:jc w:val="center"/>
              <w:ind w:right="144"/>
              <w:spacing w:after="0"/>
              <w:rPr>
                <w:sz w:val="20"/>
                <w:szCs w:val="20"/>
                <w:color w:val="auto"/>
              </w:rPr>
            </w:pPr>
            <w:r>
              <w:rPr>
                <w:rFonts w:ascii="Times New Roman" w:cs="Times New Roman" w:eastAsia="Times New Roman" w:hAnsi="Times New Roman"/>
                <w:sz w:val="22"/>
                <w:szCs w:val="22"/>
                <w:b w:val="1"/>
                <w:bCs w:val="1"/>
                <w:color w:val="auto"/>
                <w:w w:val="98"/>
              </w:rPr>
              <w:t>1-13905</w:t>
            </w:r>
          </w:p>
        </w:tc>
        <w:tc>
          <w:tcPr>
            <w:tcW w:w="2200" w:type="dxa"/>
            <w:vAlign w:val="bottom"/>
          </w:tcPr>
          <w:p>
            <w:pPr>
              <w:jc w:val="center"/>
              <w:ind w:left="743"/>
              <w:spacing w:after="0"/>
              <w:rPr>
                <w:sz w:val="20"/>
                <w:szCs w:val="20"/>
                <w:color w:val="auto"/>
              </w:rPr>
            </w:pPr>
            <w:r>
              <w:rPr>
                <w:rFonts w:ascii="Times New Roman" w:cs="Times New Roman" w:eastAsia="Times New Roman" w:hAnsi="Times New Roman"/>
                <w:sz w:val="22"/>
                <w:szCs w:val="22"/>
                <w:b w:val="1"/>
                <w:bCs w:val="1"/>
                <w:color w:val="auto"/>
                <w:w w:val="97"/>
              </w:rPr>
              <w:t>57-0981653</w:t>
            </w:r>
          </w:p>
        </w:tc>
      </w:tr>
      <w:tr>
        <w:trPr>
          <w:trHeight w:val="216"/>
        </w:trPr>
        <w:tc>
          <w:tcPr>
            <w:tcW w:w="2820" w:type="dxa"/>
            <w:vAlign w:val="bottom"/>
          </w:tcPr>
          <w:p>
            <w:pPr>
              <w:jc w:val="center"/>
              <w:ind w:right="643"/>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640" w:type="dxa"/>
            <w:vAlign w:val="bottom"/>
          </w:tcPr>
          <w:p>
            <w:pPr>
              <w:jc w:val="center"/>
              <w:ind w:right="144"/>
              <w:spacing w:after="0"/>
              <w:rPr>
                <w:sz w:val="20"/>
                <w:szCs w:val="20"/>
                <w:color w:val="auto"/>
              </w:rPr>
            </w:pPr>
            <w:r>
              <w:rPr>
                <w:rFonts w:ascii="Times New Roman" w:cs="Times New Roman" w:eastAsia="Times New Roman" w:hAnsi="Times New Roman"/>
                <w:sz w:val="18"/>
                <w:szCs w:val="18"/>
                <w:color w:val="auto"/>
                <w:w w:val="98"/>
              </w:rPr>
              <w:t>(Commission</w:t>
            </w:r>
          </w:p>
        </w:tc>
        <w:tc>
          <w:tcPr>
            <w:tcW w:w="220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820" w:type="dxa"/>
            <w:vAlign w:val="bottom"/>
          </w:tcPr>
          <w:p>
            <w:pPr>
              <w:jc w:val="center"/>
              <w:ind w:right="643"/>
              <w:spacing w:after="0"/>
              <w:rPr>
                <w:sz w:val="20"/>
                <w:szCs w:val="20"/>
                <w:color w:val="auto"/>
              </w:rPr>
            </w:pPr>
            <w:r>
              <w:rPr>
                <w:rFonts w:ascii="Times New Roman" w:cs="Times New Roman" w:eastAsia="Times New Roman" w:hAnsi="Times New Roman"/>
                <w:sz w:val="18"/>
                <w:szCs w:val="18"/>
                <w:color w:val="auto"/>
              </w:rPr>
              <w:t>incorporation)</w:t>
            </w:r>
          </w:p>
        </w:tc>
        <w:tc>
          <w:tcPr>
            <w:tcW w:w="2640" w:type="dxa"/>
            <w:vAlign w:val="bottom"/>
          </w:tcPr>
          <w:p>
            <w:pPr>
              <w:jc w:val="center"/>
              <w:ind w:right="124"/>
              <w:spacing w:after="0"/>
              <w:rPr>
                <w:sz w:val="20"/>
                <w:szCs w:val="20"/>
                <w:color w:val="auto"/>
              </w:rPr>
            </w:pPr>
            <w:r>
              <w:rPr>
                <w:rFonts w:ascii="Times New Roman" w:cs="Times New Roman" w:eastAsia="Times New Roman" w:hAnsi="Times New Roman"/>
                <w:sz w:val="18"/>
                <w:szCs w:val="18"/>
                <w:color w:val="auto"/>
              </w:rPr>
              <w:t>File Number)</w:t>
            </w:r>
          </w:p>
        </w:tc>
        <w:tc>
          <w:tcPr>
            <w:tcW w:w="220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57"/>
        </w:trPr>
        <w:tc>
          <w:tcPr>
            <w:tcW w:w="5460" w:type="dxa"/>
            <w:vAlign w:val="bottom"/>
            <w:gridSpan w:val="2"/>
          </w:tcPr>
          <w:p>
            <w:pPr>
              <w:jc w:val="center"/>
              <w:ind w:right="284"/>
              <w:spacing w:after="0"/>
              <w:rPr>
                <w:sz w:val="20"/>
                <w:szCs w:val="20"/>
                <w:color w:val="auto"/>
              </w:rPr>
            </w:pPr>
            <w:r>
              <w:rPr>
                <w:rFonts w:ascii="Times New Roman" w:cs="Times New Roman" w:eastAsia="Times New Roman" w:hAnsi="Times New Roman"/>
                <w:sz w:val="22"/>
                <w:szCs w:val="22"/>
                <w:b w:val="1"/>
                <w:bCs w:val="1"/>
                <w:color w:val="auto"/>
                <w:w w:val="97"/>
              </w:rPr>
              <w:t>5430 LBJ Freeway, Suite 1700, Dallas, Texas</w:t>
            </w:r>
          </w:p>
        </w:tc>
        <w:tc>
          <w:tcPr>
            <w:tcW w:w="2200" w:type="dxa"/>
            <w:vAlign w:val="bottom"/>
          </w:tcPr>
          <w:p>
            <w:pPr>
              <w:jc w:val="center"/>
              <w:ind w:left="743"/>
              <w:spacing w:after="0"/>
              <w:rPr>
                <w:sz w:val="20"/>
                <w:szCs w:val="20"/>
                <w:color w:val="auto"/>
              </w:rPr>
            </w:pPr>
            <w:r>
              <w:rPr>
                <w:rFonts w:ascii="Times New Roman" w:cs="Times New Roman" w:eastAsia="Times New Roman" w:hAnsi="Times New Roman"/>
                <w:sz w:val="22"/>
                <w:szCs w:val="22"/>
                <w:b w:val="1"/>
                <w:bCs w:val="1"/>
                <w:color w:val="auto"/>
                <w:w w:val="97"/>
              </w:rPr>
              <w:t>75240-2620</w:t>
            </w:r>
          </w:p>
        </w:tc>
      </w:tr>
      <w:tr>
        <w:trPr>
          <w:trHeight w:val="234"/>
        </w:trPr>
        <w:tc>
          <w:tcPr>
            <w:tcW w:w="5460" w:type="dxa"/>
            <w:vAlign w:val="bottom"/>
            <w:gridSpan w:val="2"/>
          </w:tcPr>
          <w:p>
            <w:pPr>
              <w:jc w:val="center"/>
              <w:ind w:right="284"/>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(972) 448-1400</w:t>
      </w: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1376680</wp:posOffset>
            </wp:positionH>
            <wp:positionV relativeFrom="paragraph">
              <wp:posOffset>-127635</wp:posOffset>
            </wp:positionV>
            <wp:extent cx="2974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11" w:lineRule="exact"/>
        <w:rPr>
          <w:sz w:val="24"/>
          <w:szCs w:val="24"/>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81" w:lineRule="exact"/>
        <w:rPr>
          <w:sz w:val="24"/>
          <w:szCs w:val="24"/>
          <w:color w:val="auto"/>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44"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44"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44"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3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0" w:type="dxa"/>
            <w:vAlign w:val="bottom"/>
            <w:vMerge w:val="restart"/>
          </w:tcPr>
          <w:p>
            <w:pPr>
              <w:spacing w:after="0"/>
              <w:rPr>
                <w:sz w:val="13"/>
                <w:szCs w:val="13"/>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3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20" w:type="dxa"/>
            <w:vAlign w:val="bottom"/>
          </w:tcPr>
          <w:p>
            <w:pPr>
              <w:spacing w:after="0"/>
              <w:rPr>
                <w:sz w:val="15"/>
                <w:szCs w:val="15"/>
                <w:color w:val="auto"/>
              </w:rPr>
            </w:pPr>
          </w:p>
        </w:tc>
        <w:tc>
          <w:tcPr>
            <w:tcW w:w="3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3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Class A common stock</w:t>
            </w:r>
          </w:p>
        </w:tc>
        <w:tc>
          <w:tcPr>
            <w:tcW w:w="160" w:type="dxa"/>
            <w:vAlign w:val="bottom"/>
          </w:tcPr>
          <w:p>
            <w:pPr>
              <w:spacing w:after="0"/>
              <w:rPr>
                <w:sz w:val="10"/>
                <w:szCs w:val="10"/>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9"/>
              </w:rPr>
              <w:t>CIX</w:t>
            </w: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NYSE American</w:t>
            </w:r>
          </w:p>
        </w:tc>
        <w:tc>
          <w:tcPr>
            <w:tcW w:w="0" w:type="dxa"/>
            <w:vAlign w:val="bottom"/>
          </w:tcPr>
          <w:p>
            <w:pPr>
              <w:spacing w:after="0"/>
              <w:rPr>
                <w:sz w:val="1"/>
                <w:szCs w:val="1"/>
                <w:color w:val="auto"/>
              </w:rPr>
            </w:pPr>
          </w:p>
        </w:tc>
      </w:tr>
      <w:tr>
        <w:trPr>
          <w:trHeight w:val="188"/>
        </w:trPr>
        <w:tc>
          <w:tcPr>
            <w:tcW w:w="3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($.01 par value per share)</w:t>
            </w:r>
          </w:p>
        </w:tc>
        <w:tc>
          <w:tcPr>
            <w:tcW w:w="1540" w:type="dxa"/>
            <w:vAlign w:val="bottom"/>
            <w:gridSpan w:val="2"/>
            <w:vMerge w:val="continue"/>
          </w:tcPr>
          <w:p>
            <w:pPr>
              <w:spacing w:after="0"/>
              <w:rPr>
                <w:sz w:val="16"/>
                <w:szCs w:val="16"/>
                <w:color w:val="auto"/>
              </w:rPr>
            </w:pPr>
          </w:p>
        </w:tc>
        <w:tc>
          <w:tcPr>
            <w:tcW w:w="3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67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04"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548640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51435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85725</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1332" w:right="1440" w:bottom="1440" w:gutter="0" w:footer="0" w:header="0"/>
        </w:sectPr>
      </w:pPr>
    </w:p>
    <w:bookmarkStart w:id="1" w:name="page2"/>
    <w:bookmarkEnd w:id="1"/>
    <w:p>
      <w:pPr>
        <w:ind w:left="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The registrant hereby furnishes the information set forth in its press release entitled “CompX Reports Fourth Quarter 2023 Results” that the registrant issued on February 28, 2024, a copy of which is attached hereto as Exhibit 99.1 and incorporated herein by reference.</w:t>
      </w:r>
    </w:p>
    <w:p>
      <w:pPr>
        <w:spacing w:after="0" w:line="176"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press release the registrant furnishes as Exhibit 99.1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70"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registrant hereby furnishes the information set forth in its press release entitled “CompX Announces Increase in Quarterly Dividend” that the registrant also issued on February 28, 2024, a copy of which is attached hereto as Exhibit 99.2 and incorporated herein by reference.</w:t>
      </w:r>
    </w:p>
    <w:p>
      <w:pPr>
        <w:spacing w:after="0" w:line="176"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press release the registrant furnishes as Exhibit 99.2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57"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13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3"/>
              </w:rPr>
              <w:t>Exhibits</w:t>
            </w:r>
          </w:p>
        </w:tc>
        <w:tc>
          <w:tcPr>
            <w:tcW w:w="6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9"/>
        </w:trPr>
        <w:tc>
          <w:tcPr>
            <w:tcW w:w="600" w:type="dxa"/>
            <w:vAlign w:val="bottom"/>
          </w:tcPr>
          <w:p>
            <w:pPr>
              <w:spacing w:after="0"/>
              <w:rPr>
                <w:sz w:val="24"/>
                <w:szCs w:val="24"/>
                <w:color w:val="auto"/>
              </w:rPr>
            </w:pP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600" w:type="dxa"/>
            <w:vAlign w:val="bottom"/>
          </w:tcPr>
          <w:p>
            <w:pPr>
              <w:spacing w:after="0"/>
              <w:rPr>
                <w:sz w:val="24"/>
                <w:szCs w:val="24"/>
                <w:color w:val="auto"/>
              </w:rPr>
            </w:pPr>
          </w:p>
        </w:tc>
        <w:tc>
          <w:tcPr>
            <w:tcW w:w="6100" w:type="dxa"/>
            <w:vAlign w:val="bottom"/>
            <w:tcBorders>
              <w:bottom w:val="single" w:sz="8" w:color="auto"/>
            </w:tcBorders>
            <w:gridSpan w:val="5"/>
          </w:tcPr>
          <w:p>
            <w:pPr>
              <w:ind w:left="26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40" w:type="dxa"/>
            <w:vAlign w:val="bottom"/>
          </w:tcPr>
          <w:p>
            <w:pPr>
              <w:spacing w:after="0"/>
              <w:rPr>
                <w:sz w:val="24"/>
                <w:szCs w:val="24"/>
                <w:color w:val="auto"/>
              </w:rPr>
            </w:pPr>
          </w:p>
        </w:tc>
      </w:tr>
      <w:tr>
        <w:trPr>
          <w:trHeight w:val="391"/>
        </w:trPr>
        <w:tc>
          <w:tcPr>
            <w:tcW w:w="60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99.1</w:t>
            </w:r>
          </w:p>
        </w:tc>
        <w:tc>
          <w:tcPr>
            <w:tcW w:w="600" w:type="dxa"/>
            <w:vAlign w:val="bottom"/>
          </w:tcPr>
          <w:p>
            <w:pPr>
              <w:spacing w:after="0"/>
              <w:rPr>
                <w:sz w:val="24"/>
                <w:szCs w:val="24"/>
                <w:color w:val="auto"/>
              </w:rPr>
            </w:pPr>
          </w:p>
        </w:tc>
        <w:tc>
          <w:tcPr>
            <w:tcW w:w="63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Press release dated February 28, 2024 entitled “CompX Reports Fourth Quarter 2023</w:t>
            </w:r>
          </w:p>
        </w:tc>
      </w:tr>
      <w:tr>
        <w:trPr>
          <w:trHeight w:val="196"/>
        </w:trPr>
        <w:tc>
          <w:tcPr>
            <w:tcW w:w="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Results” and issued by the registrant.</w:t>
            </w:r>
          </w:p>
        </w:tc>
        <w:tc>
          <w:tcPr>
            <w:tcW w:w="3380" w:type="dxa"/>
            <w:vAlign w:val="bottom"/>
            <w:tcBorders>
              <w:top w:val="single" w:sz="8" w:color="0000EE"/>
            </w:tcBorders>
            <w:gridSpan w:val="3"/>
          </w:tcPr>
          <w:p>
            <w:pPr>
              <w:spacing w:after="0"/>
              <w:rPr>
                <w:sz w:val="17"/>
                <w:szCs w:val="17"/>
                <w:color w:val="auto"/>
              </w:rPr>
            </w:pPr>
          </w:p>
        </w:tc>
        <w:tc>
          <w:tcPr>
            <w:tcW w:w="320" w:type="dxa"/>
            <w:vAlign w:val="bottom"/>
            <w:gridSpan w:val="2"/>
          </w:tcPr>
          <w:p>
            <w:pPr>
              <w:spacing w:after="0"/>
              <w:rPr>
                <w:sz w:val="17"/>
                <w:szCs w:val="17"/>
                <w:color w:val="auto"/>
              </w:rPr>
            </w:pPr>
          </w:p>
        </w:tc>
      </w:tr>
      <w:tr>
        <w:trPr>
          <w:trHeight w:val="412"/>
        </w:trPr>
        <w:tc>
          <w:tcPr>
            <w:tcW w:w="60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99.2</w:t>
            </w:r>
          </w:p>
        </w:tc>
        <w:tc>
          <w:tcPr>
            <w:tcW w:w="600" w:type="dxa"/>
            <w:vAlign w:val="bottom"/>
          </w:tcPr>
          <w:p>
            <w:pPr>
              <w:spacing w:after="0"/>
              <w:rPr>
                <w:sz w:val="24"/>
                <w:szCs w:val="24"/>
                <w:color w:val="auto"/>
              </w:rPr>
            </w:pPr>
          </w:p>
        </w:tc>
        <w:tc>
          <w:tcPr>
            <w:tcW w:w="63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Press release dated February 28, 2024 entitled “CompX Announces Increase in</w:t>
            </w:r>
          </w:p>
        </w:tc>
      </w:tr>
      <w:tr>
        <w:trPr>
          <w:trHeight w:val="196"/>
        </w:trPr>
        <w:tc>
          <w:tcPr>
            <w:tcW w:w="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Quarterly Dividend” and issued by the registrant.</w:t>
            </w:r>
          </w:p>
        </w:tc>
        <w:tc>
          <w:tcPr>
            <w:tcW w:w="680" w:type="dxa"/>
            <w:vAlign w:val="bottom"/>
            <w:gridSpan w:val="3"/>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gridSpan w:val="2"/>
            <w:shd w:val="clear" w:color="auto" w:fill="0000EE"/>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r>
      <w:tr>
        <w:trPr>
          <w:trHeight w:val="453"/>
        </w:trPr>
        <w:tc>
          <w:tcPr>
            <w:tcW w:w="600" w:type="dxa"/>
            <w:vAlign w:val="bottom"/>
          </w:tcPr>
          <w:p>
            <w:pPr>
              <w:spacing w:after="0"/>
              <w:rPr>
                <w:sz w:val="24"/>
                <w:szCs w:val="24"/>
                <w:color w:val="auto"/>
              </w:rPr>
            </w:pPr>
          </w:p>
        </w:tc>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6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681"/>
        </w:trPr>
        <w:tc>
          <w:tcPr>
            <w:tcW w:w="6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COMPX INTERNATIONAL INC.</w:t>
            </w:r>
          </w:p>
        </w:tc>
      </w:tr>
      <w:tr>
        <w:trPr>
          <w:trHeight w:val="234"/>
        </w:trPr>
        <w:tc>
          <w:tcPr>
            <w:tcW w:w="3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3120" w:type="dxa"/>
            <w:vAlign w:val="bottom"/>
          </w:tcPr>
          <w:p>
            <w:pPr>
              <w:spacing w:after="0"/>
              <w:rPr>
                <w:sz w:val="24"/>
                <w:szCs w:val="24"/>
                <w:color w:val="auto"/>
              </w:rPr>
            </w:pPr>
          </w:p>
        </w:tc>
        <w:tc>
          <w:tcPr>
            <w:tcW w:w="58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By:/s/ Amy A. Samford</w:t>
            </w:r>
          </w:p>
        </w:tc>
      </w:tr>
      <w:tr>
        <w:trPr>
          <w:trHeight w:val="189"/>
        </w:trPr>
        <w:tc>
          <w:tcPr>
            <w:tcW w:w="3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1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Amy A. Samford</w:t>
            </w:r>
          </w:p>
        </w:tc>
      </w:tr>
      <w:tr>
        <w:trPr>
          <w:trHeight w:val="216"/>
        </w:trPr>
        <w:tc>
          <w:tcPr>
            <w:tcW w:w="3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tc>
      </w:tr>
      <w:tr>
        <w:trPr>
          <w:trHeight w:val="236"/>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28, 2024</w:t>
            </w:r>
          </w:p>
        </w:tc>
        <w:tc>
          <w:tcPr>
            <w:tcW w:w="162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180"/>
        </w:trPr>
        <w:tc>
          <w:tcPr>
            <w:tcW w:w="3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2565400</wp:posOffset>
            </wp:positionH>
            <wp:positionV relativeFrom="page">
              <wp:posOffset>380365</wp:posOffset>
            </wp:positionV>
            <wp:extent cx="2442845" cy="814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442845" cy="81470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COMPX REPORTS FOURTH QUARTER 2023 RESULTS</w:t>
      </w:r>
    </w:p>
    <w:p>
      <w:pPr>
        <w:spacing w:after="0" w:line="114"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 xml:space="preserve">DALLAS, TEXAS </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February 28, 2024 </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CompX International Inc. (NYSE American: CIX) announced today sales of $43.2 million for the fourth quarter of 2023 compared to $40.0 million in the same period of 2022. Operating income was $7.4 million in the fourth quarter of 2023 compared to $5.4 million in the same period of 2022. Net income was $6.7 million, or $.54 per basic and diluted common share, for the fourth quarter of 2023 compared to $4.8 million, or $.39 per basic and diluted common share, in the same period of 2022.</w:t>
      </w:r>
    </w:p>
    <w:p>
      <w:pPr>
        <w:spacing w:after="0" w:line="207"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Net sales for the year ended December 31, 2023 were $161.3 million compared to $166.6 million in the previous year. Operating income was $25.4 million for each of the years ended December 31, 2023 and December 31, 2022. Net income for the year ended December 31, 2023 was $22.6 million, or $1.84 per basic and diluted common share, compared to $20.9 million, or $1.69 per basic and diluted common share, for the same period in 2022.</w:t>
      </w:r>
    </w:p>
    <w:p>
      <w:pPr>
        <w:spacing w:after="0" w:line="204" w:lineRule="exact"/>
        <w:rPr>
          <w:sz w:val="20"/>
          <w:szCs w:val="20"/>
          <w:color w:val="auto"/>
        </w:rPr>
      </w:pPr>
    </w:p>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Net sales increased in the fourth quarter of 2023 compared to the same period in 2022 primarily due to higher Security Products sales related to a pilot project for a government security customer, partially offset by lower Marine Components sales primarily to the towboat market. Operating income increased in the fourth quarter of 2023 compared to the same period in 2022 due to higher sales and improved gross margin percentage at Security Products, partially offset by lower Marine Components sales and gross margin percentage. Net sales decreased for the full year of 2023 compared to the same period in 2022 due to lower Marine Components sales predominantly to the towboat market, partially offset by higher Security Products sales to the government security market largely in the fourth quarter related to the pilot project noted above. Operating income for the full year of 2023 was comparable to 2022 as lower Marine Components sales were offset by higher gross margin percentages across both segments, primarily due to lower production costs, and higher Security Products sales.</w:t>
      </w:r>
    </w:p>
    <w:p>
      <w:pPr>
        <w:spacing w:after="0" w:line="117"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CompX is a leading manufacturer of security products and recreational marine components. It operates from three locations in the U.S. and employs approximately 555 people.</w:t>
      </w:r>
    </w:p>
    <w:p>
      <w:pPr>
        <w:spacing w:after="0" w:line="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43"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21"/>
          <w:szCs w:val="21"/>
          <w:color w:val="auto"/>
        </w:rPr>
        <w:t>The statements in this press release relating to matters that are not historical facts are forward-looking statements that represent management</w:t>
      </w:r>
      <w:r>
        <w:rPr>
          <w:rFonts w:ascii="Arial" w:cs="Arial" w:eastAsia="Arial" w:hAnsi="Arial"/>
          <w:sz w:val="21"/>
          <w:szCs w:val="21"/>
          <w:color w:val="auto"/>
        </w:rPr>
        <w:t>’</w:t>
      </w:r>
      <w:r>
        <w:rPr>
          <w:rFonts w:ascii="Times New Roman" w:cs="Times New Roman" w:eastAsia="Times New Roman" w:hAnsi="Times New Roman"/>
          <w:sz w:val="21"/>
          <w:szCs w:val="21"/>
          <w:color w:val="auto"/>
        </w:rPr>
        <w:t>s belief and assumptions based on currently available information. Although we believe the expectations reflected in such forward-looking statements are reasonable, we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we continue to face many risks and uncertainties.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ind w:left="200" w:right="219"/>
        <w:spacing w:after="0" w:line="258" w:lineRule="auto"/>
        <w:rPr>
          <w:sz w:val="20"/>
          <w:szCs w:val="20"/>
          <w:color w:val="auto"/>
        </w:rPr>
      </w:pPr>
      <w:r>
        <w:rPr>
          <w:rFonts w:ascii="Times New Roman" w:cs="Times New Roman" w:eastAsia="Times New Roman" w:hAnsi="Times New Roman"/>
          <w:sz w:val="22"/>
          <w:szCs w:val="22"/>
          <w:color w:val="auto"/>
        </w:rPr>
        <w:t>The factors that could cause our actual future results to differ materially include, but are not limited to, the following:</w:t>
      </w:r>
    </w:p>
    <w:p>
      <w:pPr>
        <w:spacing w:after="0" w:line="118" w:lineRule="exact"/>
        <w:rPr>
          <w:sz w:val="20"/>
          <w:szCs w:val="20"/>
          <w:color w:val="auto"/>
        </w:rPr>
      </w:pPr>
    </w:p>
    <w:p>
      <w:pPr>
        <w:ind w:left="1080" w:hanging="439"/>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Future demand for our products,</w:t>
      </w:r>
    </w:p>
    <w:p>
      <w:pPr>
        <w:spacing w:after="0" w:line="98" w:lineRule="exact"/>
        <w:rPr>
          <w:rFonts w:ascii="Times New Roman" w:cs="Times New Roman" w:eastAsia="Times New Roman" w:hAnsi="Times New Roman"/>
          <w:sz w:val="18"/>
          <w:szCs w:val="18"/>
          <w:color w:val="auto"/>
        </w:rPr>
      </w:pPr>
    </w:p>
    <w:p>
      <w:pPr>
        <w:jc w:val="both"/>
        <w:ind w:left="1080" w:right="239" w:hanging="439"/>
        <w:spacing w:after="0" w:line="244"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Changes in our raw material and other operating costs (such as zinc, brass, aluminum, steel and energy costs) and our ability to pass those costs on to our customers or offset them with reductions in other operating costs,</w:t>
      </w:r>
    </w:p>
    <w:p>
      <w:pPr>
        <w:spacing w:after="0" w:line="65" w:lineRule="exact"/>
        <w:rPr>
          <w:rFonts w:ascii="Times New Roman" w:cs="Times New Roman" w:eastAsia="Times New Roman" w:hAnsi="Times New Roman"/>
          <w:sz w:val="18"/>
          <w:szCs w:val="18"/>
          <w:color w:val="auto"/>
        </w:rPr>
      </w:pPr>
    </w:p>
    <w:p>
      <w:pPr>
        <w:ind w:left="1080" w:hanging="439"/>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Price and product competition from low-cost manufacturing sources (such as China),</w:t>
      </w:r>
    </w:p>
    <w:p>
      <w:pPr>
        <w:spacing w:after="0" w:line="98" w:lineRule="exact"/>
        <w:rPr>
          <w:rFonts w:ascii="Times New Roman" w:cs="Times New Roman" w:eastAsia="Times New Roman" w:hAnsi="Times New Roman"/>
          <w:sz w:val="18"/>
          <w:szCs w:val="18"/>
          <w:color w:val="auto"/>
        </w:rPr>
      </w:pPr>
    </w:p>
    <w:p>
      <w:pPr>
        <w:ind w:left="1080" w:hanging="439"/>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impact of pricing and production decisions,</w:t>
      </w:r>
    </w:p>
    <w:p>
      <w:pPr>
        <w:spacing w:after="0" w:line="98" w:lineRule="exact"/>
        <w:rPr>
          <w:rFonts w:ascii="Times New Roman" w:cs="Times New Roman" w:eastAsia="Times New Roman" w:hAnsi="Times New Roman"/>
          <w:sz w:val="18"/>
          <w:szCs w:val="18"/>
          <w:color w:val="auto"/>
        </w:rPr>
      </w:pPr>
    </w:p>
    <w:p>
      <w:pPr>
        <w:ind w:left="1080" w:hanging="439"/>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Customer and competitor strategies including substitute products,</w:t>
      </w:r>
    </w:p>
    <w:p>
      <w:pPr>
        <w:spacing w:after="0" w:line="98" w:lineRule="exact"/>
        <w:rPr>
          <w:rFonts w:ascii="Times New Roman" w:cs="Times New Roman" w:eastAsia="Times New Roman" w:hAnsi="Times New Roman"/>
          <w:sz w:val="18"/>
          <w:szCs w:val="18"/>
          <w:color w:val="auto"/>
        </w:rPr>
      </w:pPr>
    </w:p>
    <w:p>
      <w:pPr>
        <w:ind w:left="1080" w:hanging="439"/>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Uncertainties associated with the development of new products and product features,</w:t>
      </w:r>
    </w:p>
    <w:p>
      <w:pPr>
        <w:spacing w:after="0" w:line="98" w:lineRule="exact"/>
        <w:rPr>
          <w:rFonts w:ascii="Times New Roman" w:cs="Times New Roman" w:eastAsia="Times New Roman" w:hAnsi="Times New Roman"/>
          <w:sz w:val="18"/>
          <w:szCs w:val="18"/>
          <w:color w:val="auto"/>
        </w:rPr>
      </w:pPr>
    </w:p>
    <w:p>
      <w:pPr>
        <w:ind w:left="1080" w:hanging="439"/>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Future litigation,</w:t>
      </w:r>
    </w:p>
    <w:p>
      <w:pPr>
        <w:spacing w:after="0" w:line="98" w:lineRule="exact"/>
        <w:rPr>
          <w:rFonts w:ascii="Times New Roman" w:cs="Times New Roman" w:eastAsia="Times New Roman" w:hAnsi="Times New Roman"/>
          <w:sz w:val="18"/>
          <w:szCs w:val="18"/>
          <w:color w:val="auto"/>
        </w:rPr>
      </w:pPr>
    </w:p>
    <w:p>
      <w:pPr>
        <w:ind w:left="1080" w:hanging="439"/>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Our ability to protect or defend our intellectual property rights,</w:t>
      </w:r>
    </w:p>
    <w:p>
      <w:pPr>
        <w:spacing w:after="0" w:line="98" w:lineRule="exact"/>
        <w:rPr>
          <w:rFonts w:ascii="Times New Roman" w:cs="Times New Roman" w:eastAsia="Times New Roman" w:hAnsi="Times New Roman"/>
          <w:sz w:val="18"/>
          <w:szCs w:val="18"/>
          <w:color w:val="auto"/>
        </w:rPr>
      </w:pPr>
    </w:p>
    <w:p>
      <w:pPr>
        <w:ind w:left="1080" w:hanging="439"/>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Potential difficulties in integrating future acquisitions,</w:t>
      </w:r>
    </w:p>
    <w:p>
      <w:pPr>
        <w:spacing w:after="0" w:line="98" w:lineRule="exact"/>
        <w:rPr>
          <w:rFonts w:ascii="Times New Roman" w:cs="Times New Roman" w:eastAsia="Times New Roman" w:hAnsi="Times New Roman"/>
          <w:sz w:val="18"/>
          <w:szCs w:val="18"/>
          <w:color w:val="auto"/>
        </w:rPr>
      </w:pPr>
    </w:p>
    <w:p>
      <w:pPr>
        <w:ind w:left="1080" w:hanging="439"/>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Decisions to sell operating assets other than in the ordinary course of business,</w:t>
      </w:r>
    </w:p>
    <w:p>
      <w:pPr>
        <w:spacing w:after="0" w:line="98" w:lineRule="exact"/>
        <w:rPr>
          <w:rFonts w:ascii="Times New Roman" w:cs="Times New Roman" w:eastAsia="Times New Roman" w:hAnsi="Times New Roman"/>
          <w:sz w:val="18"/>
          <w:szCs w:val="18"/>
          <w:color w:val="auto"/>
        </w:rPr>
      </w:pPr>
    </w:p>
    <w:p>
      <w:pPr>
        <w:ind w:left="1080" w:right="219" w:hanging="439"/>
        <w:spacing w:after="0" w:line="258"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Environmental matters (such as those requiring emission and discharge standards for existing and new facilities),</w:t>
      </w:r>
    </w:p>
    <w:p>
      <w:pPr>
        <w:spacing w:after="0" w:line="50" w:lineRule="exact"/>
        <w:rPr>
          <w:rFonts w:ascii="Times New Roman" w:cs="Times New Roman" w:eastAsia="Times New Roman" w:hAnsi="Times New Roman"/>
          <w:sz w:val="18"/>
          <w:szCs w:val="18"/>
          <w:color w:val="auto"/>
        </w:rPr>
      </w:pPr>
    </w:p>
    <w:p>
      <w:pPr>
        <w:ind w:left="1080" w:right="219" w:hanging="439"/>
        <w:spacing w:after="0" w:line="258"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ultimate outcome of income tax audits, tax settlement initiatives or other tax matters, including future tax reform,</w:t>
      </w:r>
    </w:p>
    <w:p>
      <w:pPr>
        <w:spacing w:after="0" w:line="50" w:lineRule="exact"/>
        <w:rPr>
          <w:rFonts w:ascii="Times New Roman" w:cs="Times New Roman" w:eastAsia="Times New Roman" w:hAnsi="Times New Roman"/>
          <w:sz w:val="18"/>
          <w:szCs w:val="18"/>
          <w:color w:val="auto"/>
        </w:rPr>
      </w:pPr>
    </w:p>
    <w:p>
      <w:pPr>
        <w:ind w:left="1080" w:right="239" w:hanging="439"/>
        <w:spacing w:after="0" w:line="258"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Government laws and regulations and possible changes therein including new environmental, health, safety, sustainability or other regulations,</w:t>
      </w:r>
    </w:p>
    <w:p>
      <w:pPr>
        <w:spacing w:after="0" w:line="50" w:lineRule="exact"/>
        <w:rPr>
          <w:rFonts w:ascii="Times New Roman" w:cs="Times New Roman" w:eastAsia="Times New Roman" w:hAnsi="Times New Roman"/>
          <w:sz w:val="18"/>
          <w:szCs w:val="18"/>
          <w:color w:val="auto"/>
        </w:rPr>
      </w:pPr>
    </w:p>
    <w:p>
      <w:pPr>
        <w:jc w:val="both"/>
        <w:ind w:left="1080" w:right="219" w:hanging="439"/>
        <w:spacing w:after="0" w:line="255" w:lineRule="auto"/>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General global economic and political conditions that disrupt our supply chain, reduce demand or perceived demand for component products or impair our ability to operate our facilities (including changes in the level of gross domestic product in various regions of the world, natural disasters, terrorist acts, global conflicts and public health crises),</w:t>
      </w:r>
    </w:p>
    <w:p>
      <w:pPr>
        <w:spacing w:after="0" w:line="54" w:lineRule="exact"/>
        <w:rPr>
          <w:sz w:val="20"/>
          <w:szCs w:val="20"/>
          <w:color w:val="auto"/>
        </w:rPr>
      </w:pPr>
    </w:p>
    <w:p>
      <w:pPr>
        <w:jc w:val="both"/>
        <w:ind w:left="1080" w:right="219" w:hanging="439"/>
        <w:spacing w:after="0" w:line="239"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Operating interruptions (including, but not limited to labor disputes, leaks, natural disasters, fires, explosions, unscheduled or unplanned downtime, transportation interruptions, certain regional and world events or economic conditions and public health crises);</w:t>
      </w:r>
    </w:p>
    <w:p>
      <w:pPr>
        <w:spacing w:after="0" w:line="72" w:lineRule="exact"/>
        <w:rPr>
          <w:rFonts w:ascii="Times New Roman" w:cs="Times New Roman" w:eastAsia="Times New Roman" w:hAnsi="Times New Roman"/>
          <w:sz w:val="18"/>
          <w:szCs w:val="18"/>
          <w:color w:val="auto"/>
        </w:rPr>
      </w:pPr>
    </w:p>
    <w:p>
      <w:pPr>
        <w:jc w:val="both"/>
        <w:ind w:left="1080" w:right="219" w:hanging="439"/>
        <w:spacing w:after="0" w:line="251" w:lineRule="auto"/>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Technology related disruptions (including, but not limited to, cyber-attacks; software implementation, upgrades or improvements; technology processing failures; or other events) related to our technology infrastructure that could impact our ability to continue operations, or at key vendors which could impact our supply chain, or at key customers which could impact their operations and cause them to curtail or pause orders; and</w:t>
      </w:r>
    </w:p>
    <w:p>
      <w:pPr>
        <w:spacing w:after="0" w:line="60" w:lineRule="exact"/>
        <w:rPr>
          <w:sz w:val="20"/>
          <w:szCs w:val="20"/>
          <w:color w:val="auto"/>
        </w:rPr>
      </w:pPr>
    </w:p>
    <w:p>
      <w:pPr>
        <w:ind w:left="1080" w:right="219" w:hanging="439"/>
        <w:spacing w:after="0" w:line="258"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Possible disruption of our business or increases in the cost of doing business resulting from terrorist activities or global conflicts.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5" w:name="page6"/>
    <w:bookmarkEnd w:id="5"/>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Should one or more of these risks materialize or if the consequences worsen, or if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Investor Relations Contact</w:t>
      </w:r>
    </w:p>
    <w:p>
      <w:pPr>
        <w:spacing w:after="0" w:line="1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Bryan A. Hanley</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Senior Vice President and Treasurer</w:t>
      </w:r>
    </w:p>
    <w:p>
      <w:pPr>
        <w:ind w:left="200"/>
        <w:spacing w:after="0"/>
        <w:rPr>
          <w:sz w:val="20"/>
          <w:szCs w:val="20"/>
          <w:color w:val="auto"/>
        </w:rPr>
      </w:pPr>
      <w:r>
        <w:rPr>
          <w:rFonts w:ascii="Times New Roman" w:cs="Times New Roman" w:eastAsia="Times New Roman" w:hAnsi="Times New Roman"/>
          <w:sz w:val="22"/>
          <w:szCs w:val="22"/>
          <w:color w:val="auto"/>
        </w:rPr>
        <w:t>Tel. 972-233-1700</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COMPX INTERNATIONAL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SUMMARY OF CONSOLIDATED OPERATIONS</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 millions, except per share amounts)</w:t>
      </w:r>
    </w:p>
    <w:p>
      <w:pPr>
        <w:spacing w:after="0" w:line="200" w:lineRule="exact"/>
        <w:rPr>
          <w:sz w:val="20"/>
          <w:szCs w:val="20"/>
          <w:color w:val="auto"/>
        </w:rPr>
      </w:pPr>
    </w:p>
    <w:p>
      <w:pPr>
        <w:spacing w:after="0" w:line="27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4"/>
          </w:tcPr>
          <w:p>
            <w:pPr>
              <w:jc w:val="center"/>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98"/>
              </w:rPr>
              <w:t>(Unaudited)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Net sales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Borders>
              <w:bottom w:val="single" w:sz="8" w:color="CCEEFF"/>
            </w:tcBorders>
          </w:tcPr>
          <w:p>
            <w:pPr>
              <w:spacing w:after="0" w:line="243" w:lineRule="exact"/>
              <w:rPr>
                <w:sz w:val="20"/>
                <w:szCs w:val="20"/>
                <w:color w:val="auto"/>
              </w:rPr>
            </w:pPr>
            <w:r>
              <w:rPr>
                <w:rFonts w:ascii="Times New Roman" w:cs="Times New Roman" w:eastAsia="Times New Roman" w:hAnsi="Times New Roman"/>
                <w:sz w:val="22"/>
                <w:szCs w:val="22"/>
                <w:color w:val="auto"/>
              </w:rPr>
              <w:t>Cost of sales</w:t>
            </w:r>
          </w:p>
        </w:tc>
        <w:tc>
          <w:tcPr>
            <w:tcW w:w="3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Gross margin</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Borders>
              <w:bottom w:val="single" w:sz="8" w:color="CCEEFF"/>
            </w:tcBorders>
          </w:tcPr>
          <w:p>
            <w:pPr>
              <w:spacing w:after="0" w:line="243" w:lineRule="exact"/>
              <w:rPr>
                <w:sz w:val="20"/>
                <w:szCs w:val="20"/>
                <w:color w:val="auto"/>
              </w:rPr>
            </w:pPr>
            <w:r>
              <w:rPr>
                <w:rFonts w:ascii="Times New Roman" w:cs="Times New Roman" w:eastAsia="Times New Roman" w:hAnsi="Times New Roman"/>
                <w:sz w:val="22"/>
                <w:szCs w:val="22"/>
                <w:color w:val="auto"/>
              </w:rPr>
              <w:t>Selling, general and administrative expense</w:t>
            </w:r>
          </w:p>
        </w:tc>
        <w:tc>
          <w:tcPr>
            <w:tcW w:w="3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Operating income</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Borders>
              <w:bottom w:val="single" w:sz="8" w:color="CCEEFF"/>
            </w:tcBorders>
          </w:tcPr>
          <w:p>
            <w:pPr>
              <w:spacing w:after="0" w:line="243" w:lineRule="exact"/>
              <w:rPr>
                <w:sz w:val="20"/>
                <w:szCs w:val="20"/>
                <w:color w:val="auto"/>
              </w:rPr>
            </w:pPr>
            <w:r>
              <w:rPr>
                <w:rFonts w:ascii="Times New Roman" w:cs="Times New Roman" w:eastAsia="Times New Roman" w:hAnsi="Times New Roman"/>
                <w:sz w:val="22"/>
                <w:szCs w:val="22"/>
                <w:color w:val="auto"/>
              </w:rPr>
              <w:t>Interest income</w:t>
            </w:r>
          </w:p>
        </w:tc>
        <w:tc>
          <w:tcPr>
            <w:tcW w:w="3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Income before taxes</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Borders>
              <w:bottom w:val="single" w:sz="8" w:color="CCEEFF"/>
            </w:tcBorders>
          </w:tcPr>
          <w:p>
            <w:pPr>
              <w:spacing w:after="0" w:line="243" w:lineRule="exact"/>
              <w:rPr>
                <w:sz w:val="20"/>
                <w:szCs w:val="20"/>
                <w:color w:val="auto"/>
              </w:rPr>
            </w:pPr>
            <w:r>
              <w:rPr>
                <w:rFonts w:ascii="Times New Roman" w:cs="Times New Roman" w:eastAsia="Times New Roman" w:hAnsi="Times New Roman"/>
                <w:sz w:val="22"/>
                <w:szCs w:val="22"/>
                <w:color w:val="auto"/>
              </w:rPr>
              <w:t>Income tax expense</w:t>
            </w:r>
          </w:p>
        </w:tc>
        <w:tc>
          <w:tcPr>
            <w:tcW w:w="3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Borders>
              <w:bottom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2"/>
                <w:szCs w:val="22"/>
                <w:color w:val="auto"/>
              </w:rPr>
              <w:t>Net income</w:t>
            </w:r>
          </w:p>
        </w:tc>
        <w:tc>
          <w:tcPr>
            <w:tcW w:w="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1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w w:val="97"/>
              </w:rPr>
              <w:t>Basic and diluted net income per common share</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spacing w:after="0" w:line="209" w:lineRule="exact"/>
              <w:rPr>
                <w:sz w:val="20"/>
                <w:szCs w:val="20"/>
                <w:color w:val="auto"/>
              </w:rPr>
            </w:pPr>
            <w:r>
              <w:rPr>
                <w:rFonts w:ascii="Times New Roman" w:cs="Times New Roman" w:eastAsia="Times New Roman" w:hAnsi="Times New Roman"/>
                <w:sz w:val="22"/>
                <w:szCs w:val="22"/>
                <w:color w:val="auto"/>
              </w:rPr>
              <w:t>Weighted average diluted common shares</w:t>
            </w: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1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outstanding</w:t>
            </w: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85"/>
              </w:rPr>
              <w:t>-4-</w:t>
            </w: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3"/>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57"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2565400</wp:posOffset>
            </wp:positionH>
            <wp:positionV relativeFrom="page">
              <wp:posOffset>688975</wp:posOffset>
            </wp:positionV>
            <wp:extent cx="2442845" cy="814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44284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COMPX ANNOUNCES INCREASE IN QUARTERLY DIVIDEND</w:t>
      </w:r>
    </w:p>
    <w:p>
      <w:pPr>
        <w:spacing w:after="0" w:line="200" w:lineRule="exact"/>
        <w:rPr>
          <w:sz w:val="20"/>
          <w:szCs w:val="20"/>
          <w:color w:val="auto"/>
        </w:rPr>
      </w:pPr>
    </w:p>
    <w:p>
      <w:pPr>
        <w:spacing w:after="0" w:line="28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DALLAS, TEXAS . . . February 28, 2024 . . . CompX International Inc. (NYSE American: CIX) announced today a $0.05 per share increase in its regular quarterly dividend. CompX’s board of directors has declared a regular quarterly dividend of thirty cents ($0.30) per share on its class A common stock, payable on March 19, 2024 to stockholders of record at the close of business on March 11, 2024.</w:t>
      </w:r>
    </w:p>
    <w:p>
      <w:pPr>
        <w:spacing w:after="0" w:line="20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CompX is a leading manufacturer of security products and recreational marine components.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Investor Relations Contact</w:t>
      </w: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Bryan A. Hanley</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Senior Vice President and Treasurer</w:t>
      </w:r>
    </w:p>
    <w:p>
      <w:pPr>
        <w:ind w:left="200"/>
        <w:spacing w:after="0"/>
        <w:rPr>
          <w:sz w:val="20"/>
          <w:szCs w:val="20"/>
          <w:color w:val="auto"/>
        </w:rPr>
      </w:pPr>
      <w:r>
        <w:rPr>
          <w:rFonts w:ascii="Times New Roman" w:cs="Times New Roman" w:eastAsia="Times New Roman" w:hAnsi="Times New Roman"/>
          <w:sz w:val="22"/>
          <w:szCs w:val="22"/>
          <w:color w:val="auto"/>
        </w:rPr>
        <w:t>Tel. 972-233-1700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398780</wp:posOffset>
            </wp:positionV>
            <wp:extent cx="54521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2024-02-28T15:58:21Z</dcterms:created>
  <dcterms:modified xsi:type="dcterms:W3CDTF">2024-02-28T15:58:21Z</dcterms:modified>
</cp:coreProperties>
</file>