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50506x8k.htm"/>
      <w:bookmarkStart w:id="1" w:name="kscix20250506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f048409_c7a2_43bc_b088_0ca65384c5c3"/>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May 6, 2025</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bYT635_nQkeDM-FLrJ1Lug_5_2"/>
      <w:bookmarkStart w:id="4" w:name="Tc_D1R7ybawzE2RQbMlBQnsXQ_5_0"/>
      <w:bookmarkStart w:id="5" w:name="Tc_OBpJiwhiykKckHP9eMWmIA_4_0"/>
      <w:bookmarkStart w:id="6" w:name="Tc_WSN5O4z1xkG306HmTKxUDQ_1_2"/>
      <w:bookmarkStart w:id="7" w:name="Tc_WdehkBI0VE-RaihrjaWKMA_1_1"/>
      <w:bookmarkStart w:id="8" w:name="Tc_1QpUNimAk0iimIPuiVbn8A_1_0"/>
      <w:bookmarkStart w:id="9" w:name="_b4f68095_e54f_4e44_947a_47c1ed4f140d"/>
      <w:bookmarkStart w:id="10" w:name="Tc_bYT635_nQkeDM-FLrJ1Lug_5_2"/>
      <w:bookmarkStart w:id="11" w:name="Tc_D1R7ybawzE2RQbMlBQnsXQ_5_0"/>
      <w:bookmarkStart w:id="12" w:name="Tc_OBpJiwhiykKckHP9eMWmIA_4_0"/>
      <w:bookmarkStart w:id="13" w:name="Tc_WSN5O4z1xkG306HmTKxUDQ_1_2"/>
      <w:bookmarkStart w:id="14" w:name="Tc_WdehkBI0VE-RaihrjaWKMA_1_1"/>
      <w:bookmarkStart w:id="15" w:name="Tc_1QpUNimAk0iimIPuiVbn8A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xnbVcevx9U2UvOVF97mPCA_6_1"/>
      <w:bookmarkStart w:id="18" w:name="Tc_vNgL7Z9h2kmuqScgaqV4aQ_4_1"/>
      <w:bookmarkStart w:id="19" w:name="Tc_g0YoYkw1UE-342-ayRnsag_2_1"/>
      <w:bookmarkStart w:id="20" w:name="Tc_MAWHUcKnRkOuyZA8Ef4KPQ_0_1"/>
      <w:bookmarkStart w:id="21" w:name="_03f466d9_c487_4fb9_bacb_2fc3efc44005"/>
      <w:bookmarkStart w:id="22" w:name="Tc_xnbVcevx9U2UvOVF97mPCA_6_1"/>
      <w:bookmarkStart w:id="23" w:name="Tc_vNgL7Z9h2kmuqScgaqV4aQ_4_1"/>
      <w:bookmarkStart w:id="24" w:name="Tc_g0YoYkw1UE-342-ayRnsag_2_1"/>
      <w:bookmarkStart w:id="25" w:name="Tc_MAWHUcKnRkOuyZA8Ef4KPQ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tbl>
      <w:tblPr>
        <w:tblW w:w="6715" w:type="dxa"/>
        <w:jc w:val="left"/>
        <w:tblInd w:w="0" w:type="dxa"/>
        <w:tblLayout w:type="fixed"/>
        <w:tblCellMar>
          <w:top w:w="0" w:type="dxa"/>
          <w:left w:w="0" w:type="dxa"/>
          <w:bottom w:w="28" w:type="dxa"/>
          <w:right w:w="0" w:type="dxa"/>
        </w:tblCellMar>
      </w:tblPr>
      <w:tblGrid>
        <w:gridCol w:w="1921"/>
        <w:gridCol w:w="326"/>
        <w:gridCol w:w="826"/>
        <w:gridCol w:w="32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0" w:right="0" w:hanging="0"/>
        <w:jc w:val="left"/>
        <w:rPr>
          <w:sz w:val="4"/>
          <w:szCs w:val="4"/>
        </w:rPr>
      </w:pPr>
      <w:r>
        <w:rPr>
          <w:sz w:val="4"/>
          <w:szCs w:val="4"/>
        </w:rPr>
      </w:r>
      <w:bookmarkStart w:id="27" w:name="_6f88fe58_dda1_4d7e_a69f_81bb7d46e401"/>
      <w:bookmarkStart w:id="28" w:name="_6f88fe58_dda1_4d7e_a69f_81bb7d46e401"/>
      <w:bookmarkEnd w:id="2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First Quarter 2025 Results” that the registrant issued on May 6, 2025,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29" w:name="_a705adfb_b363_4369_93d4_e25a5400c1a2"/>
      <w:bookmarkStart w:id="30" w:name="_a705adfb_b363_4369_93d4_e25a5400c1a2"/>
      <w:bookmarkEnd w:id="30"/>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40"/>
        <w:gridCol w:w="809"/>
        <w:gridCol w:w="109"/>
        <w:gridCol w:w="8947"/>
      </w:tblGrid>
      <w:tr>
        <w:trPr/>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47" w:type="dxa"/>
            <w:tcBorders/>
            <w:vAlign w:val="center"/>
          </w:tcPr>
          <w:p>
            <w:pPr>
              <w:pStyle w:val="TableContents"/>
              <w:bidi w:val="0"/>
              <w:spacing w:before="0" w:after="0"/>
              <w:ind w:left="0" w:right="0" w:hanging="0"/>
              <w:jc w:val="left"/>
              <w:rPr/>
            </w:pPr>
            <w:r>
              <w:rPr/>
              <w:t>​</w:t>
            </w:r>
          </w:p>
        </w:tc>
      </w:tr>
      <w:tr>
        <w:trPr/>
        <w:tc>
          <w:tcPr>
            <w:tcW w:w="340"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9"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center"/>
              <w:rPr>
                <w:spacing w:val="-3"/>
              </w:rPr>
            </w:pPr>
            <w:r>
              <w:rPr>
                <w:spacing w:val="-3"/>
              </w:rPr>
              <w:t>​</w:t>
            </w:r>
          </w:p>
        </w:tc>
        <w:tc>
          <w:tcPr>
            <w:tcW w:w="809"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both"/>
              <w:rPr/>
            </w:pPr>
            <w:hyperlink w:anchor="cix-20250506xex99d1.htm">
              <w:r>
                <w:rPr>
                  <w:rStyle w:val="InternetLink"/>
                  <w:rFonts w:ascii="Times New Roman;Times;serif" w:hAnsi="Times New Roman;Times;serif"/>
                  <w:b w:val="false"/>
                  <w:i w:val="false"/>
                  <w:caps w:val="false"/>
                  <w:smallCaps w:val="false"/>
                  <w:sz w:val="20"/>
                </w:rPr>
                <w:t xml:space="preserve">Press release dated May 6, 2025 </w:t>
              </w:r>
            </w:hyperlink>
            <w:hyperlink w:anchor="cix-20250506xex99d1.htm">
              <w:r>
                <w:rPr>
                  <w:rStyle w:val="InternetLink"/>
                  <w:rFonts w:ascii="Times New Roman;Times;serif" w:hAnsi="Times New Roman;Times;serif"/>
                  <w:b w:val="false"/>
                  <w:i w:val="false"/>
                  <w:caps w:val="false"/>
                  <w:smallCaps w:val="false"/>
                  <w:spacing w:val="-3"/>
                  <w:sz w:val="20"/>
                </w:rPr>
                <w:t xml:space="preserve">entitled “CompX Reports First Quarter 2025 Results” and </w:t>
              </w:r>
            </w:hyperlink>
            <w:hyperlink w:anchor="cix-20250506xex99d1.htm">
              <w:r>
                <w:rPr>
                  <w:rStyle w:val="InternetLink"/>
                  <w:rFonts w:ascii="Times New Roman;Times;serif" w:hAnsi="Times New Roman;Times;serif"/>
                  <w:b w:val="false"/>
                  <w:i w:val="false"/>
                  <w:caps w:val="false"/>
                  <w:smallCaps w:val="false"/>
                  <w:sz w:val="20"/>
                </w:rPr>
                <w:t>issued by the registrant</w:t>
              </w:r>
            </w:hyperlink>
            <w:r>
              <w:rPr>
                <w:rFonts w:ascii="Times New Roman;Times;serif" w:hAnsi="Times New Roman;Times;serif"/>
                <w:sz w:val="20"/>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1" w:name="_fb517d3f_d9bf_4535_87e1_b6dc54d728ec"/>
      <w:bookmarkEnd w:id="31"/>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043" w:type="dxa"/>
        <w:jc w:val="left"/>
        <w:tblInd w:w="0" w:type="dxa"/>
        <w:tblLayout w:type="fixed"/>
        <w:tblCellMar>
          <w:top w:w="0" w:type="dxa"/>
          <w:left w:w="0" w:type="dxa"/>
          <w:bottom w:w="0" w:type="dxa"/>
          <w:right w:w="0" w:type="dxa"/>
        </w:tblCellMar>
      </w:tblPr>
      <w:tblGrid>
        <w:gridCol w:w="1636"/>
        <w:gridCol w:w="406"/>
        <w:gridCol w:w="3001"/>
      </w:tblGrid>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 w:name="cix-20250506xex99d1.htm"/>
      <w:bookmarkStart w:id="33" w:name="kscix20250506xex99d1"/>
      <w:bookmarkStart w:id="34" w:name="cix-20250506xex99d1.htm"/>
      <w:bookmarkStart w:id="35" w:name="kscix20250506xex99d1"/>
      <w:bookmarkEnd w:id="34"/>
      <w:bookmarkEnd w:id="35"/>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30"/>
        </w:rPr>
      </w:pPr>
      <w:r>
        <w:rPr>
          <w:rFonts w:ascii="Times New Roman;Times;serif" w:hAnsi="Times New Roman;Times;serif"/>
          <w:b/>
          <w:sz w:val="30"/>
        </w:rPr>
        <w:t>COMPX REPORTS FIRST QUARTER 2025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May 6, 2025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net sales of $40.3 million for the first quarter of 2025 compared to $38.0 million in the same period of 2024. Operating income was $5.9 million in the first quarter of 2025 compared to $3.7 million in the same period of 2024. Net income was $5.1 million, or $.42 per basic and diluted common share, for the first quarter of 2025 compared to $3.7 million, or $.31 per basic and diluted common share, in the same period of 2024. </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 xml:space="preserve">First quarter 2025 net sales increased over the comparable 2024 period due to higher Marine Components sales primarily to the towboat and government markets and to a lesser extent higher Security Products sales primarily to the government security market. Operating income increased in the first quarter of 2025 compared to the same period in 2024 primarily due to higher Marine Components sales and gross margin. </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550 people.</w:t>
      </w:r>
    </w:p>
    <w:p>
      <w:pPr>
        <w:pStyle w:val="TextBody"/>
        <w:bidi w:val="0"/>
        <w:spacing w:before="240" w:after="24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4368" w:type="dxa"/>
        <w:jc w:val="left"/>
        <w:tblInd w:w="0" w:type="dxa"/>
        <w:tblLayout w:type="fixed"/>
        <w:tblCellMar>
          <w:top w:w="0" w:type="dxa"/>
          <w:left w:w="0" w:type="dxa"/>
          <w:bottom w:w="0" w:type="dxa"/>
          <w:right w:w="0" w:type="dxa"/>
        </w:tblCellMar>
      </w:tblPr>
      <w:tblGrid>
        <w:gridCol w:w="23"/>
        <w:gridCol w:w="170"/>
        <w:gridCol w:w="4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Future supply and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8208" w:type="dxa"/>
        <w:jc w:val="left"/>
        <w:tblInd w:w="0" w:type="dxa"/>
        <w:tblLayout w:type="fixed"/>
        <w:tblCellMar>
          <w:top w:w="0" w:type="dxa"/>
          <w:left w:w="0" w:type="dxa"/>
          <w:bottom w:w="0" w:type="dxa"/>
          <w:right w:w="0" w:type="dxa"/>
        </w:tblCellMar>
      </w:tblPr>
      <w:tblGrid>
        <w:gridCol w:w="23"/>
        <w:gridCol w:w="17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Price and product competition from low-cost manufacturing sources (such as China);</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impact of pricing and production decisions;</w:t>
            </w:r>
          </w:p>
        </w:tc>
      </w:tr>
    </w:tbl>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Customer and competitor strategies including substitute products;</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Uncertainties associated with new product development and the development of new product features;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Pending or possible future litigation (such as litigation related to our use of certain permitted chemicals in our production process) or other actions;</w:t>
            </w:r>
          </w:p>
        </w:tc>
      </w:tr>
    </w:tbl>
    <w:tbl>
      <w:tblPr>
        <w:tblW w:w="6093" w:type="dxa"/>
        <w:jc w:val="left"/>
        <w:tblInd w:w="0" w:type="dxa"/>
        <w:tblLayout w:type="fixed"/>
        <w:tblCellMar>
          <w:top w:w="0" w:type="dxa"/>
          <w:left w:w="0" w:type="dxa"/>
          <w:bottom w:w="0" w:type="dxa"/>
          <w:right w:w="0" w:type="dxa"/>
        </w:tblCellMar>
      </w:tblPr>
      <w:tblGrid>
        <w:gridCol w:w="23"/>
        <w:gridCol w:w="17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protect or defend our intellectual property rights;</w:t>
            </w:r>
          </w:p>
        </w:tc>
      </w:tr>
    </w:tbl>
    <w:tbl>
      <w:tblPr>
        <w:tblW w:w="5238" w:type="dxa"/>
        <w:jc w:val="left"/>
        <w:tblInd w:w="0" w:type="dxa"/>
        <w:tblLayout w:type="fixed"/>
        <w:tblCellMar>
          <w:top w:w="0" w:type="dxa"/>
          <w:left w:w="0" w:type="dxa"/>
          <w:bottom w:w="0" w:type="dxa"/>
          <w:right w:w="0" w:type="dxa"/>
        </w:tblCellMar>
      </w:tblPr>
      <w:tblGrid>
        <w:gridCol w:w="23"/>
        <w:gridCol w:w="170"/>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Potential difficulties in integrating future acquisitions;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Possible disruption of our business or increases in the cost of doing business resulting from terrorist activities or global conflicts.</w:t>
            </w:r>
          </w:p>
        </w:tc>
      </w:tr>
    </w:tbl>
    <w:p>
      <w:pPr>
        <w:pStyle w:val="TextBody"/>
        <w:bidi w:val="0"/>
        <w:spacing w:before="0" w:after="240"/>
        <w:ind w:left="360" w:right="0" w:hanging="0"/>
        <w:jc w:val="both"/>
        <w:rPr>
          <w:rFonts w:ascii="Times New Roman;Times;serif" w:hAnsi="Times New Roman;Times;serif"/>
          <w:sz w:val="24"/>
        </w:rPr>
      </w:pPr>
      <w:r>
        <w:rPr>
          <w:rFonts w:ascii="Times New Roman;Times;serif" w:hAnsi="Times New Roman;Times;serif"/>
          <w:sz w:val="24"/>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12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7404" w:type="dxa"/>
        <w:jc w:val="left"/>
        <w:tblInd w:w="0" w:type="dxa"/>
        <w:tblLayout w:type="fixed"/>
        <w:tblCellMar>
          <w:top w:w="0" w:type="dxa"/>
          <w:left w:w="0" w:type="dxa"/>
          <w:bottom w:w="0" w:type="dxa"/>
          <w:right w:w="0" w:type="dxa"/>
        </w:tblCellMar>
      </w:tblPr>
      <w:tblGrid>
        <w:gridCol w:w="5221"/>
        <w:gridCol w:w="326"/>
        <w:gridCol w:w="219"/>
        <w:gridCol w:w="485"/>
        <w:gridCol w:w="339"/>
        <w:gridCol w:w="219"/>
        <w:gridCol w:w="595"/>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9065" cy="175260"/>
                      <wp:effectExtent l="0" t="0" r="0" b="0"/>
                      <wp:wrapNone/>
                      <wp:docPr id="4" name="Frame3"/>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07975" cy="175260"/>
                      <wp:effectExtent l="0" t="0" r="0" b="0"/>
                      <wp:wrapNone/>
                      <wp:docPr id="5" name="Frame4"/>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5265" cy="175260"/>
                      <wp:effectExtent l="0" t="0" r="0" b="0"/>
                      <wp:wrapNone/>
                      <wp:docPr id="6" name="Frame5"/>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9065" cy="175260"/>
                      <wp:effectExtent l="0" t="0" r="0" b="0"/>
                      <wp:wrapNone/>
                      <wp:docPr id="7" name="Frame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77825" cy="175260"/>
                      <wp:effectExtent l="0" t="0" r="0" b="0"/>
                      <wp:wrapNone/>
                      <wp:docPr id="8" name="Frame7"/>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57"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5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5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39" w:type="dxa"/>
            <w:tcBorders/>
            <w:vAlign w:val="center"/>
          </w:tcPr>
          <w:p>
            <w:pPr>
              <w:pStyle w:val="TableContents"/>
              <w:bidi w:val="0"/>
              <w:spacing w:before="0" w:after="0"/>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40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7"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w:t>
            </w:r>
          </w:p>
        </w:tc>
      </w:tr>
      <w:tr>
        <w:trPr/>
        <w:tc>
          <w:tcPr>
            <w:tcW w:w="5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4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1401</Words>
  <Characters>7765</Characters>
  <CharactersWithSpaces>9191</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