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May 21, 2025</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COMPX INTERNATIONAL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97" w:lineRule="exact"/>
        <w:rPr>
          <w:sz w:val="24"/>
          <w:szCs w:val="24"/>
          <w:color w:val="auto"/>
        </w:rPr>
      </w:pPr>
    </w:p>
    <w:tbl>
      <w:tblPr>
        <w:tblLayout w:type="fixed"/>
        <w:tblInd w:w="500" w:type="dxa"/>
        <w:tblCellMar>
          <w:top w:w="0" w:type="dxa"/>
          <w:left w:w="0" w:type="dxa"/>
          <w:bottom w:w="0" w:type="dxa"/>
          <w:right w:w="0" w:type="dxa"/>
        </w:tblCellMar>
      </w:tblPr>
      <w:tr>
        <w:trPr>
          <w:trHeight w:val="256"/>
        </w:trPr>
        <w:tc>
          <w:tcPr>
            <w:tcW w:w="2820" w:type="dxa"/>
            <w:vAlign w:val="bottom"/>
          </w:tcPr>
          <w:p>
            <w:pPr>
              <w:jc w:val="center"/>
              <w:ind w:right="643"/>
              <w:spacing w:after="0"/>
              <w:rPr>
                <w:sz w:val="20"/>
                <w:szCs w:val="20"/>
                <w:color w:val="auto"/>
              </w:rPr>
            </w:pPr>
            <w:r>
              <w:rPr>
                <w:rFonts w:ascii="Times New Roman" w:cs="Times New Roman" w:eastAsia="Times New Roman" w:hAnsi="Times New Roman"/>
                <w:sz w:val="22"/>
                <w:szCs w:val="22"/>
                <w:b w:val="1"/>
                <w:bCs w:val="1"/>
                <w:color w:val="auto"/>
                <w:w w:val="98"/>
              </w:rPr>
              <w:t>Delaware</w:t>
            </w:r>
          </w:p>
        </w:tc>
        <w:tc>
          <w:tcPr>
            <w:tcW w:w="2640" w:type="dxa"/>
            <w:vAlign w:val="bottom"/>
          </w:tcPr>
          <w:p>
            <w:pPr>
              <w:jc w:val="center"/>
              <w:ind w:right="144"/>
              <w:spacing w:after="0"/>
              <w:rPr>
                <w:sz w:val="20"/>
                <w:szCs w:val="20"/>
                <w:color w:val="auto"/>
              </w:rPr>
            </w:pPr>
            <w:r>
              <w:rPr>
                <w:rFonts w:ascii="Times New Roman" w:cs="Times New Roman" w:eastAsia="Times New Roman" w:hAnsi="Times New Roman"/>
                <w:sz w:val="22"/>
                <w:szCs w:val="22"/>
                <w:b w:val="1"/>
                <w:bCs w:val="1"/>
                <w:color w:val="auto"/>
                <w:w w:val="98"/>
              </w:rPr>
              <w:t>1-13905</w:t>
            </w:r>
          </w:p>
        </w:tc>
        <w:tc>
          <w:tcPr>
            <w:tcW w:w="2200" w:type="dxa"/>
            <w:vAlign w:val="bottom"/>
          </w:tcPr>
          <w:p>
            <w:pPr>
              <w:jc w:val="center"/>
              <w:ind w:left="743"/>
              <w:spacing w:after="0"/>
              <w:rPr>
                <w:sz w:val="20"/>
                <w:szCs w:val="20"/>
                <w:color w:val="auto"/>
              </w:rPr>
            </w:pPr>
            <w:r>
              <w:rPr>
                <w:rFonts w:ascii="Times New Roman" w:cs="Times New Roman" w:eastAsia="Times New Roman" w:hAnsi="Times New Roman"/>
                <w:sz w:val="22"/>
                <w:szCs w:val="22"/>
                <w:b w:val="1"/>
                <w:bCs w:val="1"/>
                <w:color w:val="auto"/>
                <w:w w:val="97"/>
              </w:rPr>
              <w:t>57-0981653</w:t>
            </w:r>
          </w:p>
        </w:tc>
      </w:tr>
      <w:tr>
        <w:trPr>
          <w:trHeight w:val="216"/>
        </w:trPr>
        <w:tc>
          <w:tcPr>
            <w:tcW w:w="2820" w:type="dxa"/>
            <w:vAlign w:val="bottom"/>
          </w:tcPr>
          <w:p>
            <w:pPr>
              <w:jc w:val="center"/>
              <w:ind w:right="643"/>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2640" w:type="dxa"/>
            <w:vAlign w:val="bottom"/>
          </w:tcPr>
          <w:p>
            <w:pPr>
              <w:jc w:val="center"/>
              <w:ind w:right="144"/>
              <w:spacing w:after="0"/>
              <w:rPr>
                <w:sz w:val="20"/>
                <w:szCs w:val="20"/>
                <w:color w:val="auto"/>
              </w:rPr>
            </w:pPr>
            <w:r>
              <w:rPr>
                <w:rFonts w:ascii="Times New Roman" w:cs="Times New Roman" w:eastAsia="Times New Roman" w:hAnsi="Times New Roman"/>
                <w:sz w:val="18"/>
                <w:szCs w:val="18"/>
                <w:color w:val="auto"/>
                <w:w w:val="98"/>
              </w:rPr>
              <w:t>(Commission</w:t>
            </w:r>
          </w:p>
        </w:tc>
        <w:tc>
          <w:tcPr>
            <w:tcW w:w="2200" w:type="dxa"/>
            <w:vAlign w:val="bottom"/>
          </w:tcPr>
          <w:p>
            <w:pPr>
              <w:jc w:val="center"/>
              <w:ind w:left="763"/>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820" w:type="dxa"/>
            <w:vAlign w:val="bottom"/>
          </w:tcPr>
          <w:p>
            <w:pPr>
              <w:jc w:val="center"/>
              <w:ind w:right="643"/>
              <w:spacing w:after="0"/>
              <w:rPr>
                <w:sz w:val="20"/>
                <w:szCs w:val="20"/>
                <w:color w:val="auto"/>
              </w:rPr>
            </w:pPr>
            <w:r>
              <w:rPr>
                <w:rFonts w:ascii="Times New Roman" w:cs="Times New Roman" w:eastAsia="Times New Roman" w:hAnsi="Times New Roman"/>
                <w:sz w:val="18"/>
                <w:szCs w:val="18"/>
                <w:color w:val="auto"/>
              </w:rPr>
              <w:t>incorporation)</w:t>
            </w:r>
          </w:p>
        </w:tc>
        <w:tc>
          <w:tcPr>
            <w:tcW w:w="2640" w:type="dxa"/>
            <w:vAlign w:val="bottom"/>
          </w:tcPr>
          <w:p>
            <w:pPr>
              <w:jc w:val="center"/>
              <w:ind w:right="124"/>
              <w:spacing w:after="0"/>
              <w:rPr>
                <w:sz w:val="20"/>
                <w:szCs w:val="20"/>
                <w:color w:val="auto"/>
              </w:rPr>
            </w:pPr>
            <w:r>
              <w:rPr>
                <w:rFonts w:ascii="Times New Roman" w:cs="Times New Roman" w:eastAsia="Times New Roman" w:hAnsi="Times New Roman"/>
                <w:sz w:val="18"/>
                <w:szCs w:val="18"/>
                <w:color w:val="auto"/>
              </w:rPr>
              <w:t>File Number)</w:t>
            </w:r>
          </w:p>
        </w:tc>
        <w:tc>
          <w:tcPr>
            <w:tcW w:w="2200" w:type="dxa"/>
            <w:vAlign w:val="bottom"/>
          </w:tcPr>
          <w:p>
            <w:pPr>
              <w:jc w:val="center"/>
              <w:ind w:left="763"/>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657"/>
        </w:trPr>
        <w:tc>
          <w:tcPr>
            <w:tcW w:w="5460" w:type="dxa"/>
            <w:vAlign w:val="bottom"/>
            <w:gridSpan w:val="2"/>
          </w:tcPr>
          <w:p>
            <w:pPr>
              <w:jc w:val="center"/>
              <w:ind w:right="284"/>
              <w:spacing w:after="0"/>
              <w:rPr>
                <w:sz w:val="20"/>
                <w:szCs w:val="20"/>
                <w:color w:val="auto"/>
              </w:rPr>
            </w:pPr>
            <w:r>
              <w:rPr>
                <w:rFonts w:ascii="Times New Roman" w:cs="Times New Roman" w:eastAsia="Times New Roman" w:hAnsi="Times New Roman"/>
                <w:sz w:val="22"/>
                <w:szCs w:val="22"/>
                <w:b w:val="1"/>
                <w:bCs w:val="1"/>
                <w:color w:val="auto"/>
                <w:w w:val="97"/>
              </w:rPr>
              <w:t>5430 LBJ Freeway, Suite 1700, Dallas, Texas</w:t>
            </w:r>
          </w:p>
        </w:tc>
        <w:tc>
          <w:tcPr>
            <w:tcW w:w="2200" w:type="dxa"/>
            <w:vAlign w:val="bottom"/>
          </w:tcPr>
          <w:p>
            <w:pPr>
              <w:jc w:val="center"/>
              <w:ind w:left="743"/>
              <w:spacing w:after="0"/>
              <w:rPr>
                <w:sz w:val="20"/>
                <w:szCs w:val="20"/>
                <w:color w:val="auto"/>
              </w:rPr>
            </w:pPr>
            <w:r>
              <w:rPr>
                <w:rFonts w:ascii="Times New Roman" w:cs="Times New Roman" w:eastAsia="Times New Roman" w:hAnsi="Times New Roman"/>
                <w:sz w:val="22"/>
                <w:szCs w:val="22"/>
                <w:b w:val="1"/>
                <w:bCs w:val="1"/>
                <w:color w:val="auto"/>
                <w:w w:val="97"/>
              </w:rPr>
              <w:t>75240-2620</w:t>
            </w:r>
          </w:p>
        </w:tc>
      </w:tr>
      <w:tr>
        <w:trPr>
          <w:trHeight w:val="234"/>
        </w:trPr>
        <w:tc>
          <w:tcPr>
            <w:tcW w:w="5460" w:type="dxa"/>
            <w:vAlign w:val="bottom"/>
            <w:gridSpan w:val="2"/>
          </w:tcPr>
          <w:p>
            <w:pPr>
              <w:jc w:val="center"/>
              <w:ind w:right="284"/>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0" w:type="dxa"/>
            <w:vAlign w:val="bottom"/>
          </w:tcPr>
          <w:p>
            <w:pPr>
              <w:jc w:val="center"/>
              <w:ind w:left="763"/>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(972) 448-1400</w:t>
      </w:r>
    </w:p>
    <w:p>
      <w:pPr>
        <w:spacing w:after="0" w:line="3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1376680</wp:posOffset>
            </wp:positionH>
            <wp:positionV relativeFrom="paragraph">
              <wp:posOffset>-127635</wp:posOffset>
            </wp:positionV>
            <wp:extent cx="2974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111" w:lineRule="exact"/>
        <w:rPr>
          <w:sz w:val="24"/>
          <w:szCs w:val="24"/>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81" w:lineRule="exact"/>
        <w:rPr>
          <w:sz w:val="24"/>
          <w:szCs w:val="24"/>
          <w:color w:val="auto"/>
        </w:rPr>
      </w:pPr>
    </w:p>
    <w:p>
      <w:pPr>
        <w:ind w:left="540" w:hanging="336"/>
        <w:spacing w:after="0"/>
        <w:tabs>
          <w:tab w:leader="none" w:pos="54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44" w:lineRule="exact"/>
        <w:rPr>
          <w:rFonts w:ascii="MS PGothic" w:cs="MS PGothic" w:eastAsia="MS PGothic" w:hAnsi="MS PGothic"/>
          <w:sz w:val="22"/>
          <w:szCs w:val="22"/>
          <w:color w:val="auto"/>
          <w:highlight w:val="black"/>
        </w:rPr>
      </w:pPr>
    </w:p>
    <w:p>
      <w:pPr>
        <w:ind w:left="540" w:hanging="336"/>
        <w:spacing w:after="0"/>
        <w:tabs>
          <w:tab w:leader="none" w:pos="54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44" w:lineRule="exact"/>
        <w:rPr>
          <w:rFonts w:ascii="MS PGothic" w:cs="MS PGothic" w:eastAsia="MS PGothic" w:hAnsi="MS PGothic"/>
          <w:sz w:val="22"/>
          <w:szCs w:val="22"/>
          <w:color w:val="auto"/>
          <w:highlight w:val="black"/>
        </w:rPr>
      </w:pPr>
    </w:p>
    <w:p>
      <w:pPr>
        <w:ind w:left="540" w:hanging="336"/>
        <w:spacing w:after="0"/>
        <w:tabs>
          <w:tab w:leader="none" w:pos="54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44" w:lineRule="exact"/>
        <w:rPr>
          <w:rFonts w:ascii="MS PGothic" w:cs="MS PGothic" w:eastAsia="MS PGothic" w:hAnsi="MS PGothic"/>
          <w:sz w:val="22"/>
          <w:szCs w:val="22"/>
          <w:color w:val="auto"/>
          <w:highlight w:val="black"/>
        </w:rPr>
      </w:pPr>
    </w:p>
    <w:p>
      <w:pPr>
        <w:ind w:left="540" w:hanging="336"/>
        <w:spacing w:after="0"/>
        <w:tabs>
          <w:tab w:leader="none" w:pos="54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37"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12" w:lineRule="exact"/>
        <w:rPr>
          <w:sz w:val="24"/>
          <w:szCs w:val="24"/>
          <w:color w:val="auto"/>
        </w:rPr>
      </w:pPr>
    </w:p>
    <w:tbl>
      <w:tblPr>
        <w:tblLayout w:type="fixed"/>
        <w:tblInd w:w="60" w:type="dxa"/>
        <w:tblCellMar>
          <w:top w:w="0" w:type="dxa"/>
          <w:left w:w="0" w:type="dxa"/>
          <w:bottom w:w="0" w:type="dxa"/>
          <w:right w:w="0" w:type="dxa"/>
        </w:tblCellMar>
      </w:tblPr>
      <w:tr>
        <w:trPr>
          <w:trHeight w:val="161"/>
        </w:trPr>
        <w:tc>
          <w:tcPr>
            <w:tcW w:w="3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60" w:type="dxa"/>
            <w:vAlign w:val="bottom"/>
            <w:vMerge w:val="restart"/>
          </w:tcPr>
          <w:p>
            <w:pPr>
              <w:spacing w:after="0"/>
              <w:rPr>
                <w:sz w:val="13"/>
                <w:szCs w:val="13"/>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332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220" w:type="dxa"/>
            <w:vAlign w:val="bottom"/>
          </w:tcPr>
          <w:p>
            <w:pPr>
              <w:spacing w:after="0"/>
              <w:rPr>
                <w:sz w:val="15"/>
                <w:szCs w:val="15"/>
                <w:color w:val="auto"/>
              </w:rPr>
            </w:pPr>
          </w:p>
        </w:tc>
        <w:tc>
          <w:tcPr>
            <w:tcW w:w="38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332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Class A common stock</w:t>
            </w:r>
          </w:p>
        </w:tc>
        <w:tc>
          <w:tcPr>
            <w:tcW w:w="160" w:type="dxa"/>
            <w:vAlign w:val="bottom"/>
          </w:tcPr>
          <w:p>
            <w:pPr>
              <w:spacing w:after="0"/>
              <w:rPr>
                <w:sz w:val="10"/>
                <w:szCs w:val="10"/>
                <w:color w:val="auto"/>
              </w:rPr>
            </w:pPr>
          </w:p>
        </w:tc>
        <w:tc>
          <w:tcPr>
            <w:tcW w:w="15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w w:val="99"/>
              </w:rPr>
              <w:t>CIX</w:t>
            </w:r>
          </w:p>
        </w:tc>
        <w:tc>
          <w:tcPr>
            <w:tcW w:w="3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NYSE American</w:t>
            </w:r>
          </w:p>
        </w:tc>
        <w:tc>
          <w:tcPr>
            <w:tcW w:w="0" w:type="dxa"/>
            <w:vAlign w:val="bottom"/>
          </w:tcPr>
          <w:p>
            <w:pPr>
              <w:spacing w:after="0"/>
              <w:rPr>
                <w:sz w:val="1"/>
                <w:szCs w:val="1"/>
                <w:color w:val="auto"/>
              </w:rPr>
            </w:pPr>
          </w:p>
        </w:tc>
      </w:tr>
      <w:tr>
        <w:trPr>
          <w:trHeight w:val="188"/>
        </w:trPr>
        <w:tc>
          <w:tcPr>
            <w:tcW w:w="34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($.01 par value per share)</w:t>
            </w:r>
          </w:p>
        </w:tc>
        <w:tc>
          <w:tcPr>
            <w:tcW w:w="1540" w:type="dxa"/>
            <w:vAlign w:val="bottom"/>
            <w:gridSpan w:val="2"/>
            <w:vMerge w:val="continue"/>
          </w:tcPr>
          <w:p>
            <w:pPr>
              <w:spacing w:after="0"/>
              <w:rPr>
                <w:sz w:val="16"/>
                <w:szCs w:val="16"/>
                <w:color w:val="auto"/>
              </w:rPr>
            </w:pPr>
          </w:p>
        </w:tc>
        <w:tc>
          <w:tcPr>
            <w:tcW w:w="3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jc w:val="both"/>
        <w:ind w:left="60" w:right="79"/>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04" w:lineRule="exact"/>
        <w:rPr>
          <w:sz w:val="24"/>
          <w:szCs w:val="24"/>
          <w:color w:val="auto"/>
        </w:rPr>
      </w:pPr>
    </w:p>
    <w:p>
      <w:pPr>
        <w:jc w:val="both"/>
        <w:ind w:left="60" w:right="59"/>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462915</wp:posOffset>
            </wp:positionV>
            <wp:extent cx="565785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51435</wp:posOffset>
            </wp:positionV>
            <wp:extent cx="56578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85725</wp:posOffset>
            </wp:positionV>
            <wp:extent cx="565785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 w:name="page2"/>
    <w:bookmarkEnd w:id="1"/>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registrant held its 2025 annual meeting of stockholders on May 21, 2025. At the 2025 annual meeting, the registrant’s stockholders voted on the two proposals described in detail in the registrant’s definitive proxy statement on Schedule 14A filed with the U.S. Securities and Exchange Commission on April 8, 2025. Stockholders present at the 2025 annual meeting, either in person or by proxy, represented 95.9% of the 12,318,557 shares eligible to vote at the meeting.</w:t>
      </w:r>
    </w:p>
    <w:p>
      <w:pPr>
        <w:spacing w:after="0" w:line="180"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2"/>
          <w:szCs w:val="12"/>
          <w:color w:val="auto"/>
        </w:rPr>
        <w:t>roposal</w:t>
      </w:r>
      <w:r>
        <w:rPr>
          <w:rFonts w:ascii="Times New Roman" w:cs="Times New Roman" w:eastAsia="Times New Roman" w:hAnsi="Times New Roman"/>
          <w:sz w:val="18"/>
          <w:szCs w:val="18"/>
          <w:color w:val="auto"/>
        </w:rPr>
        <w:t xml:space="preserve"> 1:</w:t>
      </w:r>
      <w:r>
        <w:rPr>
          <w:sz w:val="20"/>
          <w:szCs w:val="20"/>
          <w:color w:val="auto"/>
        </w:rPr>
        <w:tab/>
      </w:r>
      <w:r>
        <w:rPr>
          <w:rFonts w:ascii="Times New Roman" w:cs="Times New Roman" w:eastAsia="Times New Roman" w:hAnsi="Times New Roman"/>
          <w:sz w:val="18"/>
          <w:szCs w:val="18"/>
          <w:color w:val="auto"/>
        </w:rPr>
        <w:t>E</w:t>
      </w:r>
      <w:r>
        <w:rPr>
          <w:rFonts w:ascii="Times New Roman" w:cs="Times New Roman" w:eastAsia="Times New Roman" w:hAnsi="Times New Roman"/>
          <w:sz w:val="12"/>
          <w:szCs w:val="12"/>
          <w:color w:val="auto"/>
        </w:rPr>
        <w:t>lection of</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irectors</w:t>
      </w:r>
    </w:p>
    <w:p>
      <w:pPr>
        <w:spacing w:after="0" w:line="225" w:lineRule="exact"/>
        <w:rPr>
          <w:sz w:val="20"/>
          <w:szCs w:val="20"/>
          <w:color w:val="auto"/>
        </w:rPr>
      </w:pPr>
    </w:p>
    <w:p>
      <w:pPr>
        <w:jc w:val="both"/>
        <w:ind w:left="60" w:right="279" w:firstLine="648"/>
        <w:spacing w:after="0" w:line="266" w:lineRule="auto"/>
        <w:rPr>
          <w:sz w:val="20"/>
          <w:szCs w:val="20"/>
          <w:color w:val="auto"/>
        </w:rPr>
      </w:pPr>
      <w:r>
        <w:rPr>
          <w:rFonts w:ascii="Times New Roman" w:cs="Times New Roman" w:eastAsia="Times New Roman" w:hAnsi="Times New Roman"/>
          <w:sz w:val="18"/>
          <w:szCs w:val="18"/>
          <w:color w:val="auto"/>
        </w:rPr>
        <w:t>The registrant’s stockholders elected Thomas E. Barry, Loretta J. Feehan, Terri L. Herrington, Scott C. James, Ann Manix, Gina A. Norris, Michael S. Simmons, and Mary A. Tidlund as directors. Each director nominee received votes “For” his or her election from at least 92.3% of the shares eligible to vote at the annual meeting.</w:t>
      </w:r>
    </w:p>
    <w:p>
      <w:pPr>
        <w:spacing w:after="0" w:line="176"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2"/>
          <w:szCs w:val="12"/>
          <w:color w:val="auto"/>
        </w:rPr>
        <w:t>roposal</w:t>
      </w:r>
      <w:r>
        <w:rPr>
          <w:rFonts w:ascii="Times New Roman" w:cs="Times New Roman" w:eastAsia="Times New Roman" w:hAnsi="Times New Roman"/>
          <w:sz w:val="18"/>
          <w:szCs w:val="18"/>
          <w:color w:val="auto"/>
        </w:rPr>
        <w:t xml:space="preserve"> 2:</w:t>
      </w:r>
      <w:r>
        <w:rPr>
          <w:sz w:val="20"/>
          <w:szCs w:val="20"/>
          <w:color w:val="auto"/>
        </w:rPr>
        <w:tab/>
      </w: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ay</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on</w:t>
      </w:r>
      <w:r>
        <w:rPr>
          <w:rFonts w:ascii="Times New Roman" w:cs="Times New Roman" w:eastAsia="Times New Roman" w:hAnsi="Times New Roman"/>
          <w:sz w:val="18"/>
          <w:szCs w:val="18"/>
          <w:color w:val="auto"/>
        </w:rPr>
        <w:t>-P</w:t>
      </w:r>
      <w:r>
        <w:rPr>
          <w:rFonts w:ascii="Times New Roman" w:cs="Times New Roman" w:eastAsia="Times New Roman" w:hAnsi="Times New Roman"/>
          <w:sz w:val="12"/>
          <w:szCs w:val="12"/>
          <w:color w:val="auto"/>
        </w:rPr>
        <w:t>ay</w:t>
      </w:r>
      <w:r>
        <w:rPr>
          <w:rFonts w:ascii="Times New Roman" w:cs="Times New Roman" w:eastAsia="Times New Roman" w:hAnsi="Times New Roman"/>
          <w:sz w:val="18"/>
          <w:szCs w:val="18"/>
          <w:color w:val="auto"/>
        </w:rPr>
        <w:t>, N</w:t>
      </w:r>
      <w:r>
        <w:rPr>
          <w:rFonts w:ascii="Times New Roman" w:cs="Times New Roman" w:eastAsia="Times New Roman" w:hAnsi="Times New Roman"/>
          <w:sz w:val="12"/>
          <w:szCs w:val="12"/>
          <w:color w:val="auto"/>
        </w:rPr>
        <w:t>onbinding</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dvisory</w:t>
      </w:r>
      <w:r>
        <w:rPr>
          <w:rFonts w:ascii="Times New Roman" w:cs="Times New Roman" w:eastAsia="Times New Roman" w:hAnsi="Times New Roman"/>
          <w:sz w:val="18"/>
          <w:szCs w:val="18"/>
          <w:color w:val="auto"/>
        </w:rPr>
        <w:t xml:space="preserve"> V</w:t>
      </w:r>
      <w:r>
        <w:rPr>
          <w:rFonts w:ascii="Times New Roman" w:cs="Times New Roman" w:eastAsia="Times New Roman" w:hAnsi="Times New Roman"/>
          <w:sz w:val="12"/>
          <w:szCs w:val="12"/>
          <w:color w:val="auto"/>
        </w:rPr>
        <w:t>ote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pproving</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2"/>
          <w:szCs w:val="12"/>
          <w:color w:val="auto"/>
        </w:rPr>
        <w:t>xecutive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ompensation</w:t>
      </w:r>
    </w:p>
    <w:p>
      <w:pPr>
        <w:spacing w:after="0" w:line="225" w:lineRule="exact"/>
        <w:rPr>
          <w:sz w:val="20"/>
          <w:szCs w:val="20"/>
          <w:color w:val="auto"/>
        </w:rPr>
      </w:pPr>
    </w:p>
    <w:p>
      <w:pPr>
        <w:jc w:val="both"/>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The registrant’s stockholders adopted a resolution, on a nonbinding advisory basis, approving the compensation of the registrant’s named executive officers as described in the registrant’s 2025 proxy statement. The resolution received the approval from 90.0% of the shares eligible to vote at the annual meeting.</w:t>
      </w:r>
    </w:p>
    <w:p>
      <w:pPr>
        <w:spacing w:after="0" w:line="199"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29"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registrant hereby furnishes the information set forth in its press release issued on May 21, 2025, a copy of which is attached as Exhibit 99.1 and incorporated herein by reference. The information the registrant furnishes in this report under this Item 7.01, and the exhibit in Item 9.01, is not deemed “filed” for purposes of section 18 of the Securities Exchange Act of 1934, as amended, or otherwise subject to the liabilities of that section. Registration statements or other documents filed with the U.S. Securities and Exchange Commission shall not incorporate this information by reference, except as otherwise expressly stated in such filing.</w:t>
      </w:r>
    </w:p>
    <w:p>
      <w:pPr>
        <w:spacing w:after="0" w:line="210"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w:t>
            </w:r>
          </w:p>
        </w:tc>
        <w:tc>
          <w:tcPr>
            <w:tcW w:w="138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93"/>
              </w:rPr>
              <w:t>Exhibits</w:t>
            </w:r>
          </w:p>
        </w:tc>
        <w:tc>
          <w:tcPr>
            <w:tcW w:w="60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439"/>
        </w:trPr>
        <w:tc>
          <w:tcPr>
            <w:tcW w:w="600" w:type="dxa"/>
            <w:vAlign w:val="bottom"/>
          </w:tcPr>
          <w:p>
            <w:pPr>
              <w:spacing w:after="0"/>
              <w:rPr>
                <w:sz w:val="24"/>
                <w:szCs w:val="24"/>
                <w:color w:val="auto"/>
              </w:rPr>
            </w:pPr>
          </w:p>
        </w:tc>
        <w:tc>
          <w:tcPr>
            <w:tcW w:w="13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Item No.</w:t>
            </w:r>
          </w:p>
        </w:tc>
        <w:tc>
          <w:tcPr>
            <w:tcW w:w="600" w:type="dxa"/>
            <w:vAlign w:val="bottom"/>
          </w:tcPr>
          <w:p>
            <w:pPr>
              <w:spacing w:after="0"/>
              <w:rPr>
                <w:sz w:val="24"/>
                <w:szCs w:val="24"/>
                <w:color w:val="auto"/>
              </w:rPr>
            </w:pPr>
          </w:p>
        </w:tc>
        <w:tc>
          <w:tcPr>
            <w:tcW w:w="6100" w:type="dxa"/>
            <w:vAlign w:val="bottom"/>
            <w:tcBorders>
              <w:bottom w:val="single" w:sz="8" w:color="auto"/>
            </w:tcBorders>
            <w:gridSpan w:val="2"/>
          </w:tcPr>
          <w:p>
            <w:pPr>
              <w:ind w:left="26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40" w:type="dxa"/>
            <w:vAlign w:val="bottom"/>
          </w:tcPr>
          <w:p>
            <w:pPr>
              <w:spacing w:after="0"/>
              <w:rPr>
                <w:sz w:val="24"/>
                <w:szCs w:val="24"/>
                <w:color w:val="auto"/>
              </w:rPr>
            </w:pPr>
          </w:p>
        </w:tc>
      </w:tr>
      <w:tr>
        <w:trPr>
          <w:trHeight w:val="391"/>
        </w:trPr>
        <w:tc>
          <w:tcPr>
            <w:tcW w:w="600" w:type="dxa"/>
            <w:vAlign w:val="bottom"/>
          </w:tcPr>
          <w:p>
            <w:pPr>
              <w:spacing w:after="0"/>
              <w:rPr>
                <w:sz w:val="24"/>
                <w:szCs w:val="24"/>
                <w:color w:val="auto"/>
              </w:rPr>
            </w:pP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99.1</w:t>
            </w:r>
          </w:p>
        </w:tc>
        <w:tc>
          <w:tcPr>
            <w:tcW w:w="600" w:type="dxa"/>
            <w:vAlign w:val="bottom"/>
          </w:tcPr>
          <w:p>
            <w:pPr>
              <w:spacing w:after="0"/>
              <w:rPr>
                <w:sz w:val="24"/>
                <w:szCs w:val="24"/>
                <w:color w:val="auto"/>
              </w:rPr>
            </w:pPr>
          </w:p>
        </w:tc>
        <w:tc>
          <w:tcPr>
            <w:tcW w:w="63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Press release dated May 21, 2025 issued by the registrant.</w:t>
            </w:r>
          </w:p>
        </w:tc>
      </w:tr>
      <w:tr>
        <w:trPr>
          <w:trHeight w:val="20"/>
        </w:trPr>
        <w:tc>
          <w:tcPr>
            <w:tcW w:w="6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160" w:type="dxa"/>
            <w:vAlign w:val="bottom"/>
            <w:shd w:val="clear" w:color="auto" w:fill="0000EE"/>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r>
      <w:tr>
        <w:trPr>
          <w:trHeight w:val="453"/>
        </w:trPr>
        <w:tc>
          <w:tcPr>
            <w:tcW w:w="600" w:type="dxa"/>
            <w:vAlign w:val="bottom"/>
          </w:tcPr>
          <w:p>
            <w:pPr>
              <w:spacing w:after="0"/>
              <w:rPr>
                <w:sz w:val="24"/>
                <w:szCs w:val="24"/>
                <w:color w:val="auto"/>
              </w:rPr>
            </w:pPr>
          </w:p>
        </w:tc>
        <w:tc>
          <w:tcPr>
            <w:tcW w:w="13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104</w:t>
            </w:r>
          </w:p>
        </w:tc>
        <w:tc>
          <w:tcPr>
            <w:tcW w:w="600" w:type="dxa"/>
            <w:vAlign w:val="bottom"/>
          </w:tcPr>
          <w:p>
            <w:pPr>
              <w:spacing w:after="0"/>
              <w:rPr>
                <w:sz w:val="24"/>
                <w:szCs w:val="24"/>
                <w:color w:val="auto"/>
              </w:rPr>
            </w:pPr>
          </w:p>
        </w:tc>
        <w:tc>
          <w:tcPr>
            <w:tcW w:w="6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885"/>
        </w:trPr>
        <w:tc>
          <w:tcPr>
            <w:tcW w:w="6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60"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29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COMPX INTERNATIONAL INC.</w:t>
            </w:r>
          </w:p>
        </w:tc>
      </w:tr>
      <w:tr>
        <w:trPr>
          <w:trHeight w:val="234"/>
        </w:trPr>
        <w:tc>
          <w:tcPr>
            <w:tcW w:w="29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(Registrant)</w:t>
            </w:r>
          </w:p>
        </w:tc>
      </w:tr>
      <w:tr>
        <w:trPr>
          <w:trHeight w:val="648"/>
        </w:trPr>
        <w:tc>
          <w:tcPr>
            <w:tcW w:w="2960" w:type="dxa"/>
            <w:vAlign w:val="bottom"/>
          </w:tcPr>
          <w:p>
            <w:pPr>
              <w:spacing w:after="0"/>
              <w:rPr>
                <w:sz w:val="24"/>
                <w:szCs w:val="24"/>
                <w:color w:val="auto"/>
              </w:rPr>
            </w:pPr>
          </w:p>
        </w:tc>
        <w:tc>
          <w:tcPr>
            <w:tcW w:w="596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By:/s/ Amy A. Samford</w:t>
            </w:r>
          </w:p>
        </w:tc>
      </w:tr>
      <w:tr>
        <w:trPr>
          <w:trHeight w:val="189"/>
        </w:trPr>
        <w:tc>
          <w:tcPr>
            <w:tcW w:w="29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418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i w:val="1"/>
                <w:iCs w:val="1"/>
                <w:color w:val="auto"/>
              </w:rPr>
              <w:t>Amy A. Samford</w:t>
            </w:r>
          </w:p>
        </w:tc>
      </w:tr>
      <w:tr>
        <w:trPr>
          <w:trHeight w:val="216"/>
        </w:trPr>
        <w:tc>
          <w:tcPr>
            <w:tcW w:w="29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Executive Vice President and</w:t>
            </w:r>
          </w:p>
        </w:tc>
      </w:tr>
      <w:tr>
        <w:trPr>
          <w:trHeight w:val="236"/>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21, 2025</w:t>
            </w:r>
          </w:p>
        </w:tc>
        <w:tc>
          <w:tcPr>
            <w:tcW w:w="1780" w:type="dxa"/>
            <w:vAlign w:val="bottom"/>
          </w:tcPr>
          <w:p>
            <w:pPr>
              <w:spacing w:after="0"/>
              <w:rPr>
                <w:sz w:val="20"/>
                <w:szCs w:val="20"/>
                <w:color w:val="auto"/>
              </w:rPr>
            </w:pPr>
          </w:p>
        </w:tc>
        <w:tc>
          <w:tcPr>
            <w:tcW w:w="41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2180"/>
        </w:trPr>
        <w:tc>
          <w:tcPr>
            <w:tcW w:w="29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2565400</wp:posOffset>
            </wp:positionH>
            <wp:positionV relativeFrom="page">
              <wp:posOffset>688975</wp:posOffset>
            </wp:positionV>
            <wp:extent cx="2442845" cy="8147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2442845"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COMPX ANNOUNCES REGULAR QUARTERLY DIVIDEND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AND</w:t>
      </w:r>
    </w:p>
    <w:p>
      <w:pPr>
        <w:jc w:val="center"/>
        <w:spacing w:after="0"/>
        <w:rPr>
          <w:sz w:val="20"/>
          <w:szCs w:val="20"/>
          <w:color w:val="auto"/>
        </w:rPr>
      </w:pPr>
      <w:r>
        <w:rPr>
          <w:rFonts w:ascii="Times New Roman" w:cs="Times New Roman" w:eastAsia="Times New Roman" w:hAnsi="Times New Roman"/>
          <w:sz w:val="22"/>
          <w:szCs w:val="22"/>
          <w:b w:val="1"/>
          <w:bCs w:val="1"/>
          <w:color w:val="auto"/>
        </w:rPr>
        <w:t>RESULTS OF THE ANNUAL STOCKHOLDER MEETING</w:t>
      </w:r>
    </w:p>
    <w:p>
      <w:pPr>
        <w:spacing w:after="0" w:line="200" w:lineRule="exact"/>
        <w:rPr>
          <w:sz w:val="20"/>
          <w:szCs w:val="20"/>
          <w:color w:val="auto"/>
        </w:rPr>
      </w:pPr>
    </w:p>
    <w:p>
      <w:pPr>
        <w:spacing w:after="0" w:line="252"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DALLAS, TEXAS . . . May 21, 2025 . . . CompX International Inc. (NYSE American: CIX) announced today that its board of directors has declared CompX’s regular quarterly dividend of thirty cents ($0.30) per share on its class A common stock, payable on June 17, 2025 to stockholders of record at the close of business on June 9, 2025.</w:t>
      </w:r>
    </w:p>
    <w:p>
      <w:pPr>
        <w:spacing w:after="0" w:line="207"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22"/>
          <w:szCs w:val="22"/>
          <w:color w:val="auto"/>
        </w:rPr>
        <w:t>CompX also announced that at its annual stockholder meeting held on May 21, 2025, its stockholders:</w:t>
      </w:r>
    </w:p>
    <w:p>
      <w:pPr>
        <w:spacing w:after="0" w:line="185" w:lineRule="exact"/>
        <w:rPr>
          <w:sz w:val="20"/>
          <w:szCs w:val="20"/>
          <w:color w:val="auto"/>
        </w:rPr>
      </w:pPr>
    </w:p>
    <w:p>
      <w:pPr>
        <w:jc w:val="both"/>
        <w:ind w:left="1500" w:right="219" w:hanging="643"/>
        <w:spacing w:after="0" w:line="244" w:lineRule="auto"/>
        <w:tabs>
          <w:tab w:leader="none" w:pos="150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elected each of Thomas E. Barry, Loretta J. Feehan, Terri L. Herrington, Scott C. James, Ann Manix, Gina A. Norris, Michael S. Simmons and Mary A. Tidlund as a director for a one-year term; and</w:t>
      </w:r>
    </w:p>
    <w:p>
      <w:pPr>
        <w:spacing w:after="0" w:line="200" w:lineRule="exact"/>
        <w:rPr>
          <w:rFonts w:ascii="Times New Roman" w:cs="Times New Roman" w:eastAsia="Times New Roman" w:hAnsi="Times New Roman"/>
          <w:sz w:val="22"/>
          <w:szCs w:val="22"/>
          <w:color w:val="auto"/>
        </w:rPr>
      </w:pPr>
    </w:p>
    <w:p>
      <w:pPr>
        <w:jc w:val="both"/>
        <w:ind w:left="1500" w:right="219" w:hanging="643"/>
        <w:spacing w:after="0" w:line="244" w:lineRule="auto"/>
        <w:tabs>
          <w:tab w:leader="none" w:pos="150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adopted a resolution that approved, on a nonbinding advisory basis, the compensation of its named executive officers as disclosed in the proxy statement for the 2025 annual stockholder meeting.</w:t>
      </w:r>
    </w:p>
    <w:p>
      <w:pPr>
        <w:spacing w:after="0" w:line="20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1"/>
          <w:szCs w:val="21"/>
          <w:color w:val="auto"/>
        </w:rPr>
        <w:t>CompX is a leading manufacturer of security products and recreational marine components.</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 * *</w:t>
      </w: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Investor Relations Contact</w:t>
      </w:r>
    </w:p>
    <w:p>
      <w:pPr>
        <w:spacing w:after="0" w:line="23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Bryan A. Hanley</w:t>
      </w:r>
    </w:p>
    <w:p>
      <w:pPr>
        <w:spacing w:after="0" w:line="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Senior Vice President and Treasurer</w:t>
      </w:r>
    </w:p>
    <w:p>
      <w:pPr>
        <w:ind w:left="200"/>
        <w:spacing w:after="0"/>
        <w:rPr>
          <w:sz w:val="20"/>
          <w:szCs w:val="20"/>
          <w:color w:val="auto"/>
        </w:rPr>
      </w:pPr>
      <w:r>
        <w:rPr>
          <w:rFonts w:ascii="Times New Roman" w:cs="Times New Roman" w:eastAsia="Times New Roman" w:hAnsi="Times New Roman"/>
          <w:sz w:val="22"/>
          <w:szCs w:val="22"/>
          <w:color w:val="auto"/>
        </w:rPr>
        <w:t>Tel. 972-233-1700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398780</wp:posOffset>
            </wp:positionV>
            <wp:extent cx="545211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2025-05-21T15:24:28Z</dcterms:created>
  <dcterms:modified xsi:type="dcterms:W3CDTF">2025-05-21T15:24:28Z</dcterms:modified>
</cp:coreProperties>
</file>