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1"/>
        </w:trPr>
        <w:tc>
          <w:tcPr>
            <w:tcW w:w="3140" w:type="dxa"/>
            <w:vAlign w:val="bottom"/>
          </w:tcPr>
          <w:p>
            <w:pPr>
              <w:spacing w:after="0"/>
              <w:rPr>
                <w:sz w:val="21"/>
                <w:szCs w:val="21"/>
                <w:color w:val="auto"/>
              </w:rPr>
            </w:pPr>
          </w:p>
        </w:tc>
        <w:tc>
          <w:tcPr>
            <w:tcW w:w="4740" w:type="dxa"/>
            <w:vAlign w:val="bottom"/>
          </w:tcPr>
          <w:p>
            <w:pPr>
              <w:jc w:val="center"/>
              <w:ind w:left="128"/>
              <w:spacing w:after="0"/>
              <w:rPr>
                <w:sz w:val="20"/>
                <w:szCs w:val="20"/>
                <w:color w:val="auto"/>
              </w:rPr>
            </w:pPr>
            <w:r>
              <w:rPr>
                <w:rFonts w:ascii="Arial" w:cs="Arial" w:eastAsia="Arial" w:hAnsi="Arial"/>
                <w:sz w:val="21"/>
                <w:szCs w:val="21"/>
                <w:b w:val="1"/>
                <w:bCs w:val="1"/>
                <w:color w:val="auto"/>
                <w:w w:val="99"/>
              </w:rPr>
              <w:t>In UNITED STATES</w:t>
            </w:r>
          </w:p>
        </w:tc>
      </w:tr>
      <w:tr>
        <w:trPr>
          <w:trHeight w:val="236"/>
        </w:trPr>
        <w:tc>
          <w:tcPr>
            <w:tcW w:w="3140" w:type="dxa"/>
            <w:vAlign w:val="bottom"/>
          </w:tcPr>
          <w:p>
            <w:pPr>
              <w:spacing w:after="0"/>
              <w:rPr>
                <w:sz w:val="20"/>
                <w:szCs w:val="20"/>
                <w:color w:val="auto"/>
              </w:rPr>
            </w:pPr>
          </w:p>
        </w:tc>
        <w:tc>
          <w:tcPr>
            <w:tcW w:w="4740" w:type="dxa"/>
            <w:vAlign w:val="bottom"/>
          </w:tcPr>
          <w:p>
            <w:pPr>
              <w:jc w:val="center"/>
              <w:ind w:left="108"/>
              <w:spacing w:after="0" w:line="236" w:lineRule="exact"/>
              <w:rPr>
                <w:sz w:val="20"/>
                <w:szCs w:val="20"/>
                <w:color w:val="auto"/>
              </w:rPr>
            </w:pPr>
            <w:r>
              <w:rPr>
                <w:rFonts w:ascii="Arial" w:cs="Arial" w:eastAsia="Arial" w:hAnsi="Arial"/>
                <w:sz w:val="21"/>
                <w:szCs w:val="21"/>
                <w:b w:val="1"/>
                <w:bCs w:val="1"/>
                <w:color w:val="auto"/>
              </w:rPr>
              <w:t>SECURITIES AND EXCHANGE COMMISSION</w:t>
            </w:r>
          </w:p>
        </w:tc>
      </w:tr>
      <w:tr>
        <w:trPr>
          <w:trHeight w:val="273"/>
        </w:trPr>
        <w:tc>
          <w:tcPr>
            <w:tcW w:w="3140" w:type="dxa"/>
            <w:vAlign w:val="bottom"/>
          </w:tcPr>
          <w:p>
            <w:pPr>
              <w:spacing w:after="0"/>
              <w:rPr>
                <w:sz w:val="23"/>
                <w:szCs w:val="23"/>
                <w:color w:val="auto"/>
              </w:rPr>
            </w:pPr>
          </w:p>
        </w:tc>
        <w:tc>
          <w:tcPr>
            <w:tcW w:w="4740" w:type="dxa"/>
            <w:vAlign w:val="bottom"/>
          </w:tcPr>
          <w:p>
            <w:pPr>
              <w:jc w:val="center"/>
              <w:ind w:left="108"/>
              <w:spacing w:after="0"/>
              <w:rPr>
                <w:sz w:val="20"/>
                <w:szCs w:val="20"/>
                <w:color w:val="auto"/>
              </w:rPr>
            </w:pPr>
            <w:r>
              <w:rPr>
                <w:rFonts w:ascii="Arial" w:cs="Arial" w:eastAsia="Arial" w:hAnsi="Arial"/>
                <w:sz w:val="21"/>
                <w:szCs w:val="21"/>
                <w:b w:val="1"/>
                <w:bCs w:val="1"/>
                <w:color w:val="auto"/>
                <w:w w:val="93"/>
              </w:rPr>
              <w:t>Washington, D.C.  20549</w:t>
            </w:r>
          </w:p>
        </w:tc>
      </w:tr>
      <w:tr>
        <w:trPr>
          <w:trHeight w:val="465"/>
        </w:trPr>
        <w:tc>
          <w:tcPr>
            <w:tcW w:w="3140" w:type="dxa"/>
            <w:vAlign w:val="bottom"/>
          </w:tcPr>
          <w:p>
            <w:pPr>
              <w:spacing w:after="0"/>
              <w:rPr>
                <w:sz w:val="24"/>
                <w:szCs w:val="24"/>
                <w:color w:val="auto"/>
              </w:rPr>
            </w:pPr>
          </w:p>
        </w:tc>
        <w:tc>
          <w:tcPr>
            <w:tcW w:w="4740" w:type="dxa"/>
            <w:vAlign w:val="bottom"/>
          </w:tcPr>
          <w:p>
            <w:pPr>
              <w:jc w:val="center"/>
              <w:ind w:left="108"/>
              <w:spacing w:after="0"/>
              <w:rPr>
                <w:sz w:val="20"/>
                <w:szCs w:val="20"/>
                <w:color w:val="auto"/>
              </w:rPr>
            </w:pPr>
            <w:r>
              <w:rPr>
                <w:rFonts w:ascii="Arial" w:cs="Arial" w:eastAsia="Arial" w:hAnsi="Arial"/>
                <w:sz w:val="32"/>
                <w:szCs w:val="32"/>
                <w:b w:val="1"/>
                <w:bCs w:val="1"/>
                <w:color w:val="auto"/>
                <w:w w:val="96"/>
              </w:rPr>
              <w:t>SCHEDULE 14A</w:t>
            </w:r>
          </w:p>
        </w:tc>
      </w:tr>
      <w:tr>
        <w:trPr>
          <w:trHeight w:val="305"/>
        </w:trPr>
        <w:tc>
          <w:tcPr>
            <w:tcW w:w="3140" w:type="dxa"/>
            <w:vAlign w:val="bottom"/>
          </w:tcPr>
          <w:p>
            <w:pPr>
              <w:spacing w:after="0"/>
              <w:rPr>
                <w:sz w:val="24"/>
                <w:szCs w:val="24"/>
                <w:color w:val="auto"/>
              </w:rPr>
            </w:pPr>
          </w:p>
        </w:tc>
        <w:tc>
          <w:tcPr>
            <w:tcW w:w="4740" w:type="dxa"/>
            <w:vAlign w:val="bottom"/>
          </w:tcPr>
          <w:p>
            <w:pPr>
              <w:jc w:val="center"/>
              <w:ind w:left="108"/>
              <w:spacing w:after="0"/>
              <w:rPr>
                <w:sz w:val="20"/>
                <w:szCs w:val="20"/>
                <w:color w:val="auto"/>
              </w:rPr>
            </w:pPr>
            <w:r>
              <w:rPr>
                <w:rFonts w:ascii="Arial" w:cs="Arial" w:eastAsia="Arial" w:hAnsi="Arial"/>
                <w:sz w:val="21"/>
                <w:szCs w:val="21"/>
                <w:color w:val="auto"/>
                <w:w w:val="90"/>
              </w:rPr>
              <w:t>Proxy Statement Pursuant to Section 14(a) of the</w:t>
            </w:r>
          </w:p>
        </w:tc>
      </w:tr>
      <w:tr>
        <w:trPr>
          <w:trHeight w:val="267"/>
        </w:trPr>
        <w:tc>
          <w:tcPr>
            <w:tcW w:w="3140" w:type="dxa"/>
            <w:vAlign w:val="bottom"/>
          </w:tcPr>
          <w:p>
            <w:pPr>
              <w:spacing w:after="0"/>
              <w:rPr>
                <w:sz w:val="23"/>
                <w:szCs w:val="23"/>
                <w:color w:val="auto"/>
              </w:rPr>
            </w:pPr>
          </w:p>
        </w:tc>
        <w:tc>
          <w:tcPr>
            <w:tcW w:w="4740" w:type="dxa"/>
            <w:vAlign w:val="bottom"/>
          </w:tcPr>
          <w:p>
            <w:pPr>
              <w:jc w:val="center"/>
              <w:ind w:left="108"/>
              <w:spacing w:after="0"/>
              <w:rPr>
                <w:sz w:val="20"/>
                <w:szCs w:val="20"/>
                <w:color w:val="auto"/>
              </w:rPr>
            </w:pPr>
            <w:r>
              <w:rPr>
                <w:rFonts w:ascii="Arial" w:cs="Arial" w:eastAsia="Arial" w:hAnsi="Arial"/>
                <w:sz w:val="21"/>
                <w:szCs w:val="21"/>
                <w:color w:val="auto"/>
                <w:w w:val="90"/>
              </w:rPr>
              <w:t>Securities Exchange Act of 1934</w:t>
            </w:r>
          </w:p>
        </w:tc>
      </w:tr>
      <w:tr>
        <w:trPr>
          <w:trHeight w:val="428"/>
        </w:trPr>
        <w:tc>
          <w:tcPr>
            <w:tcW w:w="3140" w:type="dxa"/>
            <w:vAlign w:val="bottom"/>
          </w:tcPr>
          <w:p>
            <w:pPr>
              <w:spacing w:after="0"/>
              <w:rPr>
                <w:sz w:val="20"/>
                <w:szCs w:val="20"/>
                <w:color w:val="auto"/>
              </w:rPr>
            </w:pPr>
            <w:r>
              <w:rPr>
                <w:rFonts w:ascii="Arial" w:cs="Arial" w:eastAsia="Arial" w:hAnsi="Arial"/>
                <w:sz w:val="18"/>
                <w:szCs w:val="18"/>
                <w:color w:val="auto"/>
              </w:rPr>
              <w:t>Filed by Registrant:</w:t>
            </w:r>
          </w:p>
        </w:tc>
        <w:tc>
          <w:tcPr>
            <w:tcW w:w="4740" w:type="dxa"/>
            <w:vAlign w:val="bottom"/>
          </w:tcPr>
          <w:p>
            <w:pPr>
              <w:ind w:left="1680"/>
              <w:spacing w:after="0" w:line="211" w:lineRule="exact"/>
              <w:rPr>
                <w:sz w:val="20"/>
                <w:szCs w:val="20"/>
                <w:color w:val="auto"/>
              </w:rPr>
            </w:pPr>
            <w:r>
              <w:rPr>
                <w:rFonts w:ascii="MS PGothic" w:cs="MS PGothic" w:eastAsia="MS PGothic" w:hAnsi="MS PGothic"/>
                <w:sz w:val="21"/>
                <w:szCs w:val="21"/>
                <w:color w:val="auto"/>
              </w:rPr>
              <w:t>☒</w:t>
            </w:r>
          </w:p>
        </w:tc>
      </w:tr>
      <w:tr>
        <w:trPr>
          <w:trHeight w:val="331"/>
        </w:trPr>
        <w:tc>
          <w:tcPr>
            <w:tcW w:w="3140" w:type="dxa"/>
            <w:vAlign w:val="bottom"/>
          </w:tcPr>
          <w:p>
            <w:pPr>
              <w:spacing w:after="0"/>
              <w:rPr>
                <w:sz w:val="20"/>
                <w:szCs w:val="20"/>
                <w:color w:val="auto"/>
              </w:rPr>
            </w:pPr>
            <w:r>
              <w:rPr>
                <w:rFonts w:ascii="Arial" w:cs="Arial" w:eastAsia="Arial" w:hAnsi="Arial"/>
                <w:sz w:val="18"/>
                <w:szCs w:val="18"/>
                <w:color w:val="auto"/>
                <w:w w:val="93"/>
              </w:rPr>
              <w:t>Filed by a Party other than the Registrant:</w:t>
            </w:r>
          </w:p>
        </w:tc>
        <w:tc>
          <w:tcPr>
            <w:tcW w:w="4740" w:type="dxa"/>
            <w:vAlign w:val="bottom"/>
          </w:tcPr>
          <w:p>
            <w:pPr>
              <w:ind w:left="1680"/>
              <w:spacing w:after="0" w:line="211" w:lineRule="exact"/>
              <w:rPr>
                <w:sz w:val="20"/>
                <w:szCs w:val="20"/>
                <w:color w:val="auto"/>
              </w:rPr>
            </w:pPr>
            <w:r>
              <w:rPr>
                <w:rFonts w:ascii="MS PGothic" w:cs="MS PGothic" w:eastAsia="MS PGothic" w:hAnsi="MS PGothic"/>
                <w:sz w:val="21"/>
                <w:szCs w:val="21"/>
                <w:color w:val="auto"/>
              </w:rPr>
              <w:t>☐</w:t>
            </w:r>
          </w:p>
        </w:tc>
      </w:tr>
      <w:tr>
        <w:trPr>
          <w:trHeight w:val="278"/>
        </w:trPr>
        <w:tc>
          <w:tcPr>
            <w:tcW w:w="3140" w:type="dxa"/>
            <w:vAlign w:val="bottom"/>
          </w:tcPr>
          <w:p>
            <w:pPr>
              <w:spacing w:after="0"/>
              <w:rPr>
                <w:sz w:val="20"/>
                <w:szCs w:val="20"/>
                <w:color w:val="auto"/>
              </w:rPr>
            </w:pPr>
            <w:r>
              <w:rPr>
                <w:rFonts w:ascii="Arial" w:cs="Arial" w:eastAsia="Arial" w:hAnsi="Arial"/>
                <w:sz w:val="21"/>
                <w:szCs w:val="21"/>
                <w:color w:val="auto"/>
              </w:rPr>
              <w:t>Check the appropriate box:</w:t>
            </w:r>
          </w:p>
        </w:tc>
        <w:tc>
          <w:tcPr>
            <w:tcW w:w="4740" w:type="dxa"/>
            <w:vAlign w:val="bottom"/>
          </w:tcPr>
          <w:p>
            <w:pPr>
              <w:spacing w:after="0"/>
              <w:rPr>
                <w:sz w:val="24"/>
                <w:szCs w:val="24"/>
                <w:color w:val="auto"/>
              </w:rPr>
            </w:pPr>
          </w:p>
        </w:tc>
      </w:tr>
    </w:tbl>
    <w:p>
      <w:pPr>
        <w:ind w:left="660" w:hanging="655"/>
        <w:spacing w:after="0" w:line="180" w:lineRule="auto"/>
        <w:tabs>
          <w:tab w:leader="none" w:pos="660" w:val="left"/>
        </w:tabs>
        <w:numPr>
          <w:ilvl w:val="0"/>
          <w:numId w:val="1"/>
        </w:numPr>
        <w:rPr>
          <w:rFonts w:ascii="MS PGothic" w:cs="MS PGothic" w:eastAsia="MS PGothic" w:hAnsi="MS PGothic"/>
          <w:sz w:val="37"/>
          <w:szCs w:val="37"/>
          <w:color w:val="auto"/>
          <w:vertAlign w:val="subscript"/>
        </w:rPr>
      </w:pPr>
      <w:r>
        <w:rPr>
          <w:rFonts w:ascii="Arial" w:cs="Arial" w:eastAsia="Arial" w:hAnsi="Arial"/>
          <w:sz w:val="16"/>
          <w:szCs w:val="16"/>
          <w:color w:val="auto"/>
        </w:rPr>
        <w:t>Preliminary Proxy Statement</w:t>
      </w:r>
    </w:p>
    <w:p>
      <w:pPr>
        <w:spacing w:after="0" w:line="42" w:lineRule="exact"/>
        <w:rPr>
          <w:rFonts w:ascii="MS PGothic" w:cs="MS PGothic" w:eastAsia="MS PGothic" w:hAnsi="MS PGothic"/>
          <w:sz w:val="37"/>
          <w:szCs w:val="37"/>
          <w:color w:val="auto"/>
          <w:vertAlign w:val="subscript"/>
        </w:rPr>
      </w:pPr>
    </w:p>
    <w:p>
      <w:pPr>
        <w:ind w:left="660" w:hanging="655"/>
        <w:spacing w:after="0" w:line="207" w:lineRule="exact"/>
        <w:tabs>
          <w:tab w:leader="none" w:pos="660" w:val="left"/>
        </w:tabs>
        <w:numPr>
          <w:ilvl w:val="0"/>
          <w:numId w:val="1"/>
        </w:numPr>
        <w:rPr>
          <w:rFonts w:ascii="MS PGothic" w:cs="MS PGothic" w:eastAsia="MS PGothic" w:hAnsi="MS PGothic"/>
          <w:sz w:val="27"/>
          <w:szCs w:val="27"/>
          <w:color w:val="auto"/>
          <w:vertAlign w:val="subscript"/>
        </w:rPr>
      </w:pPr>
      <w:r>
        <w:rPr>
          <w:rFonts w:ascii="Arial" w:cs="Arial" w:eastAsia="Arial" w:hAnsi="Arial"/>
          <w:sz w:val="14"/>
          <w:szCs w:val="14"/>
          <w:b w:val="1"/>
          <w:bCs w:val="1"/>
          <w:color w:val="auto"/>
        </w:rPr>
        <w:t>Confidential, for Use of the Commission Only (as permitted by Rule 14a</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6(e)(2))</w:t>
      </w:r>
    </w:p>
    <w:p>
      <w:pPr>
        <w:ind w:left="660" w:hanging="655"/>
        <w:spacing w:after="0" w:line="182" w:lineRule="auto"/>
        <w:tabs>
          <w:tab w:leader="none" w:pos="660" w:val="left"/>
        </w:tabs>
        <w:numPr>
          <w:ilvl w:val="0"/>
          <w:numId w:val="2"/>
        </w:numPr>
        <w:rPr>
          <w:rFonts w:ascii="MS PGothic" w:cs="MS PGothic" w:eastAsia="MS PGothic" w:hAnsi="MS PGothic"/>
          <w:sz w:val="33"/>
          <w:szCs w:val="33"/>
          <w:color w:val="auto"/>
          <w:vertAlign w:val="subscript"/>
        </w:rPr>
      </w:pPr>
      <w:r>
        <w:rPr>
          <w:rFonts w:ascii="Arial" w:cs="Arial" w:eastAsia="Arial" w:hAnsi="Arial"/>
          <w:sz w:val="15"/>
          <w:szCs w:val="15"/>
          <w:color w:val="auto"/>
        </w:rPr>
        <w:t>Definitive Proxy Statement</w:t>
      </w:r>
    </w:p>
    <w:p>
      <w:pPr>
        <w:ind w:left="660" w:hanging="655"/>
        <w:spacing w:after="0" w:line="181" w:lineRule="auto"/>
        <w:tabs>
          <w:tab w:leader="none" w:pos="660" w:val="left"/>
        </w:tabs>
        <w:numPr>
          <w:ilvl w:val="0"/>
          <w:numId w:val="3"/>
        </w:numPr>
        <w:rPr>
          <w:rFonts w:ascii="MS PGothic" w:cs="MS PGothic" w:eastAsia="MS PGothic" w:hAnsi="MS PGothic"/>
          <w:sz w:val="33"/>
          <w:szCs w:val="33"/>
          <w:color w:val="auto"/>
          <w:vertAlign w:val="subscript"/>
        </w:rPr>
      </w:pPr>
      <w:r>
        <w:rPr>
          <w:rFonts w:ascii="Arial" w:cs="Arial" w:eastAsia="Arial" w:hAnsi="Arial"/>
          <w:sz w:val="15"/>
          <w:szCs w:val="15"/>
          <w:color w:val="auto"/>
        </w:rPr>
        <w:t>Definitive Additional Materials</w:t>
      </w:r>
    </w:p>
    <w:p>
      <w:pPr>
        <w:spacing w:after="0" w:line="42" w:lineRule="exact"/>
        <w:rPr>
          <w:rFonts w:ascii="MS PGothic" w:cs="MS PGothic" w:eastAsia="MS PGothic" w:hAnsi="MS PGothic"/>
          <w:sz w:val="33"/>
          <w:szCs w:val="33"/>
          <w:color w:val="auto"/>
          <w:vertAlign w:val="subscript"/>
        </w:rPr>
      </w:pPr>
    </w:p>
    <w:p>
      <w:pPr>
        <w:ind w:left="660" w:hanging="655"/>
        <w:spacing w:after="0" w:line="184" w:lineRule="auto"/>
        <w:tabs>
          <w:tab w:leader="none" w:pos="660" w:val="left"/>
        </w:tabs>
        <w:numPr>
          <w:ilvl w:val="0"/>
          <w:numId w:val="3"/>
        </w:numPr>
        <w:rPr>
          <w:rFonts w:ascii="MS PGothic" w:cs="MS PGothic" w:eastAsia="MS PGothic" w:hAnsi="MS PGothic"/>
          <w:sz w:val="27"/>
          <w:szCs w:val="27"/>
          <w:color w:val="auto"/>
          <w:vertAlign w:val="subscript"/>
        </w:rPr>
      </w:pPr>
      <w:r>
        <w:rPr>
          <w:rFonts w:ascii="Arial" w:cs="Arial" w:eastAsia="Arial" w:hAnsi="Arial"/>
          <w:sz w:val="14"/>
          <w:szCs w:val="14"/>
          <w:color w:val="auto"/>
        </w:rPr>
        <w:t>Soliciting Material Pursuant to § 240.14a-12</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w:t>
      </w:r>
      <w:r>
        <w:rPr>
          <w:rFonts w:ascii="Arial" w:cs="Arial" w:eastAsia="Arial" w:hAnsi="Arial"/>
          <w:sz w:val="17"/>
          <w:szCs w:val="17"/>
          <w:b w:val="1"/>
          <w:bCs w:val="1"/>
          <w:color w:val="auto"/>
        </w:rPr>
        <w:t>OMP</w:t>
      </w:r>
      <w:r>
        <w:rPr>
          <w:rFonts w:ascii="Arial" w:cs="Arial" w:eastAsia="Arial" w:hAnsi="Arial"/>
          <w:sz w:val="24"/>
          <w:szCs w:val="24"/>
          <w:b w:val="1"/>
          <w:bCs w:val="1"/>
          <w:color w:val="auto"/>
        </w:rPr>
        <w:t>X I</w:t>
      </w:r>
      <w:r>
        <w:rPr>
          <w:rFonts w:ascii="Arial" w:cs="Arial" w:eastAsia="Arial" w:hAnsi="Arial"/>
          <w:sz w:val="17"/>
          <w:szCs w:val="17"/>
          <w:b w:val="1"/>
          <w:bCs w:val="1"/>
          <w:color w:val="auto"/>
        </w:rPr>
        <w:t>NTERNATIONAL</w:t>
      </w:r>
      <w:r>
        <w:rPr>
          <w:rFonts w:ascii="Arial" w:cs="Arial" w:eastAsia="Arial" w:hAnsi="Arial"/>
          <w:sz w:val="24"/>
          <w:szCs w:val="24"/>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4"/>
          <w:szCs w:val="24"/>
          <w:b w:val="1"/>
          <w:bCs w:val="1"/>
          <w:color w:val="auto"/>
        </w:rPr>
        <w: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(Name of Registrant as Specified in Its Charter)</w:t>
      </w:r>
    </w:p>
    <w:p>
      <w:pPr>
        <w:spacing w:after="0" w:line="318" w:lineRule="exact"/>
        <w:rPr>
          <w:sz w:val="24"/>
          <w:szCs w:val="24"/>
          <w:color w:val="auto"/>
        </w:rPr>
      </w:pPr>
    </w:p>
    <w:p>
      <w:pPr>
        <w:ind w:left="2580"/>
        <w:spacing w:after="0"/>
        <w:rPr>
          <w:sz w:val="20"/>
          <w:szCs w:val="20"/>
          <w:color w:val="auto"/>
        </w:rPr>
      </w:pPr>
      <w:r>
        <w:rPr>
          <w:rFonts w:ascii="Arial" w:cs="Arial" w:eastAsia="Arial" w:hAnsi="Arial"/>
          <w:sz w:val="21"/>
          <w:szCs w:val="21"/>
          <w:color w:val="auto"/>
        </w:rPr>
        <w:t>(Name of Person(s) Filing Proxy Statement, if other than the Registrant)</w:t>
      </w:r>
    </w:p>
    <w:p>
      <w:pPr>
        <w:spacing w:after="0" w:line="100" w:lineRule="exact"/>
        <w:rPr>
          <w:sz w:val="24"/>
          <w:szCs w:val="24"/>
          <w:color w:val="auto"/>
        </w:rPr>
      </w:pPr>
    </w:p>
    <w:p>
      <w:pPr>
        <w:spacing w:after="0"/>
        <w:rPr>
          <w:sz w:val="20"/>
          <w:szCs w:val="20"/>
          <w:color w:val="auto"/>
        </w:rPr>
      </w:pPr>
      <w:r>
        <w:rPr>
          <w:rFonts w:ascii="Arial" w:cs="Arial" w:eastAsia="Arial" w:hAnsi="Arial"/>
          <w:sz w:val="21"/>
          <w:szCs w:val="21"/>
          <w:color w:val="auto"/>
        </w:rPr>
        <w:t>Payment of Filing Fee (Check the appropriate box):</w:t>
      </w:r>
    </w:p>
    <w:p>
      <w:pPr>
        <w:ind w:left="640" w:hanging="635"/>
        <w:spacing w:after="0" w:line="189" w:lineRule="auto"/>
        <w:tabs>
          <w:tab w:leader="none" w:pos="640" w:val="left"/>
        </w:tabs>
        <w:numPr>
          <w:ilvl w:val="0"/>
          <w:numId w:val="4"/>
        </w:numPr>
        <w:rPr>
          <w:rFonts w:ascii="MS PGothic" w:cs="MS PGothic" w:eastAsia="MS PGothic" w:hAnsi="MS PGothic"/>
          <w:sz w:val="42"/>
          <w:szCs w:val="42"/>
          <w:color w:val="auto"/>
          <w:vertAlign w:val="subscript"/>
        </w:rPr>
      </w:pPr>
      <w:r>
        <w:rPr>
          <w:rFonts w:ascii="Arial" w:cs="Arial" w:eastAsia="Arial" w:hAnsi="Arial"/>
          <w:sz w:val="18"/>
          <w:szCs w:val="18"/>
          <w:color w:val="auto"/>
        </w:rPr>
        <w:t>No fee required.</w:t>
      </w:r>
    </w:p>
    <w:p>
      <w:pPr>
        <w:ind w:left="640" w:hanging="635"/>
        <w:spacing w:after="0" w:line="354" w:lineRule="exact"/>
        <w:tabs>
          <w:tab w:leader="none" w:pos="640" w:val="left"/>
        </w:tabs>
        <w:numPr>
          <w:ilvl w:val="0"/>
          <w:numId w:val="5"/>
        </w:numPr>
        <w:rPr>
          <w:rFonts w:ascii="MS PGothic" w:cs="MS PGothic" w:eastAsia="MS PGothic" w:hAnsi="MS PGothic"/>
          <w:sz w:val="42"/>
          <w:szCs w:val="42"/>
          <w:color w:val="auto"/>
          <w:vertAlign w:val="subscript"/>
        </w:rPr>
      </w:pPr>
      <w:r>
        <w:rPr>
          <w:rFonts w:ascii="Arial" w:cs="Arial" w:eastAsia="Arial" w:hAnsi="Arial"/>
          <w:sz w:val="18"/>
          <w:szCs w:val="18"/>
          <w:color w:val="auto"/>
        </w:rPr>
        <w:t>Fee computed on table below per Exchange Act Rules 14a-6(i)(1)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33" w:lineRule="exact"/>
        <w:rPr>
          <w:rFonts w:ascii="MS PGothic" w:cs="MS PGothic" w:eastAsia="MS PGothic" w:hAnsi="MS PGothic"/>
          <w:sz w:val="42"/>
          <w:szCs w:val="42"/>
          <w:color w:val="auto"/>
          <w:vertAlign w:val="subscript"/>
        </w:rPr>
      </w:pPr>
    </w:p>
    <w:p>
      <w:pPr>
        <w:ind w:left="1260" w:hanging="62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1260" w:hanging="62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1260" w:hanging="625"/>
        <w:spacing w:after="0" w:line="216" w:lineRule="exact"/>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1260" w:hanging="62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1260" w:hanging="62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2" w:lineRule="exact"/>
        <w:rPr>
          <w:rFonts w:ascii="Arial" w:cs="Arial" w:eastAsia="Arial" w:hAnsi="Arial"/>
          <w:sz w:val="18"/>
          <w:szCs w:val="18"/>
          <w:color w:val="auto"/>
        </w:rPr>
      </w:pPr>
    </w:p>
    <w:p>
      <w:pPr>
        <w:ind w:left="640" w:hanging="635"/>
        <w:spacing w:after="0"/>
        <w:tabs>
          <w:tab w:leader="none" w:pos="640" w:val="left"/>
        </w:tabs>
        <w:numPr>
          <w:ilvl w:val="0"/>
          <w:numId w:val="5"/>
        </w:numPr>
        <w:rPr>
          <w:rFonts w:ascii="MS PGothic" w:cs="MS PGothic" w:eastAsia="MS PGothic" w:hAnsi="MS PGothic"/>
          <w:sz w:val="42"/>
          <w:szCs w:val="42"/>
          <w:color w:val="auto"/>
          <w:vertAlign w:val="subscript"/>
        </w:rPr>
      </w:pPr>
      <w:r>
        <w:rPr>
          <w:rFonts w:ascii="Arial" w:cs="Arial" w:eastAsia="Arial" w:hAnsi="Arial"/>
          <w:sz w:val="18"/>
          <w:szCs w:val="18"/>
          <w:color w:val="auto"/>
        </w:rPr>
        <w:t>Fee paid previously with preliminary materials.</w:t>
      </w:r>
    </w:p>
    <w:p>
      <w:pPr>
        <w:spacing w:after="0" w:line="132" w:lineRule="exact"/>
        <w:rPr>
          <w:rFonts w:ascii="MS PGothic" w:cs="MS PGothic" w:eastAsia="MS PGothic" w:hAnsi="MS PGothic"/>
          <w:sz w:val="42"/>
          <w:szCs w:val="42"/>
          <w:color w:val="auto"/>
          <w:vertAlign w:val="subscript"/>
        </w:rPr>
      </w:pPr>
    </w:p>
    <w:p>
      <w:pPr>
        <w:ind w:left="640" w:hanging="635"/>
        <w:spacing w:after="0" w:line="183" w:lineRule="auto"/>
        <w:tabs>
          <w:tab w:leader="none" w:pos="640" w:val="left"/>
        </w:tabs>
        <w:numPr>
          <w:ilvl w:val="0"/>
          <w:numId w:val="5"/>
        </w:numPr>
        <w:rPr>
          <w:rFonts w:ascii="MS PGothic" w:cs="MS PGothic" w:eastAsia="MS PGothic" w:hAnsi="MS PGothic"/>
          <w:sz w:val="38"/>
          <w:szCs w:val="38"/>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5" w:lineRule="exact"/>
        <w:rPr>
          <w:rFonts w:ascii="MS PGothic" w:cs="MS PGothic" w:eastAsia="MS PGothic" w:hAnsi="MS PGothic"/>
          <w:sz w:val="38"/>
          <w:szCs w:val="38"/>
          <w:color w:val="auto"/>
          <w:vertAlign w:val="subscript"/>
        </w:rPr>
      </w:pPr>
    </w:p>
    <w:p>
      <w:pPr>
        <w:ind w:left="1260" w:hanging="62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1260" w:hanging="62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1260" w:hanging="625"/>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ectPr>
          <w:pgSz w:w="11900" w:h="16838" w:orient="portrait"/>
          <w:cols w:equalWidth="0" w:num="1">
            <w:col w:w="11240"/>
          </w:cols>
          <w:pgMar w:left="320" w:top="212" w:right="339" w:bottom="1440" w:gutter="0" w:footer="0" w:header="0"/>
        </w:sectPr>
      </w:pPr>
    </w:p>
    <w:p>
      <w:pPr>
        <w:spacing w:after="0" w:line="200" w:lineRule="exact"/>
        <w:rPr>
          <w:sz w:val="24"/>
          <w:szCs w:val="24"/>
          <w:color w:val="auto"/>
        </w:rPr>
      </w:pPr>
    </w:p>
    <w:p>
      <w:pPr>
        <w:spacing w:after="0" w:line="381" w:lineRule="exact"/>
        <w:rPr>
          <w:sz w:val="24"/>
          <w:szCs w:val="24"/>
          <w:color w:val="auto"/>
        </w:rPr>
      </w:pPr>
    </w:p>
    <w:p>
      <w:pPr>
        <w:ind w:left="1260" w:hanging="62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3057525</wp:posOffset>
            </wp:positionH>
            <wp:positionV relativeFrom="page">
              <wp:posOffset>238760</wp:posOffset>
            </wp:positionV>
            <wp:extent cx="1433830" cy="400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33830" cy="400050"/>
                    </a:xfrm>
                    <a:prstGeom prst="rect">
                      <a:avLst/>
                    </a:prstGeom>
                    <a:noFill/>
                  </pic:spPr>
                </pic:pic>
              </a:graphicData>
            </a:graphic>
          </wp:anchor>
        </w:drawing>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4"/>
          <w:szCs w:val="14"/>
          <w:b w:val="1"/>
          <w:bCs w:val="1"/>
          <w:color w:val="auto"/>
        </w:rPr>
        <w:t>HREE</w:t>
      </w:r>
      <w:r>
        <w:rPr>
          <w:rFonts w:ascii="Arial" w:cs="Arial" w:eastAsia="Arial" w:hAnsi="Arial"/>
          <w:sz w:val="21"/>
          <w:szCs w:val="21"/>
          <w:b w:val="1"/>
          <w:bCs w:val="1"/>
          <w:color w:val="auto"/>
        </w:rPr>
        <w:t xml:space="preserve"> L</w:t>
      </w:r>
      <w:r>
        <w:rPr>
          <w:rFonts w:ascii="Arial" w:cs="Arial" w:eastAsia="Arial" w:hAnsi="Arial"/>
          <w:sz w:val="14"/>
          <w:szCs w:val="14"/>
          <w:b w:val="1"/>
          <w:bCs w:val="1"/>
          <w:color w:val="auto"/>
        </w:rPr>
        <w:t>INCOLN</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ENTRE</w:t>
      </w:r>
    </w:p>
    <w:p>
      <w:pPr>
        <w:jc w:val="center"/>
        <w:ind w:right="-39"/>
        <w:spacing w:after="0" w:line="234" w:lineRule="auto"/>
        <w:rPr>
          <w:sz w:val="20"/>
          <w:szCs w:val="20"/>
          <w:color w:val="auto"/>
        </w:rPr>
      </w:pPr>
      <w:r>
        <w:rPr>
          <w:rFonts w:ascii="Arial" w:cs="Arial" w:eastAsia="Arial" w:hAnsi="Arial"/>
          <w:sz w:val="21"/>
          <w:szCs w:val="21"/>
          <w:b w:val="1"/>
          <w:bCs w:val="1"/>
          <w:color w:val="auto"/>
        </w:rPr>
        <w:t>5430 LBJ F</w:t>
      </w:r>
      <w:r>
        <w:rPr>
          <w:rFonts w:ascii="Arial" w:cs="Arial" w:eastAsia="Arial" w:hAnsi="Arial"/>
          <w:sz w:val="14"/>
          <w:szCs w:val="14"/>
          <w:b w:val="1"/>
          <w:bCs w:val="1"/>
          <w:color w:val="auto"/>
        </w:rPr>
        <w:t>REEWAY</w:t>
      </w:r>
      <w:r>
        <w:rPr>
          <w:rFonts w:ascii="Arial" w:cs="Arial" w:eastAsia="Arial" w:hAnsi="Arial"/>
          <w:sz w:val="21"/>
          <w:szCs w:val="21"/>
          <w:b w:val="1"/>
          <w:bCs w:val="1"/>
          <w:color w:val="auto"/>
        </w:rPr>
        <w:t>, S</w:t>
      </w:r>
      <w:r>
        <w:rPr>
          <w:rFonts w:ascii="Arial" w:cs="Arial" w:eastAsia="Arial" w:hAnsi="Arial"/>
          <w:sz w:val="14"/>
          <w:szCs w:val="14"/>
          <w:b w:val="1"/>
          <w:bCs w:val="1"/>
          <w:color w:val="auto"/>
        </w:rPr>
        <w:t>UITE</w:t>
      </w:r>
      <w:r>
        <w:rPr>
          <w:rFonts w:ascii="Arial" w:cs="Arial" w:eastAsia="Arial" w:hAnsi="Arial"/>
          <w:sz w:val="21"/>
          <w:szCs w:val="21"/>
          <w:b w:val="1"/>
          <w:bCs w:val="1"/>
          <w:color w:val="auto"/>
        </w:rPr>
        <w:t xml:space="preserve"> 1700</w:t>
      </w:r>
    </w:p>
    <w:p>
      <w:pPr>
        <w:spacing w:after="0" w:line="1" w:lineRule="exact"/>
        <w:rPr>
          <w:sz w:val="20"/>
          <w:szCs w:val="20"/>
          <w:color w:val="auto"/>
        </w:rPr>
      </w:pPr>
    </w:p>
    <w:p>
      <w:pPr>
        <w:jc w:val="center"/>
        <w:ind w:right="-39"/>
        <w:spacing w:after="0" w:line="242" w:lineRule="exact"/>
        <w:rPr>
          <w:sz w:val="20"/>
          <w:szCs w:val="20"/>
          <w:color w:val="auto"/>
        </w:rPr>
      </w:pPr>
      <w:r>
        <w:rPr>
          <w:rFonts w:ascii="Arial" w:cs="Arial" w:eastAsia="Arial" w:hAnsi="Arial"/>
          <w:sz w:val="21"/>
          <w:szCs w:val="21"/>
          <w:b w:val="1"/>
          <w:bCs w:val="1"/>
          <w:color w:val="auto"/>
        </w:rPr>
        <w:t>D</w:t>
      </w:r>
      <w:r>
        <w:rPr>
          <w:rFonts w:ascii="Arial" w:cs="Arial" w:eastAsia="Arial" w:hAnsi="Arial"/>
          <w:sz w:val="14"/>
          <w:szCs w:val="14"/>
          <w:b w:val="1"/>
          <w:bCs w:val="1"/>
          <w:color w:val="auto"/>
        </w:rPr>
        <w:t>ALLAS</w:t>
      </w:r>
      <w:r>
        <w:rPr>
          <w:rFonts w:ascii="Arial" w:cs="Arial" w:eastAsia="Arial" w:hAnsi="Arial"/>
          <w:sz w:val="21"/>
          <w:szCs w:val="21"/>
          <w:b w:val="1"/>
          <w:bCs w:val="1"/>
          <w:color w:val="auto"/>
        </w:rPr>
        <w:t>, T</w:t>
      </w:r>
      <w:r>
        <w:rPr>
          <w:rFonts w:ascii="Arial" w:cs="Arial" w:eastAsia="Arial" w:hAnsi="Arial"/>
          <w:sz w:val="14"/>
          <w:szCs w:val="14"/>
          <w:b w:val="1"/>
          <w:bCs w:val="1"/>
          <w:color w:val="auto"/>
        </w:rPr>
        <w:t>EXAS</w:t>
      </w:r>
      <w:r>
        <w:rPr>
          <w:rFonts w:ascii="Arial" w:cs="Arial" w:eastAsia="Arial" w:hAnsi="Arial"/>
          <w:sz w:val="21"/>
          <w:szCs w:val="21"/>
          <w:b w:val="1"/>
          <w:bCs w:val="1"/>
          <w:color w:val="auto"/>
        </w:rPr>
        <w:t xml:space="preserve"> 75240</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2620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April 13, 2021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color w:val="auto"/>
        </w:rPr>
        <w:t>To Our Stockholders:</w:t>
      </w:r>
    </w:p>
    <w:p>
      <w:pPr>
        <w:spacing w:after="0" w:line="231" w:lineRule="exact"/>
        <w:rPr>
          <w:sz w:val="20"/>
          <w:szCs w:val="20"/>
          <w:color w:val="auto"/>
        </w:rPr>
      </w:pPr>
    </w:p>
    <w:p>
      <w:pPr>
        <w:ind w:right="120" w:firstLine="630"/>
        <w:spacing w:after="0" w:line="243" w:lineRule="auto"/>
        <w:rPr>
          <w:sz w:val="20"/>
          <w:szCs w:val="20"/>
          <w:color w:val="auto"/>
        </w:rPr>
      </w:pPr>
      <w:r>
        <w:rPr>
          <w:rFonts w:ascii="Arial" w:cs="Arial" w:eastAsia="Arial" w:hAnsi="Arial"/>
          <w:sz w:val="21"/>
          <w:szCs w:val="21"/>
          <w:color w:val="auto"/>
        </w:rPr>
        <w:t>You are cordially invited to attend the 2021 annual meeting of stockholders of CompX International Inc., which will be held on Wednesday, May 26, 2021, at 10:00 a.m., local time, at Three Lincoln Centre Conference Center, 5430 LBJ Freeway, Suite 350, Dallas, Texas 75240-2620. The matters to be acted upon at the meeting are described in the attached notice of annual meeting of stockholders and proxy statement.</w:t>
      </w:r>
    </w:p>
    <w:p>
      <w:pPr>
        <w:spacing w:after="0" w:line="177" w:lineRule="exact"/>
        <w:rPr>
          <w:sz w:val="20"/>
          <w:szCs w:val="20"/>
          <w:color w:val="auto"/>
        </w:rPr>
      </w:pPr>
    </w:p>
    <w:p>
      <w:pPr>
        <w:ind w:firstLine="630"/>
        <w:spacing w:after="0" w:line="286" w:lineRule="auto"/>
        <w:rPr>
          <w:sz w:val="20"/>
          <w:szCs w:val="20"/>
          <w:color w:val="auto"/>
        </w:rPr>
      </w:pPr>
      <w:r>
        <w:rPr>
          <w:rFonts w:ascii="Arial" w:cs="Arial" w:eastAsia="Arial" w:hAnsi="Arial"/>
          <w:sz w:val="19"/>
          <w:szCs w:val="19"/>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38"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160655</wp:posOffset>
            </wp:positionV>
            <wp:extent cx="2059305" cy="541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9305" cy="54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Loretta J. Feehan</w:t>
      </w:r>
    </w:p>
    <w:p>
      <w:pPr>
        <w:spacing w:after="0" w:line="13" w:lineRule="exact"/>
        <w:rPr>
          <w:sz w:val="20"/>
          <w:szCs w:val="20"/>
          <w:color w:val="auto"/>
        </w:rPr>
      </w:pPr>
    </w:p>
    <w:p>
      <w:pPr>
        <w:ind w:left="4420"/>
        <w:spacing w:after="0"/>
        <w:rPr>
          <w:sz w:val="20"/>
          <w:szCs w:val="20"/>
          <w:color w:val="auto"/>
        </w:rPr>
      </w:pPr>
      <w:r>
        <w:rPr>
          <w:rFonts w:ascii="Arial" w:cs="Arial" w:eastAsia="Arial" w:hAnsi="Arial"/>
          <w:sz w:val="21"/>
          <w:szCs w:val="21"/>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149225</wp:posOffset>
            </wp:positionV>
            <wp:extent cx="130048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04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Scott C. James</w:t>
      </w:r>
    </w:p>
    <w:p>
      <w:pPr>
        <w:spacing w:after="0" w:line="13" w:lineRule="exact"/>
        <w:rPr>
          <w:sz w:val="20"/>
          <w:szCs w:val="20"/>
          <w:color w:val="auto"/>
        </w:rPr>
      </w:pPr>
    </w:p>
    <w:p>
      <w:pPr>
        <w:ind w:left="4420"/>
        <w:spacing w:after="0"/>
        <w:rPr>
          <w:sz w:val="20"/>
          <w:szCs w:val="20"/>
          <w:color w:val="auto"/>
        </w:rPr>
      </w:pPr>
      <w:r>
        <w:rPr>
          <w:rFonts w:ascii="Arial" w:cs="Arial" w:eastAsia="Arial" w:hAnsi="Arial"/>
          <w:sz w:val="21"/>
          <w:szCs w:val="21"/>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13613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Three Lincoln Centre</w:t>
      </w:r>
    </w:p>
    <w:p>
      <w:pPr>
        <w:jc w:val="center"/>
        <w:ind w:right="-19"/>
        <w:spacing w:after="0" w:line="234" w:lineRule="auto"/>
        <w:rPr>
          <w:sz w:val="20"/>
          <w:szCs w:val="20"/>
          <w:color w:val="auto"/>
        </w:rPr>
      </w:pPr>
      <w:r>
        <w:rPr>
          <w:rFonts w:ascii="Arial" w:cs="Arial" w:eastAsia="Arial" w:hAnsi="Arial"/>
          <w:sz w:val="21"/>
          <w:szCs w:val="21"/>
          <w:b w:val="1"/>
          <w:bCs w:val="1"/>
          <w:color w:val="auto"/>
        </w:rPr>
        <w:t>5430 LBJ Freeway, Suite 1700</w:t>
      </w:r>
    </w:p>
    <w:p>
      <w:pPr>
        <w:spacing w:after="0" w:line="1" w:lineRule="exact"/>
        <w:rPr>
          <w:sz w:val="20"/>
          <w:szCs w:val="20"/>
          <w:color w:val="auto"/>
        </w:rPr>
      </w:pPr>
    </w:p>
    <w:p>
      <w:pPr>
        <w:jc w:val="center"/>
        <w:ind w:right="-19"/>
        <w:spacing w:after="0" w:line="242" w:lineRule="exact"/>
        <w:rPr>
          <w:sz w:val="20"/>
          <w:szCs w:val="20"/>
          <w:color w:val="auto"/>
        </w:rPr>
      </w:pPr>
      <w:r>
        <w:rPr>
          <w:rFonts w:ascii="Arial" w:cs="Arial" w:eastAsia="Arial" w:hAnsi="Arial"/>
          <w:sz w:val="21"/>
          <w:szCs w:val="21"/>
          <w:b w:val="1"/>
          <w:bCs w:val="1"/>
          <w:color w:val="auto"/>
        </w:rPr>
        <w:t>Dallas, Texas 75240</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2620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To Be Held May 26, 2021</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To the Stockholders of CompX International Inc.:</w:t>
      </w:r>
    </w:p>
    <w:p>
      <w:pPr>
        <w:spacing w:after="0" w:line="205" w:lineRule="exact"/>
        <w:rPr>
          <w:sz w:val="20"/>
          <w:szCs w:val="20"/>
          <w:color w:val="auto"/>
        </w:rPr>
      </w:pPr>
    </w:p>
    <w:p>
      <w:pPr>
        <w:ind w:right="280" w:firstLine="630"/>
        <w:spacing w:after="0" w:line="247" w:lineRule="auto"/>
        <w:rPr>
          <w:sz w:val="20"/>
          <w:szCs w:val="20"/>
          <w:color w:val="auto"/>
        </w:rPr>
      </w:pPr>
      <w:r>
        <w:rPr>
          <w:rFonts w:ascii="Arial" w:cs="Arial" w:eastAsia="Arial" w:hAnsi="Arial"/>
          <w:sz w:val="21"/>
          <w:szCs w:val="21"/>
          <w:color w:val="auto"/>
        </w:rPr>
        <w:t>The 2021 annual meeting of stockholders of CompX International Inc. will be held on Wednesday, May 26, 2021, at 10:00 a.m., local time, at Three Lincoln Centre Conference Center, 5430 LBJ Freeway, Suite 350, Dallas, Texas 75240-2620, for the following purposes:</w:t>
      </w:r>
    </w:p>
    <w:p>
      <w:pPr>
        <w:spacing w:after="0" w:line="182" w:lineRule="exact"/>
        <w:rPr>
          <w:sz w:val="20"/>
          <w:szCs w:val="20"/>
          <w:color w:val="auto"/>
        </w:rPr>
      </w:pPr>
    </w:p>
    <w:p>
      <w:pPr>
        <w:ind w:left="1260" w:hanging="625"/>
        <w:spacing w:after="0"/>
        <w:tabs>
          <w:tab w:leader="none" w:pos="12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elect the seven director nominees named in the proxy statement to serve until the 2022 annual meeting of stockholders;</w:t>
      </w:r>
    </w:p>
    <w:p>
      <w:pPr>
        <w:spacing w:after="0" w:line="108" w:lineRule="exact"/>
        <w:rPr>
          <w:rFonts w:ascii="Arial" w:cs="Arial" w:eastAsia="Arial" w:hAnsi="Arial"/>
          <w:sz w:val="18"/>
          <w:szCs w:val="18"/>
          <w:b w:val="1"/>
          <w:bCs w:val="1"/>
          <w:color w:val="auto"/>
        </w:rPr>
      </w:pPr>
    </w:p>
    <w:p>
      <w:pPr>
        <w:ind w:left="1260" w:hanging="625"/>
        <w:spacing w:after="0"/>
        <w:tabs>
          <w:tab w:leader="none" w:pos="12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approve, on a nonbinding advisory basis, our named executive officer compensation; and</w:t>
      </w:r>
    </w:p>
    <w:p>
      <w:pPr>
        <w:spacing w:after="0" w:line="108" w:lineRule="exact"/>
        <w:rPr>
          <w:rFonts w:ascii="Arial" w:cs="Arial" w:eastAsia="Arial" w:hAnsi="Arial"/>
          <w:sz w:val="18"/>
          <w:szCs w:val="18"/>
          <w:b w:val="1"/>
          <w:bCs w:val="1"/>
          <w:color w:val="auto"/>
        </w:rPr>
      </w:pPr>
    </w:p>
    <w:p>
      <w:pPr>
        <w:ind w:left="1260" w:hanging="625"/>
        <w:spacing w:after="0"/>
        <w:tabs>
          <w:tab w:leader="none" w:pos="12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99" w:lineRule="exact"/>
        <w:rPr>
          <w:sz w:val="20"/>
          <w:szCs w:val="20"/>
          <w:color w:val="auto"/>
        </w:rPr>
      </w:pPr>
    </w:p>
    <w:p>
      <w:pPr>
        <w:ind w:right="540" w:firstLine="630"/>
        <w:spacing w:after="0" w:line="277" w:lineRule="auto"/>
        <w:rPr>
          <w:sz w:val="20"/>
          <w:szCs w:val="20"/>
          <w:color w:val="auto"/>
        </w:rPr>
      </w:pPr>
      <w:r>
        <w:rPr>
          <w:rFonts w:ascii="Arial" w:cs="Arial" w:eastAsia="Arial" w:hAnsi="Arial"/>
          <w:sz w:val="19"/>
          <w:szCs w:val="19"/>
          <w:color w:val="auto"/>
        </w:rPr>
        <w:t>The close of business on March 31, 2021, has been set as the record date for the meeting. Only holders of our class A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47" w:lineRule="exact"/>
        <w:rPr>
          <w:sz w:val="20"/>
          <w:szCs w:val="20"/>
          <w:color w:val="auto"/>
        </w:rPr>
      </w:pPr>
    </w:p>
    <w:p>
      <w:pPr>
        <w:ind w:firstLine="630"/>
        <w:spacing w:after="0" w:line="247" w:lineRule="auto"/>
        <w:rPr>
          <w:sz w:val="20"/>
          <w:szCs w:val="20"/>
          <w:color w:val="auto"/>
        </w:rPr>
      </w:pPr>
      <w:r>
        <w:rPr>
          <w:rFonts w:ascii="Arial" w:cs="Arial" w:eastAsia="Arial" w:hAnsi="Arial"/>
          <w:sz w:val="21"/>
          <w:szCs w:val="21"/>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10160</wp:posOffset>
            </wp:positionV>
            <wp:extent cx="1267460"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74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 xml:space="preserve">Jane R. Grimm, </w:t>
      </w:r>
      <w:r>
        <w:rPr>
          <w:rFonts w:ascii="Arial" w:cs="Arial" w:eastAsia="Arial" w:hAnsi="Arial"/>
          <w:sz w:val="21"/>
          <w:szCs w:val="21"/>
          <w:i w:val="1"/>
          <w:iCs w:val="1"/>
          <w:color w:val="auto"/>
        </w:rPr>
        <w:t>Secretary</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Dallas, Texas</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April 13, 2021</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Annual Stockholder Meeting to Be Held on May 26, 2021.</w:t>
      </w:r>
    </w:p>
    <w:p>
      <w:pPr>
        <w:spacing w:after="0" w:line="207" w:lineRule="exact"/>
        <w:rPr>
          <w:sz w:val="20"/>
          <w:szCs w:val="20"/>
          <w:color w:val="auto"/>
        </w:rPr>
      </w:pPr>
    </w:p>
    <w:p>
      <w:pPr>
        <w:jc w:val="center"/>
        <w:ind w:left="340" w:right="840"/>
        <w:spacing w:after="0" w:line="254" w:lineRule="exact"/>
        <w:rPr>
          <w:sz w:val="20"/>
          <w:szCs w:val="20"/>
          <w:color w:val="auto"/>
        </w:rPr>
      </w:pPr>
      <w:r>
        <w:rPr>
          <w:rFonts w:ascii="Arial" w:cs="Arial" w:eastAsia="Arial" w:hAnsi="Arial"/>
          <w:sz w:val="19"/>
          <w:szCs w:val="19"/>
          <w:b w:val="1"/>
          <w:bCs w:val="1"/>
          <w:color w:val="auto"/>
        </w:rPr>
        <w:t>The proxy statement and annual report to stockholders (including CompX’s Annual Report on Form 10</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K for the fiscal year ended December 31, 2020) are available at </w:t>
      </w:r>
      <w:r>
        <w:rPr>
          <w:rFonts w:ascii="Arial" w:cs="Arial" w:eastAsia="Arial" w:hAnsi="Arial"/>
          <w:sz w:val="19"/>
          <w:szCs w:val="19"/>
          <w:b w:val="1"/>
          <w:bCs w:val="1"/>
          <w:i w:val="1"/>
          <w:iCs w:val="1"/>
          <w:color w:val="auto"/>
        </w:rPr>
        <w:t>www.viewproxy.com/CompX/2021</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361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0"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Page</w:t>
      </w:r>
    </w:p>
    <w:p>
      <w:pPr>
        <w:spacing w:after="0" w:line="8" w:lineRule="exact"/>
        <w:rPr>
          <w:sz w:val="20"/>
          <w:szCs w:val="20"/>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line="234"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GLOSSARY OF TERMS</w:t>
        </w:r>
      </w:hyperlink>
    </w:p>
    <w:p>
      <w:pPr>
        <w:spacing w:after="0" w:line="235" w:lineRule="auto"/>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GENERAL INFORMATION</w:t>
        </w:r>
      </w:hyperlink>
    </w:p>
    <w:p>
      <w:pPr>
        <w:spacing w:after="0" w:line="1" w:lineRule="exact"/>
        <w:rPr>
          <w:sz w:val="20"/>
          <w:szCs w:val="20"/>
          <w:color w:val="auto"/>
        </w:rPr>
      </w:pPr>
    </w:p>
    <w:p>
      <w:pPr>
        <w:ind w:right="5340"/>
        <w:spacing w:after="0" w:line="234" w:lineRule="auto"/>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QUESTIONS AND ANSWERS ABOUT THE ANNUAL MEETING</w:t>
        </w:r>
      </w:hyperlink>
      <w:r>
        <w:rPr>
          <w:rFonts w:ascii="Arial" w:cs="Arial" w:eastAsia="Arial" w:hAnsi="Arial"/>
          <w:sz w:val="21"/>
          <w:szCs w:val="21"/>
          <w:u w:val="single" w:color="auto"/>
          <w:color w:val="0000EE"/>
        </w:rPr>
        <w:t xml:space="preserve"> </w:t>
      </w:r>
      <w:hyperlink w:anchor="page10">
        <w:r>
          <w:rPr>
            <w:rFonts w:ascii="Arial" w:cs="Arial" w:eastAsia="Arial" w:hAnsi="Arial"/>
            <w:sz w:val="21"/>
            <w:szCs w:val="21"/>
            <w:u w:val="single" w:color="auto"/>
            <w:color w:val="0000EE"/>
          </w:rPr>
          <w:t>CONTROLLING STOCKHOLDER</w:t>
        </w:r>
      </w:hyperlink>
      <w:r>
        <w:rPr>
          <w:rFonts w:ascii="Arial" w:cs="Arial" w:eastAsia="Arial" w:hAnsi="Arial"/>
          <w:sz w:val="21"/>
          <w:szCs w:val="21"/>
          <w:u w:val="single" w:color="auto"/>
          <w:color w:val="0000EE"/>
        </w:rPr>
        <w:t xml:space="preserve"> </w:t>
      </w:r>
      <w:hyperlink w:anchor="page10">
        <w:r>
          <w:rPr>
            <w:rFonts w:ascii="Arial" w:cs="Arial" w:eastAsia="Arial" w:hAnsi="Arial"/>
            <w:sz w:val="21"/>
            <w:szCs w:val="21"/>
            <w:u w:val="single" w:color="auto"/>
            <w:color w:val="0000EE"/>
          </w:rPr>
          <w:t>SECURITY OWNERSHIP</w:t>
        </w:r>
      </w:hyperlink>
    </w:p>
    <w:p>
      <w:pPr>
        <w:ind w:left="640"/>
        <w:spacing w:after="0" w:line="237" w:lineRule="auto"/>
        <w:rPr>
          <w:sz w:val="20"/>
          <w:szCs w:val="20"/>
          <w:color w:val="auto"/>
        </w:rPr>
      </w:pPr>
      <w:r>
        <w:rPr>
          <w:rFonts w:ascii="Arial" w:cs="Arial" w:eastAsia="Arial" w:hAnsi="Arial"/>
          <w:sz w:val="21"/>
          <w:szCs w:val="21"/>
          <w:color w:val="auto"/>
        </w:rPr>
        <w:t>Ownership of CompX</w:t>
      </w:r>
    </w:p>
    <w:p>
      <w:pPr>
        <w:ind w:left="640"/>
        <w:spacing w:after="0" w:line="235" w:lineRule="auto"/>
        <w:rPr>
          <w:sz w:val="20"/>
          <w:szCs w:val="20"/>
          <w:color w:val="auto"/>
        </w:rPr>
      </w:pPr>
      <w:r>
        <w:rPr>
          <w:rFonts w:ascii="Arial" w:cs="Arial" w:eastAsia="Arial" w:hAnsi="Arial"/>
          <w:sz w:val="21"/>
          <w:szCs w:val="21"/>
          <w:color w:val="auto"/>
        </w:rPr>
        <w:t>Ownership of Related Companies</w:t>
      </w:r>
    </w:p>
    <w:p>
      <w:pPr>
        <w:spacing w:after="0"/>
        <w:tabs>
          <w:tab w:leader="none" w:pos="1480" w:val="left"/>
        </w:tabs>
        <w:rPr>
          <w:rFonts w:ascii="Arial" w:cs="Arial" w:eastAsia="Arial" w:hAnsi="Arial"/>
          <w:sz w:val="19"/>
          <w:szCs w:val="19"/>
          <w:u w:val="single" w:color="auto"/>
          <w:color w:val="0000EE"/>
        </w:rPr>
      </w:pPr>
      <w:hyperlink w:anchor="page14">
        <w:r>
          <w:rPr>
            <w:rFonts w:ascii="Arial" w:cs="Arial" w:eastAsia="Arial" w:hAnsi="Arial"/>
            <w:sz w:val="21"/>
            <w:szCs w:val="21"/>
            <w:u w:val="single" w:color="auto"/>
            <w:color w:val="0000EE"/>
          </w:rPr>
          <w:t>PROPOSAL 1:</w:t>
        </w:r>
      </w:hyperlink>
      <w:r>
        <w:rPr>
          <w:rFonts w:ascii="Arial" w:cs="Arial" w:eastAsia="Arial" w:hAnsi="Arial"/>
          <w:sz w:val="21"/>
          <w:szCs w:val="21"/>
          <w:u w:val="single" w:color="auto"/>
          <w:color w:val="0000EE"/>
        </w:rPr>
        <w:tab/>
      </w:r>
      <w:hyperlink w:anchor="page14">
        <w:r>
          <w:rPr>
            <w:rFonts w:ascii="Arial" w:cs="Arial" w:eastAsia="Arial" w:hAnsi="Arial"/>
            <w:sz w:val="19"/>
            <w:szCs w:val="19"/>
            <w:u w:val="single" w:color="auto"/>
            <w:color w:val="0000EE"/>
          </w:rPr>
          <w:t>ELECTION OF DIRECTORS</w:t>
        </w:r>
      </w:hyperlink>
    </w:p>
    <w:p>
      <w:pPr>
        <w:ind w:left="640"/>
        <w:spacing w:after="0" w:line="235" w:lineRule="auto"/>
        <w:rPr>
          <w:sz w:val="20"/>
          <w:szCs w:val="20"/>
          <w:color w:val="auto"/>
        </w:rPr>
      </w:pPr>
      <w:r>
        <w:rPr>
          <w:rFonts w:ascii="Arial" w:cs="Arial" w:eastAsia="Arial" w:hAnsi="Arial"/>
          <w:sz w:val="21"/>
          <w:szCs w:val="21"/>
          <w:color w:val="auto"/>
        </w:rPr>
        <w:t>Nominees for Director</w:t>
      </w:r>
    </w:p>
    <w:p>
      <w:pPr>
        <w:spacing w:after="0" w:line="234"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EXECUTIVE OFFICERS</w:t>
        </w:r>
      </w:hyperlink>
    </w:p>
    <w:p>
      <w:pPr>
        <w:spacing w:after="0" w:line="235"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CORPORATE GOVERNANCE</w:t>
        </w:r>
      </w:hyperlink>
    </w:p>
    <w:p>
      <w:pPr>
        <w:spacing w:after="0" w:line="1" w:lineRule="exact"/>
        <w:rPr>
          <w:sz w:val="20"/>
          <w:szCs w:val="20"/>
          <w:color w:val="auto"/>
        </w:rPr>
      </w:pPr>
    </w:p>
    <w:p>
      <w:pPr>
        <w:ind w:left="640" w:right="4820"/>
        <w:spacing w:after="0" w:line="234" w:lineRule="auto"/>
        <w:rPr>
          <w:sz w:val="20"/>
          <w:szCs w:val="20"/>
          <w:color w:val="auto"/>
        </w:rPr>
      </w:pPr>
      <w:r>
        <w:rPr>
          <w:rFonts w:ascii="Arial" w:cs="Arial" w:eastAsia="Arial" w:hAnsi="Arial"/>
          <w:sz w:val="21"/>
          <w:szCs w:val="21"/>
          <w:color w:val="auto"/>
        </w:rPr>
        <w:t>Controlled Company Status, Director Independence and Committees 2020 Meetings and Standing Committees of the Board of Directors Audit Committee</w:t>
      </w:r>
    </w:p>
    <w:p>
      <w:pPr>
        <w:ind w:left="640"/>
        <w:spacing w:after="0" w:line="237" w:lineRule="auto"/>
        <w:rPr>
          <w:sz w:val="20"/>
          <w:szCs w:val="20"/>
          <w:color w:val="auto"/>
        </w:rPr>
      </w:pPr>
      <w:r>
        <w:rPr>
          <w:rFonts w:ascii="Arial" w:cs="Arial" w:eastAsia="Arial" w:hAnsi="Arial"/>
          <w:sz w:val="21"/>
          <w:szCs w:val="21"/>
          <w:color w:val="auto"/>
        </w:rPr>
        <w:t>Management Development and Compensation Committee</w:t>
      </w:r>
    </w:p>
    <w:p>
      <w:pPr>
        <w:ind w:left="640"/>
        <w:spacing w:after="0" w:line="235" w:lineRule="auto"/>
        <w:rPr>
          <w:sz w:val="20"/>
          <w:szCs w:val="20"/>
          <w:color w:val="auto"/>
        </w:rPr>
      </w:pPr>
      <w:r>
        <w:rPr>
          <w:rFonts w:ascii="Arial" w:cs="Arial" w:eastAsia="Arial" w:hAnsi="Arial"/>
          <w:sz w:val="21"/>
          <w:szCs w:val="21"/>
          <w:color w:val="auto"/>
        </w:rPr>
        <w:t>Risk Oversight</w:t>
      </w:r>
    </w:p>
    <w:p>
      <w:pPr>
        <w:ind w:left="640"/>
        <w:spacing w:after="0" w:line="235" w:lineRule="auto"/>
        <w:rPr>
          <w:sz w:val="20"/>
          <w:szCs w:val="20"/>
          <w:color w:val="auto"/>
        </w:rPr>
      </w:pPr>
      <w:r>
        <w:rPr>
          <w:rFonts w:ascii="Arial" w:cs="Arial" w:eastAsia="Arial" w:hAnsi="Arial"/>
          <w:sz w:val="21"/>
          <w:szCs w:val="21"/>
          <w:color w:val="auto"/>
        </w:rPr>
        <w:t>Identifying and Evaluating Director Nominees</w:t>
      </w:r>
    </w:p>
    <w:p>
      <w:pPr>
        <w:ind w:left="640" w:right="2600"/>
        <w:spacing w:after="0" w:line="234" w:lineRule="auto"/>
        <w:rPr>
          <w:sz w:val="20"/>
          <w:szCs w:val="20"/>
          <w:color w:val="auto"/>
        </w:rPr>
      </w:pPr>
      <w:r>
        <w:rPr>
          <w:rFonts w:ascii="Arial" w:cs="Arial" w:eastAsia="Arial" w:hAnsi="Arial"/>
          <w:sz w:val="21"/>
          <w:szCs w:val="21"/>
          <w:color w:val="auto"/>
        </w:rPr>
        <w:t>Leadership Structure of the Board of Directors and Independent Director Meetings Stockholder Proposals and Director Nominations for the 2022 Annual Meeting of Stockholders Communications with Directors</w:t>
      </w:r>
    </w:p>
    <w:p>
      <w:pPr>
        <w:ind w:left="640"/>
        <w:spacing w:after="0" w:line="237" w:lineRule="auto"/>
        <w:rPr>
          <w:sz w:val="20"/>
          <w:szCs w:val="20"/>
          <w:color w:val="auto"/>
        </w:rPr>
      </w:pPr>
      <w:r>
        <w:rPr>
          <w:rFonts w:ascii="Arial" w:cs="Arial" w:eastAsia="Arial" w:hAnsi="Arial"/>
          <w:sz w:val="21"/>
          <w:szCs w:val="21"/>
          <w:color w:val="auto"/>
        </w:rPr>
        <w:t>Compensation Committee Interlocks and Insider Participation</w:t>
      </w:r>
    </w:p>
    <w:p>
      <w:pPr>
        <w:ind w:left="640"/>
        <w:spacing w:after="0" w:line="235" w:lineRule="auto"/>
        <w:rPr>
          <w:sz w:val="20"/>
          <w:szCs w:val="20"/>
          <w:color w:val="auto"/>
        </w:rPr>
      </w:pPr>
      <w:r>
        <w:rPr>
          <w:rFonts w:ascii="Arial" w:cs="Arial" w:eastAsia="Arial" w:hAnsi="Arial"/>
          <w:sz w:val="21"/>
          <w:szCs w:val="21"/>
          <w:color w:val="auto"/>
        </w:rPr>
        <w:t>Code of Business Conduct and Ethics</w:t>
      </w:r>
    </w:p>
    <w:p>
      <w:pPr>
        <w:ind w:left="640"/>
        <w:spacing w:after="0" w:line="235" w:lineRule="auto"/>
        <w:rPr>
          <w:sz w:val="20"/>
          <w:szCs w:val="20"/>
          <w:color w:val="auto"/>
        </w:rPr>
      </w:pPr>
      <w:r>
        <w:rPr>
          <w:rFonts w:ascii="Arial" w:cs="Arial" w:eastAsia="Arial" w:hAnsi="Arial"/>
          <w:sz w:val="21"/>
          <w:szCs w:val="21"/>
          <w:color w:val="auto"/>
        </w:rPr>
        <w:t>Corporate Governance Guidelines</w:t>
      </w:r>
    </w:p>
    <w:p>
      <w:pPr>
        <w:ind w:left="640"/>
        <w:spacing w:after="0" w:line="235" w:lineRule="auto"/>
        <w:rPr>
          <w:sz w:val="20"/>
          <w:szCs w:val="20"/>
          <w:color w:val="auto"/>
        </w:rPr>
      </w:pPr>
      <w:r>
        <w:rPr>
          <w:rFonts w:ascii="Arial" w:cs="Arial" w:eastAsia="Arial" w:hAnsi="Arial"/>
          <w:sz w:val="21"/>
          <w:szCs w:val="21"/>
          <w:color w:val="auto"/>
        </w:rPr>
        <w:t>Availability of Corporate Governance Documents</w:t>
      </w:r>
    </w:p>
    <w:p>
      <w:pPr>
        <w:ind w:left="640"/>
        <w:spacing w:after="0" w:line="234" w:lineRule="auto"/>
        <w:rPr>
          <w:sz w:val="20"/>
          <w:szCs w:val="20"/>
          <w:color w:val="auto"/>
        </w:rPr>
      </w:pPr>
      <w:r>
        <w:rPr>
          <w:rFonts w:ascii="Arial" w:cs="Arial" w:eastAsia="Arial" w:hAnsi="Arial"/>
          <w:sz w:val="21"/>
          <w:szCs w:val="21"/>
          <w:color w:val="auto"/>
        </w:rPr>
        <w:t>Employee, Officer and Director Hedging</w:t>
      </w:r>
    </w:p>
    <w:p>
      <w:pPr>
        <w:spacing w:after="0" w:line="1" w:lineRule="exact"/>
        <w:rPr>
          <w:sz w:val="20"/>
          <w:szCs w:val="20"/>
          <w:color w:val="auto"/>
        </w:rPr>
      </w:pPr>
    </w:p>
    <w:p>
      <w:pPr>
        <w:ind w:left="640" w:right="2540" w:hanging="629"/>
        <w:spacing w:after="0" w:line="234" w:lineRule="auto"/>
        <w:rPr>
          <w:rFonts w:ascii="Arial" w:cs="Arial" w:eastAsia="Arial" w:hAnsi="Arial"/>
          <w:sz w:val="21"/>
          <w:szCs w:val="21"/>
          <w:u w:val="single" w:color="auto"/>
          <w:color w:val="0000EE"/>
        </w:rPr>
      </w:pPr>
      <w:hyperlink w:anchor="page21">
        <w:r>
          <w:rPr>
            <w:rFonts w:ascii="Arial" w:cs="Arial" w:eastAsia="Arial" w:hAnsi="Arial"/>
            <w:sz w:val="21"/>
            <w:szCs w:val="21"/>
            <w:u w:val="single" w:color="auto"/>
            <w:color w:val="0000EE"/>
          </w:rPr>
          <w:t>COMPENSATION OF EXECUTIVE OFFICERS AND DIRECTORS AND OTHER INFORMATION</w:t>
        </w:r>
      </w:hyperlink>
      <w:r>
        <w:rPr>
          <w:rFonts w:ascii="Arial" w:cs="Arial" w:eastAsia="Arial" w:hAnsi="Arial"/>
          <w:sz w:val="21"/>
          <w:szCs w:val="21"/>
          <w:u w:val="single" w:color="auto"/>
          <w:color w:val="0000EE"/>
        </w:rPr>
        <w:t xml:space="preserve"> </w:t>
      </w:r>
      <w:r>
        <w:rPr>
          <w:rFonts w:ascii="Arial" w:cs="Arial" w:eastAsia="Arial" w:hAnsi="Arial"/>
          <w:sz w:val="21"/>
          <w:szCs w:val="21"/>
          <w:color w:val="000000"/>
        </w:rPr>
        <w:t>Compensation Discussion and Analysis</w:t>
      </w:r>
    </w:p>
    <w:p>
      <w:pPr>
        <w:ind w:left="640"/>
        <w:spacing w:after="0" w:line="236" w:lineRule="auto"/>
        <w:rPr>
          <w:sz w:val="20"/>
          <w:szCs w:val="20"/>
          <w:color w:val="auto"/>
        </w:rPr>
      </w:pPr>
      <w:r>
        <w:rPr>
          <w:rFonts w:ascii="Arial" w:cs="Arial" w:eastAsia="Arial" w:hAnsi="Arial"/>
          <w:sz w:val="21"/>
          <w:szCs w:val="21"/>
          <w:color w:val="auto"/>
        </w:rPr>
        <w:t>Compensation Committee Report</w:t>
      </w:r>
    </w:p>
    <w:p>
      <w:pPr>
        <w:spacing w:after="0" w:line="1" w:lineRule="exact"/>
        <w:rPr>
          <w:sz w:val="20"/>
          <w:szCs w:val="20"/>
          <w:color w:val="auto"/>
        </w:rPr>
      </w:pPr>
    </w:p>
    <w:p>
      <w:pPr>
        <w:ind w:left="640" w:right="4400"/>
        <w:spacing w:after="0" w:line="234" w:lineRule="auto"/>
        <w:rPr>
          <w:sz w:val="20"/>
          <w:szCs w:val="20"/>
          <w:color w:val="auto"/>
        </w:rPr>
      </w:pPr>
      <w:r>
        <w:rPr>
          <w:rFonts w:ascii="Arial" w:cs="Arial" w:eastAsia="Arial" w:hAnsi="Arial"/>
          <w:sz w:val="21"/>
          <w:szCs w:val="21"/>
          <w:color w:val="auto"/>
        </w:rPr>
        <w:t>Summary of Cash and Certain Other Compensation of Executive Officers No Grants of Plan-Based Awards</w:t>
      </w:r>
    </w:p>
    <w:p>
      <w:pPr>
        <w:ind w:left="640"/>
        <w:spacing w:after="0" w:line="236" w:lineRule="auto"/>
        <w:rPr>
          <w:sz w:val="20"/>
          <w:szCs w:val="20"/>
          <w:color w:val="auto"/>
        </w:rPr>
      </w:pPr>
      <w:r>
        <w:rPr>
          <w:rFonts w:ascii="Arial" w:cs="Arial" w:eastAsia="Arial" w:hAnsi="Arial"/>
          <w:sz w:val="21"/>
          <w:szCs w:val="21"/>
          <w:color w:val="auto"/>
        </w:rPr>
        <w:t>No Outstanding Equity Awards at December 31, 2020</w:t>
      </w:r>
    </w:p>
    <w:p>
      <w:pPr>
        <w:ind w:left="640"/>
        <w:spacing w:after="0" w:line="235" w:lineRule="auto"/>
        <w:rPr>
          <w:sz w:val="20"/>
          <w:szCs w:val="20"/>
          <w:color w:val="auto"/>
        </w:rPr>
      </w:pPr>
      <w:r>
        <w:rPr>
          <w:rFonts w:ascii="Arial" w:cs="Arial" w:eastAsia="Arial" w:hAnsi="Arial"/>
          <w:sz w:val="21"/>
          <w:szCs w:val="21"/>
          <w:color w:val="auto"/>
        </w:rPr>
        <w:t>No Option Exercises or Stock Vested</w:t>
      </w:r>
    </w:p>
    <w:p>
      <w:pPr>
        <w:ind w:left="640"/>
        <w:spacing w:after="0" w:line="235" w:lineRule="auto"/>
        <w:rPr>
          <w:sz w:val="20"/>
          <w:szCs w:val="20"/>
          <w:color w:val="auto"/>
        </w:rPr>
      </w:pPr>
      <w:r>
        <w:rPr>
          <w:rFonts w:ascii="Arial" w:cs="Arial" w:eastAsia="Arial" w:hAnsi="Arial"/>
          <w:sz w:val="21"/>
          <w:szCs w:val="21"/>
          <w:color w:val="auto"/>
        </w:rPr>
        <w:t>Pension Benefits</w:t>
      </w:r>
    </w:p>
    <w:p>
      <w:pPr>
        <w:ind w:left="640"/>
        <w:spacing w:after="0" w:line="235" w:lineRule="auto"/>
        <w:rPr>
          <w:sz w:val="20"/>
          <w:szCs w:val="20"/>
          <w:color w:val="auto"/>
        </w:rPr>
      </w:pPr>
      <w:r>
        <w:rPr>
          <w:rFonts w:ascii="Arial" w:cs="Arial" w:eastAsia="Arial" w:hAnsi="Arial"/>
          <w:sz w:val="21"/>
          <w:szCs w:val="21"/>
          <w:color w:val="auto"/>
        </w:rPr>
        <w:t>Nonqualified Deferred Compensation</w:t>
      </w:r>
    </w:p>
    <w:p>
      <w:pPr>
        <w:ind w:left="640"/>
        <w:spacing w:after="0" w:line="235" w:lineRule="auto"/>
        <w:rPr>
          <w:sz w:val="20"/>
          <w:szCs w:val="20"/>
          <w:color w:val="auto"/>
        </w:rPr>
      </w:pPr>
      <w:r>
        <w:rPr>
          <w:rFonts w:ascii="Arial" w:cs="Arial" w:eastAsia="Arial" w:hAnsi="Arial"/>
          <w:sz w:val="21"/>
          <w:szCs w:val="21"/>
          <w:color w:val="auto"/>
        </w:rPr>
        <w:t>Pay Ratio Disclosure</w:t>
      </w:r>
    </w:p>
    <w:p>
      <w:pPr>
        <w:ind w:left="640"/>
        <w:spacing w:after="0" w:line="234" w:lineRule="auto"/>
        <w:rPr>
          <w:sz w:val="20"/>
          <w:szCs w:val="20"/>
          <w:color w:val="auto"/>
        </w:rPr>
      </w:pPr>
      <w:r>
        <w:rPr>
          <w:rFonts w:ascii="Arial" w:cs="Arial" w:eastAsia="Arial" w:hAnsi="Arial"/>
          <w:sz w:val="21"/>
          <w:szCs w:val="21"/>
          <w:color w:val="auto"/>
        </w:rPr>
        <w:t>Director Compensation</w:t>
      </w:r>
    </w:p>
    <w:p>
      <w:pPr>
        <w:spacing w:after="0" w:line="1" w:lineRule="exact"/>
        <w:rPr>
          <w:sz w:val="20"/>
          <w:szCs w:val="20"/>
          <w:color w:val="auto"/>
        </w:rPr>
      </w:pPr>
    </w:p>
    <w:p>
      <w:pPr>
        <w:ind w:left="640" w:right="4400"/>
        <w:spacing w:after="0" w:line="234" w:lineRule="auto"/>
        <w:rPr>
          <w:sz w:val="20"/>
          <w:szCs w:val="20"/>
          <w:color w:val="auto"/>
        </w:rPr>
      </w:pPr>
      <w:r>
        <w:rPr>
          <w:rFonts w:ascii="Arial" w:cs="Arial" w:eastAsia="Arial" w:hAnsi="Arial"/>
          <w:sz w:val="21"/>
          <w:szCs w:val="21"/>
          <w:color w:val="auto"/>
        </w:rPr>
        <w:t>Compensation Policies and Practices as They Relate to Risk Management Compensation Consultants</w:t>
      </w:r>
    </w:p>
    <w:p>
      <w:pPr>
        <w:spacing w:after="0" w:line="2" w:lineRule="exact"/>
        <w:rPr>
          <w:sz w:val="20"/>
          <w:szCs w:val="20"/>
          <w:color w:val="auto"/>
        </w:rPr>
      </w:pPr>
    </w:p>
    <w:p>
      <w:pPr>
        <w:ind w:right="4660"/>
        <w:spacing w:after="0" w:line="234"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SECTION 16(a) BENEFICIAL OWNERSHIP REPORTING COMPLIANCE</w:t>
        </w:r>
      </w:hyperlink>
      <w:r>
        <w:rPr>
          <w:rFonts w:ascii="Arial" w:cs="Arial" w:eastAsia="Arial" w:hAnsi="Arial"/>
          <w:sz w:val="21"/>
          <w:szCs w:val="21"/>
          <w:u w:val="single" w:color="auto"/>
          <w:color w:val="0000EE"/>
        </w:rPr>
        <w:t xml:space="preserve"> </w:t>
      </w:r>
      <w:hyperlink w:anchor="page31">
        <w:r>
          <w:rPr>
            <w:rFonts w:ascii="Arial" w:cs="Arial" w:eastAsia="Arial" w:hAnsi="Arial"/>
            <w:sz w:val="21"/>
            <w:szCs w:val="21"/>
            <w:u w:val="single" w:color="auto"/>
            <w:color w:val="0000EE"/>
          </w:rPr>
          <w:t>CERTAIN RELATIONSHIPS AND TRANSACTIONS</w:t>
        </w:r>
      </w:hyperlink>
    </w:p>
    <w:p>
      <w:pPr>
        <w:ind w:left="640"/>
        <w:spacing w:after="0" w:line="236" w:lineRule="auto"/>
        <w:rPr>
          <w:sz w:val="20"/>
          <w:szCs w:val="20"/>
          <w:color w:val="auto"/>
        </w:rPr>
      </w:pPr>
      <w:r>
        <w:rPr>
          <w:rFonts w:ascii="Arial" w:cs="Arial" w:eastAsia="Arial" w:hAnsi="Arial"/>
          <w:sz w:val="21"/>
          <w:szCs w:val="21"/>
          <w:color w:val="auto"/>
        </w:rPr>
        <w:t>Related Party Transaction Policy</w:t>
      </w:r>
    </w:p>
    <w:p>
      <w:pPr>
        <w:ind w:left="640"/>
        <w:spacing w:after="0" w:line="235" w:lineRule="auto"/>
        <w:rPr>
          <w:sz w:val="20"/>
          <w:szCs w:val="20"/>
          <w:color w:val="auto"/>
        </w:rPr>
      </w:pPr>
      <w:r>
        <w:rPr>
          <w:rFonts w:ascii="Arial" w:cs="Arial" w:eastAsia="Arial" w:hAnsi="Arial"/>
          <w:sz w:val="21"/>
          <w:szCs w:val="21"/>
          <w:color w:val="auto"/>
        </w:rPr>
        <w:t>Relationships with Related Parties</w:t>
      </w:r>
    </w:p>
    <w:p>
      <w:pPr>
        <w:ind w:left="640"/>
        <w:spacing w:after="0" w:line="235" w:lineRule="auto"/>
        <w:rPr>
          <w:sz w:val="20"/>
          <w:szCs w:val="20"/>
          <w:color w:val="auto"/>
        </w:rPr>
      </w:pPr>
      <w:r>
        <w:rPr>
          <w:rFonts w:ascii="Arial" w:cs="Arial" w:eastAsia="Arial" w:hAnsi="Arial"/>
          <w:sz w:val="21"/>
          <w:szCs w:val="21"/>
          <w:color w:val="auto"/>
        </w:rPr>
        <w:t>Intercorporate Services Agreements</w:t>
      </w:r>
    </w:p>
    <w:p>
      <w:pPr>
        <w:ind w:left="640"/>
        <w:spacing w:after="0" w:line="235" w:lineRule="auto"/>
        <w:rPr>
          <w:sz w:val="20"/>
          <w:szCs w:val="20"/>
          <w:color w:val="auto"/>
        </w:rPr>
      </w:pPr>
      <w:r>
        <w:rPr>
          <w:rFonts w:ascii="Arial" w:cs="Arial" w:eastAsia="Arial" w:hAnsi="Arial"/>
          <w:sz w:val="21"/>
          <w:szCs w:val="21"/>
          <w:color w:val="auto"/>
        </w:rPr>
        <w:t>Risk Management Program</w:t>
      </w:r>
    </w:p>
    <w:p>
      <w:pPr>
        <w:ind w:left="640"/>
        <w:spacing w:after="0" w:line="235" w:lineRule="auto"/>
        <w:rPr>
          <w:sz w:val="20"/>
          <w:szCs w:val="20"/>
          <w:color w:val="auto"/>
        </w:rPr>
      </w:pPr>
      <w:r>
        <w:rPr>
          <w:rFonts w:ascii="Arial" w:cs="Arial" w:eastAsia="Arial" w:hAnsi="Arial"/>
          <w:sz w:val="21"/>
          <w:szCs w:val="21"/>
          <w:color w:val="auto"/>
        </w:rPr>
        <w:t>Tax Matters</w:t>
      </w:r>
    </w:p>
    <w:p>
      <w:pPr>
        <w:ind w:left="640"/>
        <w:spacing w:after="0" w:line="234" w:lineRule="auto"/>
        <w:rPr>
          <w:sz w:val="20"/>
          <w:szCs w:val="20"/>
          <w:color w:val="auto"/>
        </w:rPr>
      </w:pPr>
      <w:r>
        <w:rPr>
          <w:rFonts w:ascii="Arial" w:cs="Arial" w:eastAsia="Arial" w:hAnsi="Arial"/>
          <w:sz w:val="21"/>
          <w:szCs w:val="21"/>
          <w:color w:val="auto"/>
        </w:rPr>
        <w:t>Related Party Loans for Cash Management Purposes</w:t>
      </w:r>
    </w:p>
    <w:p>
      <w:pPr>
        <w:spacing w:after="0" w:line="235" w:lineRule="auto"/>
        <w:rPr>
          <w:rFonts w:ascii="Arial" w:cs="Arial" w:eastAsia="Arial" w:hAnsi="Arial"/>
          <w:sz w:val="21"/>
          <w:szCs w:val="21"/>
          <w:u w:val="single" w:color="auto"/>
          <w:color w:val="0000EE"/>
        </w:rPr>
      </w:pPr>
      <w:hyperlink w:anchor="page36">
        <w:r>
          <w:rPr>
            <w:rFonts w:ascii="Arial" w:cs="Arial" w:eastAsia="Arial" w:hAnsi="Arial"/>
            <w:sz w:val="21"/>
            <w:szCs w:val="21"/>
            <w:u w:val="single" w:color="auto"/>
            <w:color w:val="0000EE"/>
          </w:rPr>
          <w:t>AUDIT COMMITTEE REPORT</w:t>
        </w:r>
      </w:hyperlink>
    </w:p>
    <w:p>
      <w:pPr>
        <w:spacing w:after="0" w:line="1" w:lineRule="exact"/>
        <w:rPr>
          <w:sz w:val="20"/>
          <w:szCs w:val="20"/>
          <w:color w:val="auto"/>
        </w:rPr>
      </w:pPr>
    </w:p>
    <w:p>
      <w:pPr>
        <w:ind w:left="640" w:right="4620" w:hanging="629"/>
        <w:spacing w:after="0" w:line="234" w:lineRule="auto"/>
        <w:rPr>
          <w:rFonts w:ascii="Arial" w:cs="Arial" w:eastAsia="Arial" w:hAnsi="Arial"/>
          <w:sz w:val="21"/>
          <w:szCs w:val="21"/>
          <w:u w:val="single" w:color="auto"/>
          <w:color w:val="0000EE"/>
        </w:rPr>
      </w:pPr>
      <w:hyperlink w:anchor="page37">
        <w:r>
          <w:rPr>
            <w:rFonts w:ascii="Arial" w:cs="Arial" w:eastAsia="Arial" w:hAnsi="Arial"/>
            <w:sz w:val="21"/>
            <w:szCs w:val="21"/>
            <w:u w:val="single" w:color="auto"/>
            <w:color w:val="0000EE"/>
          </w:rPr>
          <w:t>INDEPENDENT REGISTERED PUBLIC ACCOUNTING FIRM MATTERS</w:t>
        </w:r>
      </w:hyperlink>
      <w:r>
        <w:rPr>
          <w:rFonts w:ascii="Arial" w:cs="Arial" w:eastAsia="Arial" w:hAnsi="Arial"/>
          <w:sz w:val="21"/>
          <w:szCs w:val="21"/>
          <w:u w:val="single" w:color="auto"/>
          <w:color w:val="0000EE"/>
        </w:rPr>
        <w:t xml:space="preserve"> </w:t>
      </w:r>
      <w:r>
        <w:rPr>
          <w:rFonts w:ascii="Arial" w:cs="Arial" w:eastAsia="Arial" w:hAnsi="Arial"/>
          <w:sz w:val="21"/>
          <w:szCs w:val="21"/>
          <w:color w:val="000000"/>
        </w:rPr>
        <w:t>Independent Registered Public Accounting Firm</w:t>
      </w:r>
    </w:p>
    <w:p>
      <w:pPr>
        <w:ind w:left="640"/>
        <w:spacing w:after="0" w:line="236" w:lineRule="auto"/>
        <w:rPr>
          <w:sz w:val="20"/>
          <w:szCs w:val="20"/>
          <w:color w:val="auto"/>
        </w:rPr>
      </w:pPr>
      <w:r>
        <w:rPr>
          <w:rFonts w:ascii="Arial" w:cs="Arial" w:eastAsia="Arial" w:hAnsi="Arial"/>
          <w:sz w:val="21"/>
          <w:szCs w:val="21"/>
          <w:color w:val="auto"/>
        </w:rPr>
        <w:t>Fees Paid to PricewaterhouseCoopers LLP</w:t>
      </w:r>
    </w:p>
    <w:p>
      <w:pPr>
        <w:ind w:left="640"/>
        <w:spacing w:after="0" w:line="235" w:lineRule="auto"/>
        <w:rPr>
          <w:sz w:val="20"/>
          <w:szCs w:val="20"/>
          <w:color w:val="auto"/>
        </w:rPr>
      </w:pPr>
      <w:r>
        <w:rPr>
          <w:rFonts w:ascii="Arial" w:cs="Arial" w:eastAsia="Arial" w:hAnsi="Arial"/>
          <w:sz w:val="21"/>
          <w:szCs w:val="21"/>
          <w:color w:val="auto"/>
        </w:rPr>
        <w:t>Preapproval Policies and Procedures</w:t>
      </w:r>
    </w:p>
    <w:p>
      <w:pPr>
        <w:spacing w:after="0" w:line="235" w:lineRule="auto"/>
        <w:rPr>
          <w:rFonts w:ascii="Arial" w:cs="Arial" w:eastAsia="Arial" w:hAnsi="Arial"/>
          <w:sz w:val="21"/>
          <w:szCs w:val="21"/>
          <w:u w:val="single" w:color="auto"/>
          <w:color w:val="0000EE"/>
        </w:rPr>
      </w:pPr>
      <w:hyperlink w:anchor="page39">
        <w:r>
          <w:rPr>
            <w:rFonts w:ascii="Arial" w:cs="Arial" w:eastAsia="Arial" w:hAnsi="Arial"/>
            <w:sz w:val="21"/>
            <w:szCs w:val="21"/>
            <w:u w:val="single" w:color="auto"/>
            <w:color w:val="0000EE"/>
          </w:rPr>
          <w:t>PROPOSAL 2:NONBINDING ADVISORY RESOLUTION ON NAMED EXECUTIVE OFFICER COMPENSATION</w:t>
        </w:r>
      </w:hyperlink>
    </w:p>
    <w:p>
      <w:pPr>
        <w:ind w:left="640"/>
        <w:spacing w:after="0" w:line="235" w:lineRule="auto"/>
        <w:rPr>
          <w:sz w:val="20"/>
          <w:szCs w:val="20"/>
          <w:color w:val="auto"/>
        </w:rPr>
      </w:pPr>
      <w:r>
        <w:rPr>
          <w:rFonts w:ascii="Arial" w:cs="Arial" w:eastAsia="Arial" w:hAnsi="Arial"/>
          <w:sz w:val="21"/>
          <w:szCs w:val="21"/>
          <w:color w:val="auto"/>
        </w:rPr>
        <w:t>Background</w:t>
      </w:r>
    </w:p>
    <w:p>
      <w:pPr>
        <w:ind w:left="640"/>
        <w:spacing w:after="0" w:line="235" w:lineRule="auto"/>
        <w:rPr>
          <w:sz w:val="20"/>
          <w:szCs w:val="20"/>
          <w:color w:val="auto"/>
        </w:rPr>
      </w:pPr>
      <w:r>
        <w:rPr>
          <w:rFonts w:ascii="Arial" w:cs="Arial" w:eastAsia="Arial" w:hAnsi="Arial"/>
          <w:sz w:val="21"/>
          <w:szCs w:val="21"/>
          <w:color w:val="auto"/>
        </w:rPr>
        <w:t>Say-on-Pay Proposal</w:t>
      </w:r>
    </w:p>
    <w:p>
      <w:pPr>
        <w:ind w:left="640"/>
        <w:spacing w:after="0" w:line="234" w:lineRule="auto"/>
        <w:rPr>
          <w:sz w:val="20"/>
          <w:szCs w:val="20"/>
          <w:color w:val="auto"/>
        </w:rPr>
      </w:pPr>
      <w:r>
        <w:rPr>
          <w:rFonts w:ascii="Arial" w:cs="Arial" w:eastAsia="Arial" w:hAnsi="Arial"/>
          <w:sz w:val="21"/>
          <w:szCs w:val="21"/>
          <w:color w:val="auto"/>
        </w:rPr>
        <w:t>Effect of the Proposal</w:t>
      </w:r>
    </w:p>
    <w:p>
      <w:pPr>
        <w:ind w:left="640"/>
        <w:spacing w:after="0" w:line="235" w:lineRule="auto"/>
        <w:rPr>
          <w:sz w:val="20"/>
          <w:szCs w:val="20"/>
          <w:color w:val="auto"/>
        </w:rPr>
      </w:pPr>
      <w:r>
        <w:rPr>
          <w:rFonts w:ascii="Arial" w:cs="Arial" w:eastAsia="Arial" w:hAnsi="Arial"/>
          <w:sz w:val="21"/>
          <w:szCs w:val="21"/>
          <w:color w:val="auto"/>
        </w:rPr>
        <w:t>Vote Required</w:t>
      </w:r>
    </w:p>
    <w:p>
      <w:pPr>
        <w:spacing w:after="0" w:line="235" w:lineRule="auto"/>
        <w:rPr>
          <w:rFonts w:ascii="Arial" w:cs="Arial" w:eastAsia="Arial" w:hAnsi="Arial"/>
          <w:sz w:val="21"/>
          <w:szCs w:val="21"/>
          <w:u w:val="single" w:color="auto"/>
          <w:color w:val="0000EE"/>
        </w:rPr>
      </w:pPr>
      <w:hyperlink w:anchor="page40">
        <w:r>
          <w:rPr>
            <w:rFonts w:ascii="Arial" w:cs="Arial" w:eastAsia="Arial" w:hAnsi="Arial"/>
            <w:sz w:val="21"/>
            <w:szCs w:val="21"/>
            <w:u w:val="single" w:color="auto"/>
            <w:color w:val="0000EE"/>
          </w:rPr>
          <w:t>OTHER MATTERS</w:t>
        </w:r>
      </w:hyperlink>
    </w:p>
    <w:p>
      <w:pPr>
        <w:spacing w:after="0" w:line="235" w:lineRule="auto"/>
        <w:rPr>
          <w:rFonts w:ascii="Arial" w:cs="Arial" w:eastAsia="Arial" w:hAnsi="Arial"/>
          <w:sz w:val="21"/>
          <w:szCs w:val="21"/>
          <w:u w:val="single" w:color="auto"/>
          <w:color w:val="0000EE"/>
        </w:rPr>
      </w:pPr>
      <w:hyperlink w:anchor="page40">
        <w:r>
          <w:rPr>
            <w:rFonts w:ascii="Arial" w:cs="Arial" w:eastAsia="Arial" w:hAnsi="Arial"/>
            <w:sz w:val="21"/>
            <w:szCs w:val="21"/>
            <w:u w:val="single" w:color="auto"/>
            <w:color w:val="0000EE"/>
          </w:rPr>
          <w:t>2020 ANNUAL REPORT ON FORM 10-K</w:t>
        </w:r>
      </w:hyperlink>
    </w:p>
    <w:p>
      <w:pPr>
        <w:spacing w:after="0" w:line="235" w:lineRule="auto"/>
        <w:rPr>
          <w:rFonts w:ascii="Arial" w:cs="Arial" w:eastAsia="Arial" w:hAnsi="Arial"/>
          <w:sz w:val="21"/>
          <w:szCs w:val="21"/>
          <w:u w:val="single" w:color="auto"/>
          <w:color w:val="0000EE"/>
        </w:rPr>
      </w:pPr>
      <w:hyperlink w:anchor="page40">
        <w:r>
          <w:rPr>
            <w:rFonts w:ascii="Arial" w:cs="Arial" w:eastAsia="Arial" w:hAnsi="Arial"/>
            <w:sz w:val="21"/>
            <w:szCs w:val="21"/>
            <w:u w:val="single" w:color="auto"/>
            <w:color w:val="0000EE"/>
          </w:rPr>
          <w:t>STOCKHOLDERS SHARING THE SAME ADDRESS</w:t>
        </w:r>
      </w:hyperlink>
    </w:p>
    <w:p>
      <w:pPr>
        <w:spacing w:after="0"/>
        <w:rPr>
          <w:rFonts w:ascii="Arial" w:cs="Arial" w:eastAsia="Arial" w:hAnsi="Arial"/>
          <w:sz w:val="21"/>
          <w:szCs w:val="21"/>
          <w:u w:val="single" w:color="auto"/>
          <w:color w:val="0000EE"/>
        </w:rPr>
      </w:pPr>
      <w:hyperlink w:anchor="page40">
        <w:r>
          <w:rPr>
            <w:rFonts w:ascii="Arial" w:cs="Arial" w:eastAsia="Arial" w:hAnsi="Arial"/>
            <w:sz w:val="21"/>
            <w:szCs w:val="21"/>
            <w:u w:val="single" w:color="auto"/>
            <w:color w:val="0000EE"/>
          </w:rPr>
          <w:t>REQUEST COPIES OF THE 2020 ANNUAL REPORT AND THIS PROXY STATEMENT</w:t>
        </w:r>
      </w:hyperlink>
    </w:p>
    <w:p>
      <w:pPr>
        <w:sectPr>
          <w:pgSz w:w="11900" w:h="16838" w:orient="portrait"/>
          <w:cols w:equalWidth="0" w:num="1">
            <w:col w:w="11240"/>
          </w:cols>
          <w:pgMar w:left="320" w:top="453" w:right="339" w:bottom="262"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53" w:right="339" w:bottom="262"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1"/>
          <w:szCs w:val="21"/>
          <w:b w:val="1"/>
          <w:bCs w:val="1"/>
          <w:color w:val="auto"/>
        </w:rPr>
        <w:t>GLOSSARY OF TERMS</w:t>
      </w:r>
    </w:p>
    <w:p>
      <w:pPr>
        <w:spacing w:after="0" w:line="104" w:lineRule="exact"/>
        <w:rPr>
          <w:sz w:val="20"/>
          <w:szCs w:val="20"/>
          <w:color w:val="auto"/>
        </w:rPr>
      </w:pPr>
    </w:p>
    <w:p>
      <w:pPr>
        <w:ind w:left="160" w:right="480" w:hanging="163"/>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Alliance Advisors</w:t>
      </w:r>
      <w:r>
        <w:rPr>
          <w:rFonts w:ascii="Arial" w:cs="Arial" w:eastAsia="Arial" w:hAnsi="Arial"/>
          <w:sz w:val="21"/>
          <w:szCs w:val="21"/>
          <w:color w:val="auto"/>
        </w:rPr>
        <w:t>” means Alliance Advisors, LLC, our proxy management advisor who will act as inspector of election for the annual meeting of stockholders.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401(k) Plan</w:t>
      </w:r>
      <w:r>
        <w:rPr>
          <w:rFonts w:ascii="Arial" w:cs="Arial" w:eastAsia="Arial" w:hAnsi="Arial"/>
          <w:sz w:val="21"/>
          <w:szCs w:val="21"/>
          <w:color w:val="auto"/>
        </w:rPr>
        <w:t>” means The Employee 401(k) Retirement Plan, a defined contribution plan.</w:t>
      </w:r>
    </w:p>
    <w:p>
      <w:pPr>
        <w:spacing w:after="0" w:line="74" w:lineRule="exact"/>
        <w:rPr>
          <w:sz w:val="20"/>
          <w:szCs w:val="20"/>
          <w:color w:val="auto"/>
        </w:rPr>
      </w:pPr>
    </w:p>
    <w:p>
      <w:pPr>
        <w:jc w:val="center"/>
        <w:ind w:right="52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brokerage firm or other nominee</w:t>
      </w:r>
      <w:r>
        <w:rPr>
          <w:rFonts w:ascii="Arial" w:cs="Arial" w:eastAsia="Arial" w:hAnsi="Arial"/>
          <w:sz w:val="19"/>
          <w:szCs w:val="19"/>
          <w:color w:val="auto"/>
        </w:rPr>
        <w:t>” means a brokerage firm or other nominee such as a banking institution, custodian, trustee or fiduciary (other than our transfer agent, Computershare) through which a stockholder holds its shares of our common stock.</w:t>
      </w:r>
    </w:p>
    <w:p>
      <w:pPr>
        <w:spacing w:after="0" w:line="1" w:lineRule="exact"/>
        <w:rPr>
          <w:sz w:val="20"/>
          <w:szCs w:val="20"/>
          <w:color w:val="auto"/>
        </w:rPr>
      </w:pPr>
    </w:p>
    <w:p>
      <w:pPr>
        <w:ind w:left="160" w:right="240" w:hanging="163"/>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broker/nominee non-vote</w:t>
      </w:r>
      <w:r>
        <w:rPr>
          <w:rFonts w:ascii="Arial" w:cs="Arial" w:eastAsia="Arial" w:hAnsi="Arial"/>
          <w:sz w:val="21"/>
          <w:szCs w:val="21"/>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Code</w:t>
      </w:r>
      <w:r>
        <w:rPr>
          <w:rFonts w:ascii="Arial" w:cs="Arial" w:eastAsia="Arial" w:hAnsi="Arial"/>
          <w:sz w:val="21"/>
          <w:szCs w:val="21"/>
          <w:color w:val="auto"/>
        </w:rPr>
        <w:t>” means the Internal Revenue Code of 1986, as amended.</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Computershare</w:t>
      </w:r>
      <w:r>
        <w:rPr>
          <w:rFonts w:ascii="Arial" w:cs="Arial" w:eastAsia="Arial" w:hAnsi="Arial"/>
          <w:sz w:val="21"/>
          <w:szCs w:val="21"/>
          <w:color w:val="auto"/>
        </w:rPr>
        <w:t>” means Computershare Trust Company, N.A., our stock transfer agent and registrar.</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CompX</w:t>
      </w:r>
      <w:r>
        <w:rPr>
          <w:rFonts w:ascii="Arial" w:cs="Arial" w:eastAsia="Arial" w:hAnsi="Arial"/>
          <w:sz w:val="21"/>
          <w:szCs w:val="21"/>
          <w:color w:val="auto"/>
        </w:rPr>
        <w:t>,” “</w:t>
      </w:r>
      <w:r>
        <w:rPr>
          <w:rFonts w:ascii="Arial" w:cs="Arial" w:eastAsia="Arial" w:hAnsi="Arial"/>
          <w:sz w:val="21"/>
          <w:szCs w:val="21"/>
          <w:i w:val="1"/>
          <w:iCs w:val="1"/>
          <w:color w:val="auto"/>
        </w:rPr>
        <w:t>us</w:t>
      </w:r>
      <w:r>
        <w:rPr>
          <w:rFonts w:ascii="Arial" w:cs="Arial" w:eastAsia="Arial" w:hAnsi="Arial"/>
          <w:sz w:val="21"/>
          <w:szCs w:val="21"/>
          <w:color w:val="auto"/>
        </w:rPr>
        <w:t>,” “</w:t>
      </w:r>
      <w:r>
        <w:rPr>
          <w:rFonts w:ascii="Arial" w:cs="Arial" w:eastAsia="Arial" w:hAnsi="Arial"/>
          <w:sz w:val="21"/>
          <w:szCs w:val="21"/>
          <w:i w:val="1"/>
          <w:iCs w:val="1"/>
          <w:color w:val="auto"/>
        </w:rPr>
        <w:t>we</w:t>
      </w:r>
      <w:r>
        <w:rPr>
          <w:rFonts w:ascii="Arial" w:cs="Arial" w:eastAsia="Arial" w:hAnsi="Arial"/>
          <w:sz w:val="21"/>
          <w:szCs w:val="21"/>
          <w:color w:val="auto"/>
        </w:rPr>
        <w:t>” or “</w:t>
      </w:r>
      <w:r>
        <w:rPr>
          <w:rFonts w:ascii="Arial" w:cs="Arial" w:eastAsia="Arial" w:hAnsi="Arial"/>
          <w:sz w:val="21"/>
          <w:szCs w:val="21"/>
          <w:i w:val="1"/>
          <w:iCs w:val="1"/>
          <w:color w:val="auto"/>
        </w:rPr>
        <w:t>our</w:t>
      </w:r>
      <w:r>
        <w:rPr>
          <w:rFonts w:ascii="Arial" w:cs="Arial" w:eastAsia="Arial" w:hAnsi="Arial"/>
          <w:sz w:val="21"/>
          <w:szCs w:val="21"/>
          <w:color w:val="auto"/>
        </w:rPr>
        <w:t>” means CompX International Inc.</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Contran</w:t>
      </w:r>
      <w:r>
        <w:rPr>
          <w:rFonts w:ascii="Arial" w:cs="Arial" w:eastAsia="Arial" w:hAnsi="Arial"/>
          <w:sz w:val="21"/>
          <w:szCs w:val="21"/>
          <w:color w:val="auto"/>
        </w:rPr>
        <w:t>” means Contran Corporation, the parent corporation of our consolidated tax group.</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Dixie Rice</w:t>
      </w:r>
      <w:r>
        <w:rPr>
          <w:rFonts w:ascii="Arial" w:cs="Arial" w:eastAsia="Arial" w:hAnsi="Arial"/>
          <w:sz w:val="21"/>
          <w:szCs w:val="21"/>
          <w:color w:val="auto"/>
        </w:rPr>
        <w:t>” means Dixie Rice Agricultural L.L.C., one of our parent companies.</w:t>
      </w:r>
    </w:p>
    <w:p>
      <w:pPr>
        <w:spacing w:after="0" w:line="60" w:lineRule="exact"/>
        <w:rPr>
          <w:sz w:val="20"/>
          <w:szCs w:val="20"/>
          <w:color w:val="auto"/>
        </w:rPr>
      </w:pPr>
    </w:p>
    <w:p>
      <w:pPr>
        <w:ind w:left="160" w:right="520" w:hanging="157"/>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EWI</w:t>
      </w:r>
      <w:r>
        <w:rPr>
          <w:rFonts w:ascii="Arial" w:cs="Arial" w:eastAsia="Arial" w:hAnsi="Arial"/>
          <w:sz w:val="19"/>
          <w:szCs w:val="19"/>
          <w:color w:val="auto"/>
        </w:rPr>
        <w:t>” means EWI RE, Inc., a wholly owned subsidiary of NL that, prior to NL’s sale of EWI’s insurance and risk management business to a third party in November 2019, was a reinsurance brokerage and risk management company.</w:t>
      </w:r>
    </w:p>
    <w:p>
      <w:pPr>
        <w:spacing w:after="0" w:line="1" w:lineRule="exact"/>
        <w:rPr>
          <w:sz w:val="20"/>
          <w:szCs w:val="20"/>
          <w:color w:val="auto"/>
        </w:rPr>
      </w:pPr>
    </w:p>
    <w:p>
      <w:pPr>
        <w:ind w:left="160" w:right="40" w:hanging="163"/>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Family Trust</w:t>
      </w:r>
      <w:r>
        <w:rPr>
          <w:rFonts w:ascii="Arial" w:cs="Arial" w:eastAsia="Arial" w:hAnsi="Arial"/>
          <w:sz w:val="21"/>
          <w:szCs w:val="21"/>
          <w:color w:val="auto"/>
        </w:rPr>
        <w:t>” means the Harold C. Simmons Family Trust No. 2, which was established for the benefit of Lisa K. Simmons and her late sister and their children.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independent directors</w:t>
      </w:r>
      <w:r>
        <w:rPr>
          <w:rFonts w:ascii="Arial" w:cs="Arial" w:eastAsia="Arial" w:hAnsi="Arial"/>
          <w:sz w:val="20"/>
          <w:szCs w:val="20"/>
          <w:color w:val="auto"/>
        </w:rPr>
        <w:t>” means the following directors: Thomas E. Barry, Terri L. Herrington, Ann Manix and Mary A. Tidlund.</w:t>
      </w:r>
    </w:p>
    <w:p>
      <w:pPr>
        <w:spacing w:after="0" w:line="72" w:lineRule="exact"/>
        <w:rPr>
          <w:sz w:val="20"/>
          <w:szCs w:val="20"/>
          <w:color w:val="auto"/>
        </w:rPr>
      </w:pPr>
    </w:p>
    <w:p>
      <w:pPr>
        <w:ind w:left="160" w:right="120" w:hanging="157"/>
        <w:spacing w:after="0" w:line="28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ISA</w:t>
      </w:r>
      <w:r>
        <w:rPr>
          <w:rFonts w:ascii="Arial" w:cs="Arial" w:eastAsia="Arial" w:hAnsi="Arial"/>
          <w:sz w:val="20"/>
          <w:szCs w:val="20"/>
          <w:color w:val="auto"/>
        </w:rPr>
        <w:t>” means an intercorporate services agreement between Contran and a related company pursuant to which employees of Contran provide certain services, including executive officer services, to such related company on an annual fixed fee basis.</w:t>
      </w:r>
    </w:p>
    <w:p>
      <w:pPr>
        <w:spacing w:after="0" w:line="2" w:lineRule="exact"/>
        <w:rPr>
          <w:sz w:val="20"/>
          <w:szCs w:val="20"/>
          <w:color w:val="auto"/>
        </w:rPr>
      </w:pPr>
    </w:p>
    <w:p>
      <w:pPr>
        <w:ind w:left="160" w:hanging="15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Kronos Worldwide</w:t>
      </w:r>
      <w:r>
        <w:rPr>
          <w:rFonts w:ascii="Arial" w:cs="Arial" w:eastAsia="Arial" w:hAnsi="Arial"/>
          <w:sz w:val="21"/>
          <w:szCs w:val="21"/>
          <w:color w:val="auto"/>
        </w:rPr>
        <w:t>” means Kronos Worldwide, Inc., one of our publicly held sister corporations that is an international manufacturer of titanium dioxide products.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named executive officer</w:t>
      </w:r>
      <w:r>
        <w:rPr>
          <w:rFonts w:ascii="Arial" w:cs="Arial" w:eastAsia="Arial" w:hAnsi="Arial"/>
          <w:sz w:val="21"/>
          <w:szCs w:val="21"/>
          <w:color w:val="auto"/>
        </w:rPr>
        <w:t>” means any person named in the 2020 Summary Compensation Table in this proxy statement.</w:t>
      </w:r>
    </w:p>
    <w:p>
      <w:pPr>
        <w:spacing w:after="0" w:line="60" w:lineRule="exact"/>
        <w:rPr>
          <w:sz w:val="20"/>
          <w:szCs w:val="20"/>
          <w:color w:val="auto"/>
        </w:rPr>
      </w:pPr>
    </w:p>
    <w:p>
      <w:pPr>
        <w:ind w:left="160" w:right="240" w:hanging="15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NL</w:t>
      </w:r>
      <w:r>
        <w:rPr>
          <w:rFonts w:ascii="Arial" w:cs="Arial" w:eastAsia="Arial" w:hAnsi="Arial"/>
          <w:sz w:val="21"/>
          <w:szCs w:val="21"/>
          <w:color w:val="auto"/>
        </w:rPr>
        <w:t>” means NL Industries, Inc., one of our publicly held parent corporations that is a diversified holding company (i) of which we are a subsidiary and (ii) that holds a significant investment in Kronos Worldwide.</w:t>
      </w:r>
    </w:p>
    <w:p>
      <w:pPr>
        <w:spacing w:after="0" w:line="15" w:lineRule="exact"/>
        <w:rPr>
          <w:sz w:val="20"/>
          <w:szCs w:val="20"/>
          <w:color w:val="auto"/>
        </w:rPr>
      </w:pPr>
    </w:p>
    <w:p>
      <w:pPr>
        <w:ind w:left="160" w:right="680" w:hanging="15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NLKW</w:t>
      </w:r>
      <w:r>
        <w:rPr>
          <w:rFonts w:ascii="Arial" w:cs="Arial" w:eastAsia="Arial" w:hAnsi="Arial"/>
          <w:sz w:val="21"/>
          <w:szCs w:val="21"/>
          <w:color w:val="auto"/>
        </w:rPr>
        <w:t>” means NLKW Holding, LLC, a wholly-owned subsidiary of NL, which holds a significant equity interest in Kronos Worldwide.</w:t>
      </w:r>
    </w:p>
    <w:p>
      <w:pPr>
        <w:spacing w:after="0" w:line="28" w:lineRule="exact"/>
        <w:rPr>
          <w:sz w:val="20"/>
          <w:szCs w:val="20"/>
          <w:color w:val="auto"/>
        </w:rPr>
      </w:pPr>
    </w:p>
    <w:p>
      <w:pPr>
        <w:ind w:left="160" w:right="260" w:hanging="104"/>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NYSE American</w:t>
      </w:r>
      <w:r>
        <w:rPr>
          <w:rFonts w:ascii="Arial" w:cs="Arial" w:eastAsia="Arial" w:hAnsi="Arial"/>
          <w:sz w:val="21"/>
          <w:szCs w:val="21"/>
          <w:color w:val="auto"/>
        </w:rPr>
        <w:t>” means the NYSE American (formerly named NYSE MKT), the stock exchange on which our shares of class A common stock trade.</w:t>
      </w:r>
    </w:p>
    <w:p>
      <w:pPr>
        <w:spacing w:after="0" w:line="15" w:lineRule="exact"/>
        <w:rPr>
          <w:sz w:val="20"/>
          <w:szCs w:val="20"/>
          <w:color w:val="auto"/>
        </w:rPr>
      </w:pPr>
    </w:p>
    <w:p>
      <w:pPr>
        <w:ind w:left="160" w:right="80" w:hanging="163"/>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PCAOB</w:t>
      </w:r>
      <w:r>
        <w:rPr>
          <w:rFonts w:ascii="Arial" w:cs="Arial" w:eastAsia="Arial" w:hAnsi="Arial"/>
          <w:sz w:val="21"/>
          <w:szCs w:val="21"/>
          <w:color w:val="auto"/>
        </w:rPr>
        <w:t>” means the Public Company Accounting Oversight Board, a private sector, non-profit corporation that oversees auditors of U.S. public companies.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PwC</w:t>
      </w:r>
      <w:r>
        <w:rPr>
          <w:rFonts w:ascii="Arial" w:cs="Arial" w:eastAsia="Arial" w:hAnsi="Arial"/>
          <w:sz w:val="21"/>
          <w:szCs w:val="21"/>
          <w:color w:val="auto"/>
        </w:rPr>
        <w:t>” means PricewaterhouseCoopers LLP, our independent registered public accounting firm.</w:t>
      </w:r>
    </w:p>
    <w:p>
      <w:pPr>
        <w:spacing w:after="0" w:line="74" w:lineRule="exact"/>
        <w:rPr>
          <w:sz w:val="20"/>
          <w:szCs w:val="20"/>
          <w:color w:val="auto"/>
        </w:rPr>
      </w:pPr>
    </w:p>
    <w:p>
      <w:pPr>
        <w:ind w:left="160" w:right="1080" w:hanging="157"/>
        <w:spacing w:after="0" w:line="28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record date</w:t>
      </w:r>
      <w:r>
        <w:rPr>
          <w:rFonts w:ascii="Arial" w:cs="Arial" w:eastAsia="Arial" w:hAnsi="Arial"/>
          <w:sz w:val="20"/>
          <w:szCs w:val="20"/>
          <w:color w:val="auto"/>
        </w:rPr>
        <w:t>” means the close of business on March 31, 2021, the date our board of directors set for the determination of stockholders entitled to notice of and to vote at the 2021 annual meeting of our stockholders.</w:t>
      </w:r>
    </w:p>
    <w:p>
      <w:pPr>
        <w:spacing w:after="0" w:line="2" w:lineRule="exact"/>
        <w:rPr>
          <w:sz w:val="20"/>
          <w:szCs w:val="20"/>
          <w:color w:val="auto"/>
        </w:rPr>
      </w:pPr>
    </w:p>
    <w:p>
      <w:pPr>
        <w:ind w:left="160" w:right="640" w:hanging="163"/>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RPT Policy</w:t>
      </w:r>
      <w:r>
        <w:rPr>
          <w:rFonts w:ascii="Arial" w:cs="Arial" w:eastAsia="Arial" w:hAnsi="Arial"/>
          <w:sz w:val="21"/>
          <w:szCs w:val="21"/>
          <w:color w:val="auto"/>
        </w:rPr>
        <w:t>” means the Amended and Restated CompX International Inc. Policy Regarding Related Party Transactions dated August 3, 2016 (updated February 15, 2021).</w:t>
      </w:r>
    </w:p>
    <w:p>
      <w:pPr>
        <w:spacing w:after="0" w:line="15" w:lineRule="exact"/>
        <w:rPr>
          <w:sz w:val="20"/>
          <w:szCs w:val="20"/>
          <w:color w:val="auto"/>
        </w:rPr>
      </w:pPr>
    </w:p>
    <w:p>
      <w:pPr>
        <w:ind w:left="160" w:right="80" w:hanging="163"/>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Say-on-Pay</w:t>
      </w:r>
      <w:r>
        <w:rPr>
          <w:rFonts w:ascii="Arial" w:cs="Arial" w:eastAsia="Arial" w:hAnsi="Arial"/>
          <w:sz w:val="21"/>
          <w:szCs w:val="21"/>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SEC</w:t>
      </w:r>
      <w:r>
        <w:rPr>
          <w:rFonts w:ascii="Arial" w:cs="Arial" w:eastAsia="Arial" w:hAnsi="Arial"/>
          <w:sz w:val="21"/>
          <w:szCs w:val="21"/>
          <w:color w:val="auto"/>
        </w:rPr>
        <w:t>” means the U.S. Securities and Exchange Commission.</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Securities Exchange Act</w:t>
      </w:r>
      <w:r>
        <w:rPr>
          <w:rFonts w:ascii="Arial" w:cs="Arial" w:eastAsia="Arial" w:hAnsi="Arial"/>
          <w:sz w:val="21"/>
          <w:szCs w:val="21"/>
          <w:color w:val="auto"/>
        </w:rPr>
        <w:t>” means the Securities Exchange Act of 1934, as amended.</w:t>
      </w:r>
    </w:p>
    <w:p>
      <w:pPr>
        <w:spacing w:after="0" w:line="60" w:lineRule="exact"/>
        <w:rPr>
          <w:sz w:val="20"/>
          <w:szCs w:val="20"/>
          <w:color w:val="auto"/>
        </w:rPr>
      </w:pPr>
    </w:p>
    <w:p>
      <w:pPr>
        <w:ind w:left="160" w:right="700" w:hanging="163"/>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stockholder of record</w:t>
      </w:r>
      <w:r>
        <w:rPr>
          <w:rFonts w:ascii="Arial" w:cs="Arial" w:eastAsia="Arial" w:hAnsi="Arial"/>
          <w:sz w:val="21"/>
          <w:szCs w:val="21"/>
          <w:color w:val="auto"/>
        </w:rPr>
        <w:t>” means a stockholder of our class A common stock who holds shares in its name in certificate form or electronically with our transfer agent, Computershare.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Tall Pines</w:t>
      </w:r>
      <w:r>
        <w:rPr>
          <w:rFonts w:ascii="Arial" w:cs="Arial" w:eastAsia="Arial" w:hAnsi="Arial"/>
          <w:sz w:val="21"/>
          <w:szCs w:val="21"/>
          <w:color w:val="auto"/>
        </w:rPr>
        <w:t>” means Tall Pines Insurance Company, an indirect wholly-owned captive insurance subsidiary of Valhi.</w:t>
      </w:r>
    </w:p>
    <w:p>
      <w:pPr>
        <w:spacing w:after="0" w:line="60" w:lineRule="exact"/>
        <w:rPr>
          <w:sz w:val="20"/>
          <w:szCs w:val="20"/>
          <w:color w:val="auto"/>
        </w:rPr>
      </w:pPr>
    </w:p>
    <w:p>
      <w:pPr>
        <w:ind w:left="160" w:right="640" w:hanging="15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Valhi</w:t>
      </w:r>
      <w:r>
        <w:rPr>
          <w:rFonts w:ascii="Arial" w:cs="Arial" w:eastAsia="Arial" w:hAnsi="Arial"/>
          <w:sz w:val="21"/>
          <w:szCs w:val="21"/>
          <w:color w:val="auto"/>
        </w:rPr>
        <w:t>” means Valhi, Inc., one of our publicly held parent corporations that is a diversified holding company of which NL and Kronos Worldwide are subsidiaries.</w:t>
      </w:r>
    </w:p>
    <w:p>
      <w:pPr>
        <w:sectPr>
          <w:pgSz w:w="11900" w:h="16838" w:orient="portrait"/>
          <w:cols w:equalWidth="0" w:num="1">
            <w:col w:w="11240"/>
          </w:cols>
          <w:pgMar w:left="320" w:top="114" w:right="3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Three Lincoln Centre</w:t>
      </w:r>
    </w:p>
    <w:p>
      <w:pPr>
        <w:jc w:val="center"/>
        <w:ind w:right="-19"/>
        <w:spacing w:after="0" w:line="234" w:lineRule="auto"/>
        <w:rPr>
          <w:sz w:val="20"/>
          <w:szCs w:val="20"/>
          <w:color w:val="auto"/>
        </w:rPr>
      </w:pPr>
      <w:r>
        <w:rPr>
          <w:rFonts w:ascii="Arial" w:cs="Arial" w:eastAsia="Arial" w:hAnsi="Arial"/>
          <w:sz w:val="21"/>
          <w:szCs w:val="21"/>
          <w:b w:val="1"/>
          <w:bCs w:val="1"/>
          <w:color w:val="auto"/>
        </w:rPr>
        <w:t>5430 LBJ Freeway, Suite 1700</w:t>
      </w:r>
    </w:p>
    <w:p>
      <w:pPr>
        <w:spacing w:after="0" w:line="1" w:lineRule="exact"/>
        <w:rPr>
          <w:sz w:val="20"/>
          <w:szCs w:val="20"/>
          <w:color w:val="auto"/>
        </w:rPr>
      </w:pPr>
    </w:p>
    <w:p>
      <w:pPr>
        <w:jc w:val="center"/>
        <w:ind w:right="-19"/>
        <w:spacing w:after="0" w:line="242" w:lineRule="exact"/>
        <w:rPr>
          <w:sz w:val="20"/>
          <w:szCs w:val="20"/>
          <w:color w:val="auto"/>
        </w:rPr>
      </w:pPr>
      <w:r>
        <w:rPr>
          <w:rFonts w:ascii="Arial" w:cs="Arial" w:eastAsia="Arial" w:hAnsi="Arial"/>
          <w:sz w:val="21"/>
          <w:szCs w:val="21"/>
          <w:b w:val="1"/>
          <w:bCs w:val="1"/>
          <w:color w:val="auto"/>
        </w:rPr>
        <w:t>Dallas, Texas 75240</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2620</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GENERAL INFORMATION</w:t>
      </w:r>
    </w:p>
    <w:p>
      <w:pPr>
        <w:spacing w:after="0" w:line="211" w:lineRule="exact"/>
        <w:rPr>
          <w:sz w:val="20"/>
          <w:szCs w:val="20"/>
          <w:color w:val="auto"/>
        </w:rPr>
      </w:pPr>
    </w:p>
    <w:p>
      <w:pPr>
        <w:ind w:right="20" w:firstLine="630"/>
        <w:spacing w:after="0" w:line="259" w:lineRule="auto"/>
        <w:rPr>
          <w:sz w:val="20"/>
          <w:szCs w:val="20"/>
          <w:color w:val="auto"/>
        </w:rPr>
      </w:pPr>
      <w:r>
        <w:rPr>
          <w:rFonts w:ascii="Arial" w:cs="Arial" w:eastAsia="Arial" w:hAnsi="Arial"/>
          <w:sz w:val="20"/>
          <w:szCs w:val="20"/>
          <w:color w:val="auto"/>
        </w:rPr>
        <w:t>We are providing this proxy statement in connection with the solicitation of proxies by and on behalf of our board of directors for use at our 2021 annual meeting of stockholders to be held on Wednesday, May 26, 2021 and at any adjournment or postponement of the meeting. We will begin mailing our 2021 annual meeting materials on or about April 20, 2021 to the holders of our class A common stock as of the close of business on March 31, 2021. Our mailed materials include:</w:t>
      </w:r>
    </w:p>
    <w:p>
      <w:pPr>
        <w:spacing w:after="0" w:line="67" w:lineRule="exact"/>
        <w:rPr>
          <w:sz w:val="20"/>
          <w:szCs w:val="20"/>
          <w:color w:val="auto"/>
        </w:rPr>
      </w:pPr>
    </w:p>
    <w:p>
      <w:pPr>
        <w:ind w:left="1260" w:hanging="62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accompanying notice of the 2021 annual meeting of stockholders;</w:t>
      </w:r>
    </w:p>
    <w:p>
      <w:pPr>
        <w:spacing w:after="0" w:line="213" w:lineRule="exact"/>
        <w:rPr>
          <w:rFonts w:ascii="Arial" w:cs="Arial" w:eastAsia="Arial" w:hAnsi="Arial"/>
          <w:sz w:val="18"/>
          <w:szCs w:val="18"/>
          <w:color w:val="auto"/>
        </w:rPr>
      </w:pPr>
    </w:p>
    <w:p>
      <w:pPr>
        <w:ind w:left="1260" w:hanging="62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213" w:lineRule="exact"/>
        <w:rPr>
          <w:rFonts w:ascii="Arial" w:cs="Arial" w:eastAsia="Arial" w:hAnsi="Arial"/>
          <w:sz w:val="18"/>
          <w:szCs w:val="18"/>
          <w:color w:val="auto"/>
        </w:rPr>
      </w:pPr>
    </w:p>
    <w:p>
      <w:pPr>
        <w:ind w:left="1260" w:hanging="625"/>
        <w:spacing w:after="0"/>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2020 Annual Report to Stockholders, which includes our Annual Report on Form 10-K for the fiscal year ended December 31, 2020; and</w:t>
      </w:r>
    </w:p>
    <w:p>
      <w:pPr>
        <w:spacing w:after="0" w:line="236" w:lineRule="exact"/>
        <w:rPr>
          <w:rFonts w:ascii="Arial" w:cs="Arial" w:eastAsia="Arial" w:hAnsi="Arial"/>
          <w:sz w:val="16"/>
          <w:szCs w:val="16"/>
          <w:color w:val="auto"/>
        </w:rPr>
      </w:pPr>
    </w:p>
    <w:p>
      <w:pPr>
        <w:ind w:left="1260" w:right="640" w:hanging="625"/>
        <w:spacing w:after="0" w:line="260"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proxy card (or voting instruction form if you hold your shares through a brokerage firm or other nominee and not in your name in certificate form or electronically with our transfer agent, Computershare).</w:t>
      </w:r>
    </w:p>
    <w:p>
      <w:pPr>
        <w:spacing w:after="0" w:line="383" w:lineRule="exact"/>
        <w:rPr>
          <w:sz w:val="20"/>
          <w:szCs w:val="20"/>
          <w:color w:val="auto"/>
        </w:rPr>
      </w:pPr>
    </w:p>
    <w:p>
      <w:pPr>
        <w:ind w:right="180"/>
        <w:spacing w:after="0" w:line="243" w:lineRule="auto"/>
        <w:rPr>
          <w:sz w:val="20"/>
          <w:szCs w:val="20"/>
          <w:color w:val="auto"/>
        </w:rPr>
      </w:pPr>
      <w:r>
        <w:rPr>
          <w:rFonts w:ascii="Arial" w:cs="Arial" w:eastAsia="Arial" w:hAnsi="Arial"/>
          <w:sz w:val="21"/>
          <w:szCs w:val="21"/>
          <w:color w:val="auto"/>
        </w:rPr>
        <w:t>We are not incorporating the 2020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75240-2620.</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Please refer to the Glossary of Terms on page ii for the definitions of certain terms used in this proxy statement.</w:t>
      </w:r>
    </w:p>
    <w:p>
      <w:pPr>
        <w:spacing w:after="0" w:line="199" w:lineRule="exact"/>
        <w:rPr>
          <w:sz w:val="20"/>
          <w:szCs w:val="20"/>
          <w:color w:val="auto"/>
        </w:rPr>
      </w:pPr>
    </w:p>
    <w:p>
      <w:pPr>
        <w:ind w:left="2560"/>
        <w:spacing w:after="0"/>
        <w:rPr>
          <w:sz w:val="20"/>
          <w:szCs w:val="20"/>
          <w:color w:val="auto"/>
        </w:rPr>
      </w:pPr>
      <w:r>
        <w:rPr>
          <w:rFonts w:ascii="Arial" w:cs="Arial" w:eastAsia="Arial" w:hAnsi="Arial"/>
          <w:sz w:val="21"/>
          <w:szCs w:val="21"/>
          <w:b w:val="1"/>
          <w:bCs w:val="1"/>
          <w:color w:val="auto"/>
        </w:rPr>
        <w:t>QUESTIONS AND ANSWERS ABOUT THE ANNUAL MEETING</w:t>
      </w:r>
    </w:p>
    <w:p>
      <w:pPr>
        <w:spacing w:after="0" w:line="214" w:lineRule="exact"/>
        <w:rPr>
          <w:sz w:val="20"/>
          <w:szCs w:val="20"/>
          <w:color w:val="auto"/>
        </w:rPr>
      </w:pPr>
    </w:p>
    <w:p>
      <w:pPr>
        <w:ind w:left="640" w:hanging="635"/>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annual meeting?</w:t>
      </w:r>
    </w:p>
    <w:p>
      <w:pPr>
        <w:spacing w:after="0" w:line="219" w:lineRule="exact"/>
        <w:rPr>
          <w:sz w:val="20"/>
          <w:szCs w:val="20"/>
          <w:color w:val="auto"/>
        </w:rPr>
      </w:pPr>
    </w:p>
    <w:p>
      <w:pPr>
        <w:ind w:left="640" w:hanging="635"/>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annual meeting, stockholders will vote on the following, as described in this proxy statement:</w:t>
      </w:r>
    </w:p>
    <w:p>
      <w:pPr>
        <w:spacing w:after="0" w:line="108" w:lineRule="exact"/>
        <w:rPr>
          <w:rFonts w:ascii="Arial" w:cs="Arial" w:eastAsia="Arial" w:hAnsi="Arial"/>
          <w:sz w:val="18"/>
          <w:szCs w:val="18"/>
          <w:color w:val="auto"/>
        </w:rPr>
      </w:pPr>
    </w:p>
    <w:p>
      <w:pPr>
        <w:ind w:left="960" w:hanging="325"/>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Proposal 1 – the election of the seven director nominees named in this proxy statement; and</w:t>
      </w:r>
    </w:p>
    <w:p>
      <w:pPr>
        <w:spacing w:after="0" w:line="14" w:lineRule="exact"/>
        <w:rPr>
          <w:rFonts w:ascii="Arial" w:cs="Arial" w:eastAsia="Arial" w:hAnsi="Arial"/>
          <w:sz w:val="18"/>
          <w:szCs w:val="18"/>
          <w:color w:val="auto"/>
        </w:rPr>
      </w:pPr>
    </w:p>
    <w:p>
      <w:pPr>
        <w:ind w:left="960" w:hanging="325"/>
        <w:spacing w:after="0" w:line="247"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Proposal 2 – the adoption of a nonbinding advisory resolution that approves the named executive officer compensation described in this proxy statement (Say-on-Pay).</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addition, stockholders will vote on any other matter that may properly come before the meeting.</w:t>
      </w:r>
    </w:p>
    <w:p>
      <w:pPr>
        <w:spacing w:after="0" w:line="208" w:lineRule="exact"/>
        <w:rPr>
          <w:sz w:val="20"/>
          <w:szCs w:val="20"/>
          <w:color w:val="auto"/>
        </w:rPr>
      </w:pPr>
    </w:p>
    <w:p>
      <w:pPr>
        <w:ind w:left="640" w:hanging="635"/>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that I vote?</w:t>
      </w:r>
    </w:p>
    <w:p>
      <w:pPr>
        <w:spacing w:after="0" w:line="219" w:lineRule="exact"/>
        <w:rPr>
          <w:sz w:val="20"/>
          <w:szCs w:val="20"/>
          <w:color w:val="auto"/>
        </w:rPr>
      </w:pPr>
    </w:p>
    <w:p>
      <w:pPr>
        <w:ind w:left="640" w:hanging="635"/>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of directors recommends that you vote FOR:</w:t>
      </w:r>
    </w:p>
    <w:p>
      <w:pPr>
        <w:spacing w:after="0" w:line="108" w:lineRule="exact"/>
        <w:rPr>
          <w:rFonts w:ascii="Arial" w:cs="Arial" w:eastAsia="Arial" w:hAnsi="Arial"/>
          <w:sz w:val="18"/>
          <w:szCs w:val="18"/>
          <w:color w:val="auto"/>
        </w:rPr>
      </w:pPr>
    </w:p>
    <w:p>
      <w:pPr>
        <w:ind w:left="1260" w:hanging="62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election of each of the nominees for director named in this proxy statement; and</w:t>
      </w:r>
    </w:p>
    <w:p>
      <w:pPr>
        <w:spacing w:after="0" w:line="213" w:lineRule="exact"/>
        <w:rPr>
          <w:rFonts w:ascii="Arial" w:cs="Arial" w:eastAsia="Arial" w:hAnsi="Arial"/>
          <w:sz w:val="18"/>
          <w:szCs w:val="18"/>
          <w:color w:val="auto"/>
        </w:rPr>
      </w:pPr>
    </w:p>
    <w:p>
      <w:pPr>
        <w:ind w:left="1260" w:hanging="62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approval and adoption of proposal 2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13613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6" w:name="page7"/>
    <w:bookmarkEnd w:id="6"/>
    <w:p>
      <w:pPr>
        <w:ind w:left="635" w:hanging="635"/>
        <w:spacing w:after="0"/>
        <w:tabs>
          <w:tab w:leader="none" w:pos="63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Who is allowed to vote at the annual meeting?</w:t>
      </w:r>
    </w:p>
    <w:p>
      <w:pPr>
        <w:spacing w:after="0" w:line="219" w:lineRule="exact"/>
        <w:rPr>
          <w:sz w:val="20"/>
          <w:szCs w:val="20"/>
          <w:color w:val="auto"/>
        </w:rPr>
      </w:pPr>
    </w:p>
    <w:p>
      <w:pPr>
        <w:ind w:left="635" w:hanging="635"/>
        <w:spacing w:after="0" w:line="249"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directors has set the close of business on March 31, 2021 as the record date for the determination of stockholders entitled to notice of and to vote at the meeting. Only holders of our class A common stock as of the close of business on the record date are entitled to vote at the meeting. On the record date, 12,401,157 shares of our class A common stock were issued and outstanding. Each share of our class A common stock entitles its holder to one vote.</w:t>
      </w:r>
    </w:p>
    <w:p>
      <w:pPr>
        <w:spacing w:after="0" w:line="185" w:lineRule="exact"/>
        <w:rPr>
          <w:sz w:val="20"/>
          <w:szCs w:val="20"/>
          <w:color w:val="auto"/>
        </w:rPr>
      </w:pPr>
    </w:p>
    <w:p>
      <w:pPr>
        <w:ind w:left="635" w:hanging="635"/>
        <w:spacing w:after="0"/>
        <w:tabs>
          <w:tab w:leader="none" w:pos="63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stockholder of record?</w:t>
      </w:r>
    </w:p>
    <w:p>
      <w:pPr>
        <w:spacing w:after="0" w:line="219" w:lineRule="exact"/>
        <w:rPr>
          <w:sz w:val="20"/>
          <w:szCs w:val="20"/>
          <w:color w:val="auto"/>
        </w:rPr>
      </w:pPr>
    </w:p>
    <w:p>
      <w:pPr>
        <w:ind w:left="635" w:right="340" w:hanging="635"/>
        <w:spacing w:after="0" w:line="323" w:lineRule="auto"/>
        <w:tabs>
          <w:tab w:leader="none" w:pos="6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you hold shares of our class A common stock in your name in certificate form or electronically with our transfer agent, Computershare, and not through a brokerage firm or other nominee, you are a stockholder of record. As a stockholder of record, you may:</w:t>
      </w:r>
    </w:p>
    <w:p>
      <w:pPr>
        <w:spacing w:after="0" w:line="29" w:lineRule="exact"/>
        <w:rPr>
          <w:rFonts w:ascii="Arial" w:cs="Arial" w:eastAsia="Arial" w:hAnsi="Arial"/>
          <w:sz w:val="16"/>
          <w:szCs w:val="16"/>
          <w:color w:val="auto"/>
        </w:rPr>
      </w:pPr>
    </w:p>
    <w:p>
      <w:pPr>
        <w:ind w:left="1255" w:hanging="625"/>
        <w:spacing w:after="0"/>
        <w:tabs>
          <w:tab w:leader="none" w:pos="12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vote over the internet at </w:t>
      </w:r>
      <w:r>
        <w:rPr>
          <w:rFonts w:ascii="Arial" w:cs="Arial" w:eastAsia="Arial" w:hAnsi="Arial"/>
          <w:sz w:val="18"/>
          <w:szCs w:val="18"/>
          <w:b w:val="1"/>
          <w:bCs w:val="1"/>
          <w:i w:val="1"/>
          <w:iCs w:val="1"/>
          <w:color w:val="auto"/>
        </w:rPr>
        <w:t>www.AALvote.com/CIX</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255" w:hanging="625"/>
        <w:spacing w:after="0"/>
        <w:tabs>
          <w:tab w:leader="none" w:pos="12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vote by telephone using the voting procedures set forth on your proxy card;</w:t>
      </w:r>
    </w:p>
    <w:p>
      <w:pPr>
        <w:spacing w:after="0" w:line="213" w:lineRule="exact"/>
        <w:rPr>
          <w:rFonts w:ascii="Arial" w:cs="Arial" w:eastAsia="Arial" w:hAnsi="Arial"/>
          <w:sz w:val="18"/>
          <w:szCs w:val="18"/>
          <w:color w:val="auto"/>
        </w:rPr>
      </w:pPr>
    </w:p>
    <w:p>
      <w:pPr>
        <w:ind w:left="1255" w:right="360" w:hanging="625"/>
        <w:spacing w:after="0" w:line="260" w:lineRule="auto"/>
        <w:tabs>
          <w:tab w:leader="none" w:pos="12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instruct the agents named on your proxy card how to vote your shares by completing, signing and mailing the enclosed proxy card in the envelope provided; or</w:t>
      </w:r>
    </w:p>
    <w:p>
      <w:pPr>
        <w:spacing w:after="0" w:line="181" w:lineRule="exact"/>
        <w:rPr>
          <w:rFonts w:ascii="Arial" w:cs="Arial" w:eastAsia="Arial" w:hAnsi="Arial"/>
          <w:sz w:val="18"/>
          <w:szCs w:val="18"/>
          <w:color w:val="auto"/>
        </w:rPr>
      </w:pPr>
    </w:p>
    <w:p>
      <w:pPr>
        <w:ind w:left="1255" w:hanging="625"/>
        <w:spacing w:after="0"/>
        <w:tabs>
          <w:tab w:leader="none" w:pos="12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200" w:lineRule="exact"/>
        <w:rPr>
          <w:sz w:val="20"/>
          <w:szCs w:val="20"/>
          <w:color w:val="auto"/>
        </w:rPr>
      </w:pPr>
    </w:p>
    <w:p>
      <w:pPr>
        <w:spacing w:after="0" w:line="217" w:lineRule="exact"/>
        <w:rPr>
          <w:sz w:val="20"/>
          <w:szCs w:val="20"/>
          <w:color w:val="auto"/>
        </w:rPr>
      </w:pPr>
    </w:p>
    <w:p>
      <w:pPr>
        <w:ind w:left="635" w:right="60" w:hanging="635"/>
        <w:spacing w:after="0" w:line="267" w:lineRule="auto"/>
        <w:tabs>
          <w:tab w:leader="none" w:pos="63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consequences if I am a stockholder of record and I execute my proxy card but do not indicate how I would like my shares voted for one or more of the director nominees named in this proxy statement or proposal 2?</w:t>
      </w:r>
    </w:p>
    <w:p>
      <w:pPr>
        <w:spacing w:after="0" w:line="176" w:lineRule="exact"/>
        <w:rPr>
          <w:sz w:val="20"/>
          <w:szCs w:val="20"/>
          <w:color w:val="auto"/>
        </w:rPr>
      </w:pPr>
    </w:p>
    <w:p>
      <w:pPr>
        <w:ind w:left="635" w:right="860" w:hanging="635"/>
        <w:spacing w:after="0" w:line="26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are a stockholder of record, the agents named on your proxy card will vote your shares on such uninstructed nominee or proposal as recommended by the board of directors in this proxy statement.</w:t>
      </w:r>
    </w:p>
    <w:p>
      <w:pPr>
        <w:spacing w:after="0" w:line="176" w:lineRule="exact"/>
        <w:rPr>
          <w:sz w:val="20"/>
          <w:szCs w:val="20"/>
          <w:color w:val="auto"/>
        </w:rPr>
      </w:pPr>
    </w:p>
    <w:p>
      <w:pPr>
        <w:ind w:left="635" w:hanging="635"/>
        <w:spacing w:after="0"/>
        <w:tabs>
          <w:tab w:leader="none" w:pos="63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my shares are held through a brokerage firm or other nominee?</w:t>
      </w:r>
    </w:p>
    <w:p>
      <w:pPr>
        <w:spacing w:after="0" w:line="219" w:lineRule="exact"/>
        <w:rPr>
          <w:sz w:val="20"/>
          <w:szCs w:val="20"/>
          <w:color w:val="auto"/>
        </w:rPr>
      </w:pPr>
    </w:p>
    <w:p>
      <w:pPr>
        <w:ind w:left="635" w:right="200" w:hanging="635"/>
        <w:spacing w:after="0" w:line="298" w:lineRule="auto"/>
        <w:tabs>
          <w:tab w:leader="none" w:pos="6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46" w:lineRule="exact"/>
        <w:rPr>
          <w:sz w:val="20"/>
          <w:szCs w:val="20"/>
          <w:color w:val="auto"/>
        </w:rPr>
      </w:pPr>
    </w:p>
    <w:p>
      <w:pPr>
        <w:ind w:left="635" w:right="180"/>
        <w:spacing w:after="0" w:line="250" w:lineRule="auto"/>
        <w:rPr>
          <w:sz w:val="20"/>
          <w:szCs w:val="20"/>
          <w:color w:val="auto"/>
        </w:rPr>
      </w:pPr>
      <w:r>
        <w:rPr>
          <w:rFonts w:ascii="Arial" w:cs="Arial" w:eastAsia="Arial" w:hAnsi="Arial"/>
          <w:sz w:val="20"/>
          <w:szCs w:val="20"/>
          <w:b w:val="1"/>
          <w:bCs w:val="1"/>
          <w:i w:val="1"/>
          <w:iCs w:val="1"/>
          <w:color w:val="auto"/>
        </w:rPr>
        <w:t xml:space="preserve">Brokerage firms or other nominees may not vote your shares on the election of a director nominee or proposal 2 in the absence of your specific instructions as to how to vote. </w:t>
      </w:r>
      <w:r>
        <w:rPr>
          <w:rFonts w:ascii="Arial" w:cs="Arial" w:eastAsia="Arial" w:hAnsi="Arial"/>
          <w:sz w:val="20"/>
          <w:szCs w:val="20"/>
          <w:b w:val="1"/>
          <w:bCs w:val="1"/>
          <w:color w:val="auto"/>
        </w:rPr>
        <w:t>We encourage you to provide instructions to your brokerage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 xml:space="preserve">firm or other nominee regarding the voting of your shares. </w:t>
      </w:r>
      <w:r>
        <w:rPr>
          <w:rFonts w:ascii="Arial" w:cs="Arial" w:eastAsia="Arial" w:hAnsi="Arial"/>
          <w:sz w:val="20"/>
          <w:szCs w:val="20"/>
          <w:i w:val="1"/>
          <w:iCs w:val="1"/>
          <w:color w:val="auto"/>
        </w:rPr>
        <w:t>If you do not instruct your brokerage firm or other nominee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how to vote with respect to the election of a director nominee or proposal 2, your brokerage firm or other nominee may not vote with respect to the election of such director nominee or on proposal 2 and your vote will be counted as a “broker/nominee non-vote.” </w:t>
      </w:r>
      <w:r>
        <w:rPr>
          <w:rFonts w:ascii="Arial" w:cs="Arial" w:eastAsia="Arial" w:hAnsi="Arial"/>
          <w:sz w:val="20"/>
          <w:szCs w:val="20"/>
          <w:color w:val="auto"/>
        </w:rPr>
        <w:t>“Broker/nominee non-votes” are non-votes by a brokerage firm or other nominee for shares</w:t>
      </w:r>
      <w:r>
        <w:rPr>
          <w:rFonts w:ascii="Arial" w:cs="Arial" w:eastAsia="Arial" w:hAnsi="Arial"/>
          <w:sz w:val="20"/>
          <w:szCs w:val="20"/>
          <w:i w:val="1"/>
          <w:iCs w:val="1"/>
          <w:color w:val="auto"/>
        </w:rPr>
        <w:t xml:space="preserve"> </w:t>
      </w:r>
      <w:r>
        <w:rPr>
          <w:rFonts w:ascii="Arial" w:cs="Arial" w:eastAsia="Arial" w:hAnsi="Arial"/>
          <w:sz w:val="20"/>
          <w:szCs w:val="20"/>
          <w:color w:val="auto"/>
        </w:rPr>
        <w:t>held in a 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w:t>
      </w:r>
    </w:p>
    <w:p>
      <w:pPr>
        <w:spacing w:after="0" w:line="181" w:lineRule="exact"/>
        <w:rPr>
          <w:sz w:val="20"/>
          <w:szCs w:val="20"/>
          <w:color w:val="auto"/>
        </w:rPr>
      </w:pPr>
    </w:p>
    <w:p>
      <w:pPr>
        <w:ind w:left="635" w:hanging="635"/>
        <w:spacing w:after="0"/>
        <w:tabs>
          <w:tab w:leader="none" w:pos="6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through a brokerage firm or other nominee, how may I vote in person at the annual meeting?</w:t>
      </w:r>
    </w:p>
    <w:p>
      <w:pPr>
        <w:spacing w:after="0" w:line="219" w:lineRule="exact"/>
        <w:rPr>
          <w:sz w:val="20"/>
          <w:szCs w:val="20"/>
          <w:color w:val="auto"/>
        </w:rPr>
      </w:pPr>
    </w:p>
    <w:p>
      <w:pPr>
        <w:ind w:left="635" w:right="420" w:hanging="635"/>
        <w:spacing w:after="0" w:line="260"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 wish to vote in person at the annual meeting, you will need to follow the instructions on your voting instruction form on how to obtain the appropriate documents to vote in person at the meeting.</w:t>
      </w:r>
    </w:p>
    <w:p>
      <w:pPr>
        <w:spacing w:after="0" w:line="176" w:lineRule="exact"/>
        <w:rPr>
          <w:sz w:val="20"/>
          <w:szCs w:val="20"/>
          <w:color w:val="auto"/>
        </w:rPr>
      </w:pPr>
    </w:p>
    <w:p>
      <w:pPr>
        <w:ind w:left="635" w:hanging="635"/>
        <w:spacing w:after="0"/>
        <w:tabs>
          <w:tab w:leader="none" w:pos="63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219" w:lineRule="exact"/>
        <w:rPr>
          <w:sz w:val="20"/>
          <w:szCs w:val="20"/>
          <w:color w:val="auto"/>
        </w:rPr>
      </w:pPr>
    </w:p>
    <w:p>
      <w:pPr>
        <w:ind w:left="635" w:right="440" w:hanging="635"/>
        <w:spacing w:after="0" w:line="260"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of directors has appointed Alliance Advisors to ascertain the number of shares represented, tabulate the vote and serve as inspector of election for the meeting.</w:t>
      </w:r>
    </w:p>
    <w:p>
      <w:pPr>
        <w:spacing w:after="0" w:line="175" w:lineRule="exact"/>
        <w:rPr>
          <w:rFonts w:ascii="Arial" w:cs="Arial" w:eastAsia="Arial" w:hAnsi="Arial"/>
          <w:sz w:val="18"/>
          <w:szCs w:val="18"/>
          <w:color w:val="auto"/>
        </w:rPr>
      </w:pPr>
    </w:p>
    <w:p>
      <w:pPr>
        <w:ind w:left="5575" w:hanging="73"/>
        <w:spacing w:after="0"/>
        <w:tabs>
          <w:tab w:leader="none" w:pos="5575" w:val="left"/>
        </w:tabs>
        <w:numPr>
          <w:ilvl w:val="1"/>
          <w:numId w:val="24"/>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75"/>
          </w:cols>
          <w:pgMar w:left="325" w:top="804" w:right="399" w:bottom="1440" w:gutter="0" w:footer="0" w:header="0"/>
        </w:sectPr>
      </w:pPr>
    </w:p>
    <w:bookmarkStart w:id="7" w:name="page8"/>
    <w:bookmarkEnd w:id="7"/>
    <w:p>
      <w:pPr>
        <w:ind w:left="635" w:hanging="635"/>
        <w:spacing w:after="0"/>
        <w:tabs>
          <w:tab w:leader="none" w:pos="63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19" w:lineRule="exact"/>
        <w:rPr>
          <w:sz w:val="20"/>
          <w:szCs w:val="20"/>
          <w:color w:val="auto"/>
        </w:rPr>
      </w:pPr>
    </w:p>
    <w:p>
      <w:pPr>
        <w:ind w:left="635" w:hanging="635"/>
        <w:spacing w:after="0"/>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Yes. All proxy cards, ballots or voting instructions will be kept confidential in accordance with our bylaws.</w:t>
      </w:r>
    </w:p>
    <w:p>
      <w:pPr>
        <w:spacing w:after="0" w:line="207" w:lineRule="exact"/>
        <w:rPr>
          <w:sz w:val="20"/>
          <w:szCs w:val="20"/>
          <w:color w:val="auto"/>
        </w:rPr>
      </w:pPr>
    </w:p>
    <w:p>
      <w:pPr>
        <w:ind w:left="635" w:hanging="635"/>
        <w:spacing w:after="0"/>
        <w:tabs>
          <w:tab w:leader="none" w:pos="63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proxy instructions if I am a stockholder of record?</w:t>
      </w:r>
    </w:p>
    <w:p>
      <w:pPr>
        <w:spacing w:after="0" w:line="219" w:lineRule="exact"/>
        <w:rPr>
          <w:sz w:val="20"/>
          <w:szCs w:val="20"/>
          <w:color w:val="auto"/>
        </w:rPr>
      </w:pPr>
    </w:p>
    <w:p>
      <w:pPr>
        <w:ind w:left="635" w:hanging="635"/>
        <w:spacing w:after="0"/>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you are a stockholder of record, you may change or revoke your proxy instructions in any of the following ways:</w:t>
      </w:r>
    </w:p>
    <w:p>
      <w:pPr>
        <w:spacing w:after="0" w:line="108" w:lineRule="exact"/>
        <w:rPr>
          <w:rFonts w:ascii="Arial" w:cs="Arial" w:eastAsia="Arial" w:hAnsi="Arial"/>
          <w:sz w:val="18"/>
          <w:szCs w:val="18"/>
          <w:color w:val="auto"/>
        </w:rPr>
      </w:pPr>
    </w:p>
    <w:p>
      <w:pPr>
        <w:ind w:left="1255" w:hanging="625"/>
        <w:spacing w:after="0"/>
        <w:tabs>
          <w:tab w:leader="none" w:pos="12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delivering to Alliance Advisors a written revocation;</w:t>
      </w:r>
    </w:p>
    <w:p>
      <w:pPr>
        <w:spacing w:after="0" w:line="213" w:lineRule="exact"/>
        <w:rPr>
          <w:rFonts w:ascii="Arial" w:cs="Arial" w:eastAsia="Arial" w:hAnsi="Arial"/>
          <w:sz w:val="18"/>
          <w:szCs w:val="18"/>
          <w:color w:val="auto"/>
        </w:rPr>
      </w:pPr>
    </w:p>
    <w:p>
      <w:pPr>
        <w:ind w:left="1255" w:hanging="625"/>
        <w:spacing w:after="0"/>
        <w:tabs>
          <w:tab w:leader="none" w:pos="12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submitting another proxy card bearing a later date;</w:t>
      </w:r>
    </w:p>
    <w:p>
      <w:pPr>
        <w:spacing w:after="0" w:line="213" w:lineRule="exact"/>
        <w:rPr>
          <w:rFonts w:ascii="Arial" w:cs="Arial" w:eastAsia="Arial" w:hAnsi="Arial"/>
          <w:sz w:val="18"/>
          <w:szCs w:val="18"/>
          <w:color w:val="auto"/>
        </w:rPr>
      </w:pPr>
    </w:p>
    <w:p>
      <w:pPr>
        <w:ind w:left="1255" w:hanging="625"/>
        <w:spacing w:after="0"/>
        <w:tabs>
          <w:tab w:leader="none" w:pos="12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changing your vote on </w:t>
      </w:r>
      <w:r>
        <w:rPr>
          <w:rFonts w:ascii="Arial" w:cs="Arial" w:eastAsia="Arial" w:hAnsi="Arial"/>
          <w:sz w:val="18"/>
          <w:szCs w:val="18"/>
          <w:b w:val="1"/>
          <w:bCs w:val="1"/>
          <w:i w:val="1"/>
          <w:iCs w:val="1"/>
          <w:color w:val="auto"/>
        </w:rPr>
        <w:t>www.AALvote.com/CIX</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255" w:hanging="625"/>
        <w:spacing w:after="0"/>
        <w:tabs>
          <w:tab w:leader="none" w:pos="12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using the telephone voting procedures set forth on your proxy card; or</w:t>
      </w:r>
    </w:p>
    <w:p>
      <w:pPr>
        <w:spacing w:after="0" w:line="213" w:lineRule="exact"/>
        <w:rPr>
          <w:rFonts w:ascii="Arial" w:cs="Arial" w:eastAsia="Arial" w:hAnsi="Arial"/>
          <w:sz w:val="18"/>
          <w:szCs w:val="18"/>
          <w:color w:val="auto"/>
        </w:rPr>
      </w:pPr>
    </w:p>
    <w:p>
      <w:pPr>
        <w:ind w:left="1255" w:hanging="625"/>
        <w:spacing w:after="0"/>
        <w:tabs>
          <w:tab w:leader="none" w:pos="1255" w:val="left"/>
        </w:tabs>
        <w:numPr>
          <w:ilvl w:val="1"/>
          <w:numId w:val="28"/>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00" w:lineRule="exact"/>
        <w:rPr>
          <w:sz w:val="20"/>
          <w:szCs w:val="20"/>
          <w:color w:val="auto"/>
        </w:rPr>
      </w:pPr>
    </w:p>
    <w:p>
      <w:pPr>
        <w:spacing w:after="0" w:line="217" w:lineRule="exact"/>
        <w:rPr>
          <w:sz w:val="20"/>
          <w:szCs w:val="20"/>
          <w:color w:val="auto"/>
        </w:rPr>
      </w:pPr>
    </w:p>
    <w:p>
      <w:pPr>
        <w:ind w:left="635" w:hanging="635"/>
        <w:spacing w:after="0"/>
        <w:tabs>
          <w:tab w:leader="none" w:pos="63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voting instructions if my shares are held through a brokerage firm or other nominee?</w:t>
      </w:r>
    </w:p>
    <w:p>
      <w:pPr>
        <w:spacing w:after="0" w:line="219" w:lineRule="exact"/>
        <w:rPr>
          <w:sz w:val="20"/>
          <w:szCs w:val="20"/>
          <w:color w:val="auto"/>
        </w:rPr>
      </w:pPr>
    </w:p>
    <w:p>
      <w:pPr>
        <w:ind w:left="635" w:hanging="635"/>
        <w:spacing w:after="0" w:line="26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202" w:lineRule="exact"/>
        <w:rPr>
          <w:sz w:val="20"/>
          <w:szCs w:val="20"/>
          <w:color w:val="auto"/>
        </w:rPr>
      </w:pPr>
    </w:p>
    <w:p>
      <w:pPr>
        <w:ind w:left="635" w:hanging="635"/>
        <w:spacing w:after="0"/>
        <w:tabs>
          <w:tab w:leader="none" w:pos="6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19" w:lineRule="exact"/>
        <w:rPr>
          <w:sz w:val="20"/>
          <w:szCs w:val="20"/>
          <w:color w:val="auto"/>
        </w:rPr>
      </w:pPr>
    </w:p>
    <w:p>
      <w:pPr>
        <w:ind w:left="635" w:right="600" w:hanging="635"/>
        <w:spacing w:after="0" w:line="26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quorum is the presence, in person or by proxy, of the holders of a majority of the votes from holders of the outstanding shares of our class A common stock entitled to vote at the meeting.</w:t>
      </w:r>
    </w:p>
    <w:p>
      <w:pPr>
        <w:spacing w:after="0" w:line="173" w:lineRule="exact"/>
        <w:rPr>
          <w:sz w:val="20"/>
          <w:szCs w:val="20"/>
          <w:color w:val="auto"/>
        </w:rPr>
      </w:pPr>
    </w:p>
    <w:p>
      <w:pPr>
        <w:ind w:left="635" w:right="560"/>
        <w:spacing w:after="0" w:line="260" w:lineRule="auto"/>
        <w:rPr>
          <w:sz w:val="20"/>
          <w:szCs w:val="20"/>
          <w:color w:val="auto"/>
        </w:rPr>
      </w:pPr>
      <w:r>
        <w:rPr>
          <w:rFonts w:ascii="Arial" w:cs="Arial" w:eastAsia="Arial" w:hAnsi="Arial"/>
          <w:sz w:val="21"/>
          <w:szCs w:val="21"/>
          <w:color w:val="auto"/>
        </w:rPr>
        <w:t>Shares that are voted “abstain” or “withheld” are counted as present and entitled to vote and are, therefore, included for purposes of determining whether a quorum is present at the annual meeting.</w:t>
      </w:r>
    </w:p>
    <w:p>
      <w:pPr>
        <w:spacing w:after="0" w:line="159" w:lineRule="exact"/>
        <w:rPr>
          <w:sz w:val="20"/>
          <w:szCs w:val="20"/>
          <w:color w:val="auto"/>
        </w:rPr>
      </w:pPr>
    </w:p>
    <w:p>
      <w:pPr>
        <w:ind w:left="635" w:right="100"/>
        <w:spacing w:after="0" w:line="252" w:lineRule="auto"/>
        <w:rPr>
          <w:sz w:val="20"/>
          <w:szCs w:val="20"/>
          <w:color w:val="auto"/>
        </w:rPr>
      </w:pPr>
      <w:r>
        <w:rPr>
          <w:rFonts w:ascii="Arial" w:cs="Arial" w:eastAsia="Arial" w:hAnsi="Arial"/>
          <w:sz w:val="20"/>
          <w:szCs w:val="20"/>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such instructed shares will be counted as present and entitled to cast a vote and are, therefore, included for purposes of determining whether a quorum is present at the annual meeting.</w:t>
      </w:r>
    </w:p>
    <w:p>
      <w:pPr>
        <w:spacing w:after="0" w:line="169" w:lineRule="exact"/>
        <w:rPr>
          <w:sz w:val="20"/>
          <w:szCs w:val="20"/>
          <w:color w:val="auto"/>
        </w:rPr>
      </w:pPr>
    </w:p>
    <w:p>
      <w:pPr>
        <w:ind w:left="635" w:right="20"/>
        <w:spacing w:after="0" w:line="247" w:lineRule="auto"/>
        <w:rPr>
          <w:sz w:val="20"/>
          <w:szCs w:val="20"/>
          <w:color w:val="auto"/>
        </w:rPr>
      </w:pPr>
      <w:r>
        <w:rPr>
          <w:rFonts w:ascii="Arial" w:cs="Arial" w:eastAsia="Arial" w:hAnsi="Arial"/>
          <w:sz w:val="21"/>
          <w:szCs w:val="21"/>
          <w:color w:val="auto"/>
        </w:rPr>
        <w:t>NL directly held approximately 86.7% of the outstanding shares of our class A common stock as of the record date. NL has indicated its intention to have its shares of our common stock represented at the meeting. If NL attends the meeting in person or by proxy, the meeting will have a quorum present.</w:t>
      </w:r>
    </w:p>
    <w:p>
      <w:pPr>
        <w:spacing w:after="0" w:line="176" w:lineRule="exact"/>
        <w:rPr>
          <w:sz w:val="20"/>
          <w:szCs w:val="20"/>
          <w:color w:val="auto"/>
        </w:rPr>
      </w:pPr>
    </w:p>
    <w:p>
      <w:pPr>
        <w:ind w:left="635" w:hanging="635"/>
        <w:spacing w:after="0"/>
        <w:tabs>
          <w:tab w:leader="none" w:pos="63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elect a director nominee?</w:t>
      </w:r>
    </w:p>
    <w:p>
      <w:pPr>
        <w:spacing w:after="0" w:line="219" w:lineRule="exact"/>
        <w:rPr>
          <w:sz w:val="20"/>
          <w:szCs w:val="20"/>
          <w:color w:val="auto"/>
        </w:rPr>
      </w:pPr>
    </w:p>
    <w:p>
      <w:pPr>
        <w:ind w:left="635" w:right="20" w:hanging="635"/>
        <w:spacing w:after="0" w:line="247"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plurality of affirmative votes of the holders of our outstanding class A shares of common stock represented and entitled to vote at the meeting is necessary to elect each director nominee. You may indicate on your proxy card or in your voting instructions that you desire to withhold authority to vote for any of the director nominees. Since director nominees need only receive a plurality of affirmative votes from the holders represented and entitled to vote at the meeting to be elected, a vote withheld or a broker/nominee non-vote regarding a particular nominee will not affect the election of such director nominee.</w:t>
      </w:r>
    </w:p>
    <w:p>
      <w:pPr>
        <w:spacing w:after="0" w:line="189" w:lineRule="exact"/>
        <w:rPr>
          <w:rFonts w:ascii="Arial" w:cs="Arial" w:eastAsia="Arial" w:hAnsi="Arial"/>
          <w:sz w:val="18"/>
          <w:szCs w:val="18"/>
          <w:color w:val="auto"/>
        </w:rPr>
      </w:pPr>
    </w:p>
    <w:p>
      <w:pPr>
        <w:ind w:left="5575" w:hanging="73"/>
        <w:spacing w:after="0"/>
        <w:tabs>
          <w:tab w:leader="none" w:pos="5575" w:val="left"/>
        </w:tabs>
        <w:numPr>
          <w:ilvl w:val="1"/>
          <w:numId w:val="34"/>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361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15"/>
          </w:cols>
          <w:pgMar w:left="325" w:top="357" w:right="359" w:bottom="1440" w:gutter="0" w:footer="0" w:header="0"/>
        </w:sectPr>
      </w:pPr>
    </w:p>
    <w:bookmarkStart w:id="8" w:name="page9"/>
    <w:bookmarkEnd w:id="8"/>
    <w:p>
      <w:pPr>
        <w:jc w:val="both"/>
        <w:ind w:left="635" w:right="20"/>
        <w:spacing w:after="0" w:line="308"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25" w:lineRule="exact"/>
        <w:rPr>
          <w:sz w:val="20"/>
          <w:szCs w:val="20"/>
          <w:color w:val="auto"/>
        </w:rPr>
      </w:pPr>
    </w:p>
    <w:p>
      <w:pPr>
        <w:ind w:left="635" w:hanging="635"/>
        <w:spacing w:after="0"/>
        <w:tabs>
          <w:tab w:leader="none" w:pos="63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adopt and approve proposal 2 (Say-on-Pay)?</w:t>
      </w:r>
    </w:p>
    <w:p>
      <w:pPr>
        <w:spacing w:after="0" w:line="219" w:lineRule="exact"/>
        <w:rPr>
          <w:sz w:val="20"/>
          <w:szCs w:val="20"/>
          <w:color w:val="auto"/>
        </w:rPr>
      </w:pPr>
    </w:p>
    <w:p>
      <w:pPr>
        <w:ind w:left="635" w:right="100" w:hanging="635"/>
        <w:spacing w:after="0" w:line="286" w:lineRule="auto"/>
        <w:tabs>
          <w:tab w:leader="none" w:pos="6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stockholder resolution contained in this proposal provides that the nonbinding affirmative vote of the holders of the majority of the outstanding shares of our class A common stock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55" w:lineRule="exact"/>
        <w:rPr>
          <w:sz w:val="20"/>
          <w:szCs w:val="20"/>
          <w:color w:val="auto"/>
        </w:rPr>
      </w:pPr>
    </w:p>
    <w:p>
      <w:pPr>
        <w:ind w:left="635" w:right="20"/>
        <w:spacing w:after="0" w:line="247" w:lineRule="auto"/>
        <w:rPr>
          <w:sz w:val="20"/>
          <w:szCs w:val="20"/>
          <w:color w:val="auto"/>
        </w:rPr>
      </w:pPr>
      <w:r>
        <w:rPr>
          <w:rFonts w:ascii="Arial" w:cs="Arial" w:eastAsia="Arial" w:hAnsi="Arial"/>
          <w:sz w:val="21"/>
          <w:szCs w:val="21"/>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76" w:lineRule="exact"/>
        <w:rPr>
          <w:sz w:val="20"/>
          <w:szCs w:val="20"/>
          <w:color w:val="auto"/>
        </w:rPr>
      </w:pPr>
    </w:p>
    <w:p>
      <w:pPr>
        <w:ind w:left="635" w:hanging="635"/>
        <w:spacing w:after="0"/>
        <w:tabs>
          <w:tab w:leader="none" w:pos="63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approve any other matter to come before the meeting?</w:t>
      </w:r>
    </w:p>
    <w:p>
      <w:pPr>
        <w:spacing w:after="0" w:line="219" w:lineRule="exact"/>
        <w:rPr>
          <w:sz w:val="20"/>
          <w:szCs w:val="20"/>
          <w:color w:val="auto"/>
        </w:rPr>
      </w:pPr>
    </w:p>
    <w:p>
      <w:pPr>
        <w:ind w:left="635" w:right="200" w:hanging="635"/>
        <w:spacing w:after="0" w:line="249"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applicable laws may otherwise provide, the approval of any other matter that may properly come before the meeting will require the affirmative vote of the holders of the majority of the class A common stock present in person or represented by proxy at the annual meeting and entitled to vote on the subject matter. Abstentions will be counted as represented and entitled to vote and will therefore have the effect of a negative vote.</w:t>
      </w:r>
    </w:p>
    <w:p>
      <w:pPr>
        <w:spacing w:after="0" w:line="212" w:lineRule="exact"/>
        <w:rPr>
          <w:sz w:val="20"/>
          <w:szCs w:val="20"/>
          <w:color w:val="auto"/>
        </w:rPr>
      </w:pPr>
    </w:p>
    <w:p>
      <w:pPr>
        <w:ind w:left="635" w:hanging="635"/>
        <w:spacing w:after="0"/>
        <w:tabs>
          <w:tab w:leader="none" w:pos="63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If I am a stockholder of record, how will the agents named on my proxy card vote on any other matter to come before the meeting?</w:t>
      </w:r>
    </w:p>
    <w:p>
      <w:pPr>
        <w:spacing w:after="0" w:line="242" w:lineRule="exact"/>
        <w:rPr>
          <w:sz w:val="20"/>
          <w:szCs w:val="20"/>
          <w:color w:val="auto"/>
        </w:rPr>
      </w:pPr>
    </w:p>
    <w:p>
      <w:pPr>
        <w:ind w:left="635" w:right="20" w:hanging="635"/>
        <w:spacing w:after="0" w:line="260"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you are a stockholder of record and to the extent allowed by applicable law, the agents named on your proxy card will vote in their discretion on any other matter that may properly come before the meeting.</w:t>
      </w:r>
    </w:p>
    <w:p>
      <w:pPr>
        <w:spacing w:after="0" w:line="176" w:lineRule="exact"/>
        <w:rPr>
          <w:sz w:val="20"/>
          <w:szCs w:val="20"/>
          <w:color w:val="auto"/>
        </w:rPr>
      </w:pPr>
    </w:p>
    <w:p>
      <w:pPr>
        <w:ind w:left="635" w:hanging="635"/>
        <w:spacing w:after="0"/>
        <w:tabs>
          <w:tab w:leader="none" w:pos="63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pay for the cost of soliciting the proxies?</w:t>
      </w:r>
    </w:p>
    <w:p>
      <w:pPr>
        <w:spacing w:after="0" w:line="114" w:lineRule="exact"/>
        <w:rPr>
          <w:sz w:val="20"/>
          <w:szCs w:val="20"/>
          <w:color w:val="auto"/>
        </w:rPr>
      </w:pPr>
    </w:p>
    <w:p>
      <w:pPr>
        <w:ind w:left="635" w:hanging="635"/>
        <w:spacing w:after="0" w:line="247"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common stock that hold such stock in accounts with such entities.</w:t>
      </w:r>
    </w:p>
    <w:p>
      <w:pPr>
        <w:spacing w:after="0" w:line="149" w:lineRule="exact"/>
        <w:rPr>
          <w:rFonts w:ascii="Arial" w:cs="Arial" w:eastAsia="Arial" w:hAnsi="Arial"/>
          <w:sz w:val="18"/>
          <w:szCs w:val="18"/>
          <w:color w:val="auto"/>
        </w:rPr>
      </w:pPr>
    </w:p>
    <w:p>
      <w:pPr>
        <w:ind w:left="5575" w:hanging="73"/>
        <w:spacing w:after="0"/>
        <w:tabs>
          <w:tab w:leader="none" w:pos="5575" w:val="left"/>
        </w:tabs>
        <w:numPr>
          <w:ilvl w:val="1"/>
          <w:numId w:val="42"/>
        </w:numPr>
        <w:rPr>
          <w:rFonts w:ascii="Arial" w:cs="Arial" w:eastAsia="Arial" w:hAnsi="Arial"/>
          <w:sz w:val="14"/>
          <w:szCs w:val="14"/>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95"/>
          </w:cols>
          <w:pgMar w:left="325" w:top="354"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21"/>
          <w:szCs w:val="21"/>
          <w:b w:val="1"/>
          <w:bCs w:val="1"/>
          <w:color w:val="auto"/>
        </w:rPr>
        <w:t>CONTROLLING STOCKHOLDER</w:t>
      </w:r>
    </w:p>
    <w:p>
      <w:pPr>
        <w:spacing w:after="0" w:line="104" w:lineRule="exact"/>
        <w:rPr>
          <w:sz w:val="20"/>
          <w:szCs w:val="20"/>
          <w:color w:val="auto"/>
        </w:rPr>
      </w:pPr>
    </w:p>
    <w:p>
      <w:pPr>
        <w:ind w:right="100" w:firstLine="630"/>
        <w:spacing w:after="0" w:line="256" w:lineRule="auto"/>
        <w:rPr>
          <w:sz w:val="20"/>
          <w:szCs w:val="20"/>
          <w:color w:val="auto"/>
        </w:rPr>
      </w:pPr>
      <w:r>
        <w:rPr>
          <w:rFonts w:ascii="Arial" w:cs="Arial" w:eastAsia="Arial" w:hAnsi="Arial"/>
          <w:sz w:val="20"/>
          <w:szCs w:val="20"/>
          <w:color w:val="auto"/>
        </w:rPr>
        <w:t>NL directly held approximately 86.7% of the outstanding shares of our class A common stock as of the record date. NL has indicated its intention to have its shares of our common stock represented at the meeting and to vote such shares FOR the election of each of the director nominees named in this proxy statement and FOR proposal 2. If NL attends the meeting in person or by proxy and votes as indicated, the meeting will have a quorum present and the stockholders will elect all of the nominees named in this proxy statement to the board of directors and approve proposal 2.</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SECURITY OWNERSHIP</w:t>
      </w:r>
    </w:p>
    <w:p>
      <w:pPr>
        <w:spacing w:after="0" w:line="106" w:lineRule="exact"/>
        <w:rPr>
          <w:sz w:val="20"/>
          <w:szCs w:val="20"/>
          <w:color w:val="auto"/>
        </w:rPr>
      </w:pPr>
    </w:p>
    <w:p>
      <w:pPr>
        <w:ind w:firstLine="630"/>
        <w:spacing w:after="0" w:line="253" w:lineRule="auto"/>
        <w:rPr>
          <w:sz w:val="20"/>
          <w:szCs w:val="20"/>
          <w:color w:val="auto"/>
        </w:rPr>
      </w:pPr>
      <w:r>
        <w:rPr>
          <w:rFonts w:ascii="Arial" w:cs="Arial" w:eastAsia="Arial" w:hAnsi="Arial"/>
          <w:sz w:val="20"/>
          <w:szCs w:val="20"/>
          <w:b w:val="1"/>
          <w:bCs w:val="1"/>
          <w:i w:val="1"/>
          <w:iCs w:val="1"/>
          <w:color w:val="auto"/>
        </w:rPr>
        <w:t>Ownership of CompX</w:t>
      </w:r>
      <w:r>
        <w:rPr>
          <w:rFonts w:ascii="Arial" w:cs="Arial" w:eastAsia="Arial" w:hAnsi="Arial"/>
          <w:sz w:val="20"/>
          <w:szCs w:val="20"/>
          <w:color w:val="auto"/>
        </w:rPr>
        <w:t>. The following table and footnotes set forth as of the record date the beneficial ownership, as defined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regulations of the SEC, of our class A common stock held by each individual, entity or group known to us to own beneficially more than 5% of the outstanding shares of our class A common stock, each of our directors and director nominees, each of the named executive officers, and all of our current directors and executive officers as a group. See footnote 3 below for information concerning the relationships of certain individuals and entities that may be deemed to own indirectly and beneficially more than 5% of the outstanding shares of our class A common stock. All information is taken from or based upon ownership filings made by such individuals or entities with the SEC or upon information provided by such individuals or entities.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22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CompX Class A Common Stock (1)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760" w:type="dxa"/>
            <w:vAlign w:val="bottom"/>
          </w:tcPr>
          <w:p>
            <w:pPr>
              <w:jc w:val="right"/>
              <w:ind w:right="192"/>
              <w:spacing w:after="0" w:line="192" w:lineRule="exact"/>
              <w:rPr>
                <w:sz w:val="20"/>
                <w:szCs w:val="20"/>
                <w:color w:val="auto"/>
              </w:rPr>
            </w:pPr>
            <w:r>
              <w:rPr>
                <w:rFonts w:ascii="Arial" w:cs="Arial" w:eastAsia="Arial" w:hAnsi="Arial"/>
                <w:sz w:val="18"/>
                <w:szCs w:val="18"/>
                <w:b w:val="1"/>
                <w:bCs w:val="1"/>
                <w:color w:val="auto"/>
                <w:w w:val="88"/>
              </w:rPr>
              <w:t>Amount and Nature of Beneficial</w:t>
            </w:r>
          </w:p>
        </w:tc>
        <w:tc>
          <w:tcPr>
            <w:tcW w:w="1460" w:type="dxa"/>
            <w:vAlign w:val="bottom"/>
          </w:tcPr>
          <w:p>
            <w:pPr>
              <w:jc w:val="center"/>
              <w:ind w:right="52"/>
              <w:spacing w:after="0" w:line="192" w:lineRule="exact"/>
              <w:rPr>
                <w:sz w:val="20"/>
                <w:szCs w:val="20"/>
                <w:color w:val="auto"/>
              </w:rPr>
            </w:pPr>
            <w:r>
              <w:rPr>
                <w:rFonts w:ascii="Arial" w:cs="Arial" w:eastAsia="Arial" w:hAnsi="Arial"/>
                <w:sz w:val="18"/>
                <w:szCs w:val="18"/>
                <w:b w:val="1"/>
                <w:bCs w:val="1"/>
                <w:color w:val="auto"/>
                <w:w w:val="86"/>
              </w:rPr>
              <w:t>Percent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90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Beneficial Owner</w:t>
            </w:r>
          </w:p>
        </w:tc>
        <w:tc>
          <w:tcPr>
            <w:tcW w:w="276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b w:val="1"/>
                <w:bCs w:val="1"/>
                <w:color w:val="auto"/>
              </w:rPr>
              <w:t>Ownership</w:t>
            </w:r>
          </w:p>
        </w:tc>
        <w:tc>
          <w:tcPr>
            <w:tcW w:w="14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Class (2)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Harold C. Simmons Family Trust No. 2</w:t>
            </w:r>
          </w:p>
        </w:tc>
        <w:tc>
          <w:tcPr>
            <w:tcW w:w="27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10,764,004(3)(4)</w:t>
            </w:r>
          </w:p>
        </w:tc>
        <w:tc>
          <w:tcPr>
            <w:tcW w:w="14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86.8%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Lisa K. Simmons</w:t>
            </w:r>
          </w:p>
        </w:tc>
        <w:tc>
          <w:tcPr>
            <w:tcW w:w="2760" w:type="dxa"/>
            <w:vAlign w:val="bottom"/>
          </w:tcPr>
          <w:p>
            <w:pPr>
              <w:jc w:val="right"/>
              <w:ind w:right="432"/>
              <w:spacing w:after="0"/>
              <w:rPr>
                <w:sz w:val="20"/>
                <w:szCs w:val="20"/>
                <w:color w:val="auto"/>
              </w:rPr>
            </w:pPr>
            <w:r>
              <w:rPr>
                <w:rFonts w:ascii="Arial" w:cs="Arial" w:eastAsia="Arial" w:hAnsi="Arial"/>
                <w:sz w:val="18"/>
                <w:szCs w:val="18"/>
                <w:color w:val="auto"/>
              </w:rPr>
              <w:t>10,764,004(3)(4)</w:t>
            </w:r>
          </w:p>
        </w:tc>
        <w:tc>
          <w:tcPr>
            <w:tcW w:w="1460" w:type="dxa"/>
            <w:vAlign w:val="bottom"/>
          </w:tcPr>
          <w:p>
            <w:pPr>
              <w:jc w:val="center"/>
              <w:ind w:right="72"/>
              <w:spacing w:after="0"/>
              <w:rPr>
                <w:sz w:val="20"/>
                <w:szCs w:val="20"/>
                <w:color w:val="auto"/>
              </w:rPr>
            </w:pPr>
            <w:r>
              <w:rPr>
                <w:rFonts w:ascii="Arial" w:cs="Arial" w:eastAsia="Arial" w:hAnsi="Arial"/>
                <w:sz w:val="18"/>
                <w:szCs w:val="18"/>
                <w:color w:val="auto"/>
                <w:w w:val="90"/>
              </w:rPr>
              <w:t>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Directors, Director Nominee and Named Executive Officers</w:t>
            </w: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Thomas E. Barry</w:t>
            </w:r>
          </w:p>
        </w:tc>
        <w:tc>
          <w:tcPr>
            <w:tcW w:w="2760" w:type="dxa"/>
            <w:vAlign w:val="bottom"/>
          </w:tcPr>
          <w:p>
            <w:pPr>
              <w:jc w:val="right"/>
              <w:ind w:right="632"/>
              <w:spacing w:after="0"/>
              <w:rPr>
                <w:sz w:val="20"/>
                <w:szCs w:val="20"/>
                <w:color w:val="auto"/>
              </w:rPr>
            </w:pPr>
            <w:r>
              <w:rPr>
                <w:rFonts w:ascii="Arial" w:cs="Arial" w:eastAsia="Arial" w:hAnsi="Arial"/>
                <w:sz w:val="18"/>
                <w:szCs w:val="18"/>
                <w:color w:val="auto"/>
              </w:rPr>
              <w:t>5,950(5)</w:t>
            </w:r>
          </w:p>
        </w:tc>
        <w:tc>
          <w:tcPr>
            <w:tcW w:w="1460" w:type="dxa"/>
            <w:vAlign w:val="bottom"/>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276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13,950(5)</w:t>
            </w:r>
          </w:p>
        </w:tc>
        <w:tc>
          <w:tcPr>
            <w:tcW w:w="14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Loretta J. Feehan</w:t>
            </w:r>
          </w:p>
        </w:tc>
        <w:tc>
          <w:tcPr>
            <w:tcW w:w="2760" w:type="dxa"/>
            <w:vAlign w:val="bottom"/>
          </w:tcPr>
          <w:p>
            <w:pPr>
              <w:jc w:val="right"/>
              <w:ind w:right="632"/>
              <w:spacing w:after="0"/>
              <w:rPr>
                <w:sz w:val="20"/>
                <w:szCs w:val="20"/>
                <w:color w:val="auto"/>
              </w:rPr>
            </w:pPr>
            <w:r>
              <w:rPr>
                <w:rFonts w:ascii="Arial" w:cs="Arial" w:eastAsia="Arial" w:hAnsi="Arial"/>
                <w:sz w:val="18"/>
                <w:szCs w:val="18"/>
                <w:color w:val="auto"/>
              </w:rPr>
              <w:t>7,950(5)</w:t>
            </w:r>
          </w:p>
        </w:tc>
        <w:tc>
          <w:tcPr>
            <w:tcW w:w="1460" w:type="dxa"/>
            <w:vAlign w:val="bottom"/>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276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2,000(5)</w:t>
            </w:r>
          </w:p>
        </w:tc>
        <w:tc>
          <w:tcPr>
            <w:tcW w:w="14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Terri L. Herrington</w:t>
            </w:r>
          </w:p>
        </w:tc>
        <w:tc>
          <w:tcPr>
            <w:tcW w:w="2760" w:type="dxa"/>
            <w:vAlign w:val="bottom"/>
          </w:tcPr>
          <w:p>
            <w:pPr>
              <w:jc w:val="right"/>
              <w:ind w:right="632"/>
              <w:spacing w:after="0"/>
              <w:rPr>
                <w:sz w:val="20"/>
                <w:szCs w:val="20"/>
                <w:color w:val="auto"/>
              </w:rPr>
            </w:pPr>
            <w:r>
              <w:rPr>
                <w:rFonts w:ascii="Arial" w:cs="Arial" w:eastAsia="Arial" w:hAnsi="Arial"/>
                <w:sz w:val="18"/>
                <w:szCs w:val="18"/>
                <w:color w:val="auto"/>
              </w:rPr>
              <w:t>3,950(5)</w:t>
            </w:r>
          </w:p>
        </w:tc>
        <w:tc>
          <w:tcPr>
            <w:tcW w:w="1460" w:type="dxa"/>
            <w:vAlign w:val="bottom"/>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Ann Manix</w:t>
            </w:r>
          </w:p>
        </w:tc>
        <w:tc>
          <w:tcPr>
            <w:tcW w:w="276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6,125(5)</w:t>
            </w:r>
          </w:p>
        </w:tc>
        <w:tc>
          <w:tcPr>
            <w:tcW w:w="14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Mary A. Tidlund</w:t>
            </w:r>
          </w:p>
        </w:tc>
        <w:tc>
          <w:tcPr>
            <w:tcW w:w="2760" w:type="dxa"/>
            <w:vAlign w:val="bottom"/>
          </w:tcPr>
          <w:p>
            <w:pPr>
              <w:jc w:val="right"/>
              <w:ind w:right="632"/>
              <w:spacing w:after="0"/>
              <w:rPr>
                <w:sz w:val="20"/>
                <w:szCs w:val="20"/>
                <w:color w:val="auto"/>
              </w:rPr>
            </w:pPr>
            <w:r>
              <w:rPr>
                <w:rFonts w:ascii="Arial" w:cs="Arial" w:eastAsia="Arial" w:hAnsi="Arial"/>
                <w:sz w:val="18"/>
                <w:szCs w:val="18"/>
                <w:color w:val="auto"/>
              </w:rPr>
              <w:t>5,950(5)</w:t>
            </w:r>
          </w:p>
        </w:tc>
        <w:tc>
          <w:tcPr>
            <w:tcW w:w="1460" w:type="dxa"/>
            <w:vAlign w:val="bottom"/>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Scott C. James</w:t>
            </w:r>
          </w:p>
        </w:tc>
        <w:tc>
          <w:tcPr>
            <w:tcW w:w="2760" w:type="dxa"/>
            <w:vAlign w:val="bottom"/>
          </w:tcPr>
          <w:p>
            <w:pPr>
              <w:jc w:val="right"/>
              <w:ind w:right="632"/>
              <w:spacing w:after="0"/>
              <w:rPr>
                <w:sz w:val="20"/>
                <w:szCs w:val="20"/>
                <w:color w:val="auto"/>
              </w:rPr>
            </w:pPr>
            <w:r>
              <w:rPr>
                <w:rFonts w:ascii="Arial" w:cs="Arial" w:eastAsia="Arial" w:hAnsi="Arial"/>
                <w:sz w:val="18"/>
                <w:szCs w:val="18"/>
                <w:color w:val="auto"/>
              </w:rPr>
              <w:t>-0-(5)</w:t>
            </w:r>
          </w:p>
        </w:tc>
        <w:tc>
          <w:tcPr>
            <w:tcW w:w="1460" w:type="dxa"/>
            <w:vAlign w:val="bottom"/>
          </w:tcPr>
          <w:p>
            <w:pPr>
              <w:jc w:val="center"/>
              <w:ind w:right="72"/>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Andrew B. Nace</w:t>
            </w:r>
          </w:p>
        </w:tc>
        <w:tc>
          <w:tcPr>
            <w:tcW w:w="276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1,750(5)</w:t>
            </w:r>
          </w:p>
        </w:tc>
        <w:tc>
          <w:tcPr>
            <w:tcW w:w="14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Amy E. Ruf</w:t>
            </w:r>
          </w:p>
        </w:tc>
        <w:tc>
          <w:tcPr>
            <w:tcW w:w="2760" w:type="dxa"/>
            <w:vAlign w:val="bottom"/>
          </w:tcPr>
          <w:p>
            <w:pPr>
              <w:jc w:val="right"/>
              <w:ind w:right="632"/>
              <w:spacing w:after="0"/>
              <w:rPr>
                <w:sz w:val="20"/>
                <w:szCs w:val="20"/>
                <w:color w:val="auto"/>
              </w:rPr>
            </w:pPr>
            <w:r>
              <w:rPr>
                <w:rFonts w:ascii="Arial" w:cs="Arial" w:eastAsia="Arial" w:hAnsi="Arial"/>
                <w:sz w:val="18"/>
                <w:szCs w:val="18"/>
                <w:color w:val="auto"/>
              </w:rPr>
              <w:t>-0-(5)</w:t>
            </w:r>
          </w:p>
        </w:tc>
        <w:tc>
          <w:tcPr>
            <w:tcW w:w="1460" w:type="dxa"/>
            <w:vAlign w:val="bottom"/>
          </w:tcPr>
          <w:p>
            <w:pPr>
              <w:jc w:val="center"/>
              <w:ind w:right="72"/>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Amy A. Samford</w:t>
            </w:r>
          </w:p>
        </w:tc>
        <w:tc>
          <w:tcPr>
            <w:tcW w:w="276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-0-(5)</w:t>
            </w:r>
          </w:p>
        </w:tc>
        <w:tc>
          <w:tcPr>
            <w:tcW w:w="14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directors and executive officers as a group (15 persons)</w:t>
            </w:r>
          </w:p>
        </w:tc>
        <w:tc>
          <w:tcPr>
            <w:tcW w:w="276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47,875(5)</w:t>
            </w:r>
          </w:p>
        </w:tc>
        <w:tc>
          <w:tcPr>
            <w:tcW w:w="14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2667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763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740" w:hanging="735"/>
        <w:spacing w:after="0"/>
        <w:tabs>
          <w:tab w:leader="none" w:pos="7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Less than 1%.</w:t>
      </w:r>
    </w:p>
    <w:p>
      <w:pPr>
        <w:spacing w:after="0" w:line="109" w:lineRule="exact"/>
        <w:rPr>
          <w:sz w:val="20"/>
          <w:szCs w:val="20"/>
          <w:color w:val="auto"/>
        </w:rPr>
      </w:pPr>
    </w:p>
    <w:p>
      <w:pPr>
        <w:ind w:left="640" w:right="40" w:hanging="635"/>
        <w:spacing w:after="0" w:line="290"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Except as noted in footnote 4 to this table, the business address for each listed person or entity is Three Lincoln Centre, 5430 LBJ Freeway, Suite 1700, Dallas, Texas 75240-2620.</w:t>
      </w:r>
    </w:p>
    <w:p>
      <w:pPr>
        <w:spacing w:after="0" w:line="161" w:lineRule="exact"/>
        <w:rPr>
          <w:rFonts w:ascii="Arial" w:cs="Arial" w:eastAsia="Arial" w:hAnsi="Arial"/>
          <w:sz w:val="16"/>
          <w:szCs w:val="16"/>
          <w:color w:val="auto"/>
        </w:rPr>
      </w:pPr>
    </w:p>
    <w:p>
      <w:pPr>
        <w:ind w:left="640" w:right="400" w:hanging="635"/>
        <w:spacing w:after="0" w:line="260"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percentages set forth above and in the following footnotes are based on 12,401,157 shares of our class A common stock outstanding as of the record date.</w:t>
      </w:r>
    </w:p>
    <w:p>
      <w:pPr>
        <w:spacing w:after="0" w:line="241" w:lineRule="exact"/>
        <w:rPr>
          <w:rFonts w:ascii="Arial" w:cs="Arial" w:eastAsia="Arial" w:hAnsi="Arial"/>
          <w:sz w:val="18"/>
          <w:szCs w:val="18"/>
          <w:color w:val="auto"/>
        </w:rPr>
      </w:pPr>
    </w:p>
    <w:p>
      <w:pPr>
        <w:ind w:left="5580" w:hanging="73"/>
        <w:spacing w:after="0"/>
        <w:tabs>
          <w:tab w:leader="none" w:pos="5580" w:val="left"/>
        </w:tabs>
        <w:numPr>
          <w:ilvl w:val="1"/>
          <w:numId w:val="44"/>
        </w:numPr>
        <w:rPr>
          <w:rFonts w:ascii="Arial" w:cs="Arial" w:eastAsia="Arial" w:hAnsi="Arial"/>
          <w:sz w:val="14"/>
          <w:szCs w:val="14"/>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ind w:left="640" w:hanging="635"/>
        <w:spacing w:after="0" w:line="250"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shares reported in this table for the Family Trust and Ms. Simmons consist of 10,764,004 shares held directly by the entities below. See footnote 4 to this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00" w:type="dxa"/>
            <w:vAlign w:val="bottom"/>
          </w:tcPr>
          <w:p>
            <w:pPr>
              <w:spacing w:after="0"/>
              <w:rPr>
                <w:sz w:val="18"/>
                <w:szCs w:val="18"/>
                <w:color w:val="auto"/>
              </w:rPr>
            </w:pPr>
          </w:p>
        </w:tc>
        <w:tc>
          <w:tcPr>
            <w:tcW w:w="31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CompX Class A Common Stock</w:t>
            </w:r>
          </w:p>
        </w:tc>
      </w:tr>
      <w:tr>
        <w:trPr>
          <w:trHeight w:val="216"/>
        </w:trPr>
        <w:tc>
          <w:tcPr>
            <w:tcW w:w="8100" w:type="dxa"/>
            <w:vAlign w:val="bottom"/>
            <w:tcBorders>
              <w:bottom w:val="single" w:sz="8" w:color="auto"/>
            </w:tcBorders>
          </w:tcPr>
          <w:p>
            <w:pPr>
              <w:ind w:left="3440"/>
              <w:spacing w:after="0"/>
              <w:rPr>
                <w:sz w:val="20"/>
                <w:szCs w:val="20"/>
                <w:color w:val="auto"/>
              </w:rPr>
            </w:pPr>
            <w:r>
              <w:rPr>
                <w:rFonts w:ascii="Arial" w:cs="Arial" w:eastAsia="Arial" w:hAnsi="Arial"/>
                <w:sz w:val="18"/>
                <w:szCs w:val="18"/>
                <w:b w:val="1"/>
                <w:bCs w:val="1"/>
                <w:color w:val="auto"/>
              </w:rPr>
              <w:t>Beneficial Owner</w:t>
            </w:r>
          </w:p>
        </w:tc>
        <w:tc>
          <w:tcPr>
            <w:tcW w:w="16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Shares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Percent of Class</w:t>
            </w:r>
          </w:p>
        </w:tc>
      </w:tr>
      <w:tr>
        <w:trPr>
          <w:trHeight w:val="210"/>
        </w:trPr>
        <w:tc>
          <w:tcPr>
            <w:tcW w:w="8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10,755,104</w:t>
            </w:r>
          </w:p>
        </w:tc>
        <w:tc>
          <w:tcPr>
            <w:tcW w:w="14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86.7%</w:t>
            </w:r>
          </w:p>
        </w:tc>
      </w:tr>
      <w:tr>
        <w:trPr>
          <w:trHeight w:val="210"/>
        </w:trPr>
        <w:tc>
          <w:tcPr>
            <w:tcW w:w="8100" w:type="dxa"/>
            <w:vAlign w:val="bottom"/>
          </w:tcPr>
          <w:p>
            <w:pPr>
              <w:ind w:left="140"/>
              <w:spacing w:after="0"/>
              <w:rPr>
                <w:sz w:val="20"/>
                <w:szCs w:val="20"/>
                <w:color w:val="auto"/>
              </w:rPr>
            </w:pPr>
            <w:r>
              <w:rPr>
                <w:rFonts w:ascii="Arial" w:cs="Arial" w:eastAsia="Arial" w:hAnsi="Arial"/>
                <w:sz w:val="18"/>
                <w:szCs w:val="18"/>
                <w:color w:val="auto"/>
              </w:rPr>
              <w:t>Contran</w:t>
            </w:r>
          </w:p>
        </w:tc>
        <w:tc>
          <w:tcPr>
            <w:tcW w:w="1680" w:type="dxa"/>
            <w:vAlign w:val="bottom"/>
          </w:tcPr>
          <w:p>
            <w:pPr>
              <w:jc w:val="right"/>
              <w:spacing w:after="0"/>
              <w:rPr>
                <w:sz w:val="20"/>
                <w:szCs w:val="20"/>
                <w:color w:val="auto"/>
              </w:rPr>
            </w:pPr>
            <w:r>
              <w:rPr>
                <w:rFonts w:ascii="Arial" w:cs="Arial" w:eastAsia="Arial" w:hAnsi="Arial"/>
                <w:sz w:val="18"/>
                <w:szCs w:val="18"/>
                <w:color w:val="auto"/>
              </w:rPr>
              <w:t>5,900</w:t>
            </w:r>
          </w:p>
        </w:tc>
        <w:tc>
          <w:tcPr>
            <w:tcW w:w="146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1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Kronos Worldwide.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6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10"/>
        </w:trPr>
        <w:tc>
          <w:tcPr>
            <w:tcW w:w="8100" w:type="dxa"/>
            <w:vAlign w:val="bottom"/>
          </w:tcPr>
          <w:p>
            <w:pPr>
              <w:spacing w:after="0"/>
              <w:rPr>
                <w:sz w:val="18"/>
                <w:szCs w:val="18"/>
                <w:color w:val="auto"/>
              </w:rPr>
            </w:pPr>
          </w:p>
        </w:tc>
        <w:tc>
          <w:tcPr>
            <w:tcW w:w="16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10,764,004</w:t>
            </w:r>
          </w:p>
        </w:tc>
        <w:tc>
          <w:tcPr>
            <w:tcW w:w="1460" w:type="dxa"/>
            <w:vAlign w:val="bottom"/>
          </w:tcPr>
          <w:p>
            <w:pPr>
              <w:jc w:val="center"/>
              <w:ind w:right="32"/>
              <w:spacing w:after="0" w:line="190" w:lineRule="exact"/>
              <w:rPr>
                <w:sz w:val="20"/>
                <w:szCs w:val="20"/>
                <w:color w:val="auto"/>
              </w:rPr>
            </w:pPr>
            <w:r>
              <w:rPr>
                <w:rFonts w:ascii="Arial" w:cs="Arial" w:eastAsia="Arial" w:hAnsi="Arial"/>
                <w:sz w:val="18"/>
                <w:szCs w:val="18"/>
                <w:color w:val="auto"/>
                <w:w w:val="90"/>
              </w:rPr>
              <w:t>86.8%</w:t>
            </w:r>
          </w:p>
        </w:tc>
      </w:tr>
      <w:tr>
        <w:trPr>
          <w:trHeight w:val="20"/>
        </w:trPr>
        <w:tc>
          <w:tcPr>
            <w:tcW w:w="8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200025</wp:posOffset>
            </wp:positionV>
            <wp:extent cx="2334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3426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380" w:hanging="508"/>
        <w:spacing w:after="0"/>
        <w:tabs>
          <w:tab w:leader="none" w:pos="1380" w:val="left"/>
        </w:tabs>
        <w:numPr>
          <w:ilvl w:val="1"/>
          <w:numId w:val="46"/>
        </w:numPr>
        <w:rPr>
          <w:rFonts w:ascii="Arial" w:cs="Arial" w:eastAsia="Arial" w:hAnsi="Arial"/>
          <w:sz w:val="21"/>
          <w:szCs w:val="21"/>
          <w:color w:val="auto"/>
        </w:rPr>
      </w:pPr>
      <w:r>
        <w:rPr>
          <w:rFonts w:ascii="Arial" w:cs="Arial" w:eastAsia="Arial" w:hAnsi="Arial"/>
          <w:sz w:val="21"/>
          <w:szCs w:val="21"/>
          <w:color w:val="auto"/>
        </w:rPr>
        <w:t>Less than 1%.</w:t>
      </w:r>
    </w:p>
    <w:p>
      <w:pPr>
        <w:spacing w:after="0" w:line="108" w:lineRule="exact"/>
        <w:rPr>
          <w:rFonts w:ascii="Arial" w:cs="Arial" w:eastAsia="Arial" w:hAnsi="Arial"/>
          <w:sz w:val="21"/>
          <w:szCs w:val="21"/>
          <w:color w:val="auto"/>
        </w:rPr>
      </w:pPr>
    </w:p>
    <w:p>
      <w:pPr>
        <w:ind w:left="640" w:hanging="635"/>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is a description of certain related entities or persons that may be deemed to beneficially own outstanding shares of our common stock.</w:t>
      </w:r>
    </w:p>
    <w:p>
      <w:pPr>
        <w:spacing w:after="0" w:line="227" w:lineRule="exact"/>
        <w:rPr>
          <w:sz w:val="20"/>
          <w:szCs w:val="20"/>
          <w:color w:val="auto"/>
        </w:rPr>
      </w:pPr>
    </w:p>
    <w:p>
      <w:pPr>
        <w:ind w:left="640" w:right="100"/>
        <w:spacing w:after="0" w:line="263" w:lineRule="auto"/>
        <w:rPr>
          <w:sz w:val="20"/>
          <w:szCs w:val="20"/>
          <w:color w:val="auto"/>
        </w:rPr>
      </w:pPr>
      <w:r>
        <w:rPr>
          <w:rFonts w:ascii="Arial" w:cs="Arial" w:eastAsia="Arial" w:hAnsi="Arial"/>
          <w:sz w:val="19"/>
          <w:szCs w:val="19"/>
          <w:color w:val="auto"/>
        </w:rPr>
        <w:t>A majority of Contran’s outstanding voting stock is held directly by Ms. Simmons and various family trusts established for the benefit of Ms. Simmons, Thomas C. Connelly (the husband of Ms. Simmons’ late sister) and their children and for which Ms. Simmons or Mr. Connelly, as applicable, serves as trustee (collectively, the “Other Trusts”). With respect to the Other Trusts for which Mr. Connelly serves as trustee, he is required pursuant to a stockholders agreement to vote the shares of Contran voting stock held in such trusts in the same manner as Ms. Simmons. Such voting rights of Ms. Simmons</w:t>
      </w:r>
    </w:p>
    <w:p>
      <w:pPr>
        <w:spacing w:after="0" w:line="2" w:lineRule="exact"/>
        <w:rPr>
          <w:sz w:val="20"/>
          <w:szCs w:val="20"/>
          <w:color w:val="auto"/>
        </w:rPr>
      </w:pPr>
    </w:p>
    <w:p>
      <w:pPr>
        <w:ind w:left="640" w:right="20"/>
        <w:spacing w:after="0" w:line="290" w:lineRule="auto"/>
        <w:rPr>
          <w:sz w:val="20"/>
          <w:szCs w:val="20"/>
          <w:color w:val="auto"/>
        </w:rPr>
      </w:pPr>
      <w:r>
        <w:rPr>
          <w:rFonts w:ascii="Arial" w:cs="Arial" w:eastAsia="Arial" w:hAnsi="Arial"/>
          <w:sz w:val="18"/>
          <w:szCs w:val="18"/>
          <w:color w:val="auto"/>
        </w:rPr>
        <w:t>last through April 22, 2030 and are personal to Ms. Simmons. The remainder of Contran’s outstanding voting stock is held by the Family Trust, for which Tolleson Private Bank, a third party financial institution, serves as trustee (the “Trustee”). Ms. Simmons can appoint qualifying successor trustees of the Family Trust if the Trustee resigns or otherwise decides not to serve as trustee. The business address of the Family Trust (and the Trustee) is 5550 Preston Road, Suite B, Dallas, Texas 75205.</w:t>
      </w:r>
    </w:p>
    <w:p>
      <w:pPr>
        <w:spacing w:after="0" w:line="137" w:lineRule="exact"/>
        <w:rPr>
          <w:sz w:val="20"/>
          <w:szCs w:val="20"/>
          <w:color w:val="auto"/>
        </w:rPr>
      </w:pPr>
    </w:p>
    <w:p>
      <w:pPr>
        <w:ind w:left="640" w:right="80"/>
        <w:spacing w:after="0" w:line="260" w:lineRule="auto"/>
        <w:rPr>
          <w:sz w:val="20"/>
          <w:szCs w:val="20"/>
          <w:color w:val="auto"/>
        </w:rPr>
      </w:pPr>
      <w:r>
        <w:rPr>
          <w:rFonts w:ascii="Arial" w:cs="Arial" w:eastAsia="Arial" w:hAnsi="Arial"/>
          <w:sz w:val="21"/>
          <w:szCs w:val="21"/>
          <w:color w:val="auto"/>
        </w:rPr>
        <w:t>Ms. Simmons serves as chair of the board of directors of Contran, and one other member of Contran management also serves on the board of directors of Contran.</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Contran is the holder of the sole membership interest of Dixie Rice and may be deemed to control Dixie Rice.</w:t>
      </w:r>
    </w:p>
    <w:p>
      <w:pPr>
        <w:spacing w:after="0" w:line="205" w:lineRule="exact"/>
        <w:rPr>
          <w:sz w:val="20"/>
          <w:szCs w:val="20"/>
          <w:color w:val="auto"/>
        </w:rPr>
      </w:pPr>
    </w:p>
    <w:p>
      <w:pPr>
        <w:ind w:left="640" w:right="560"/>
        <w:spacing w:after="0" w:line="260" w:lineRule="auto"/>
        <w:rPr>
          <w:sz w:val="20"/>
          <w:szCs w:val="20"/>
          <w:color w:val="auto"/>
        </w:rPr>
      </w:pPr>
      <w:r>
        <w:rPr>
          <w:rFonts w:ascii="Arial" w:cs="Arial" w:eastAsia="Arial" w:hAnsi="Arial"/>
          <w:sz w:val="21"/>
          <w:szCs w:val="21"/>
          <w:color w:val="auto"/>
        </w:rPr>
        <w:t>Ms. Simmons and the Family Trust directly hold, or are related to the following person or entities that directly hold, the following percentages of the outstanding shares of NL common stock: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Valhi</w:t>
            </w:r>
          </w:p>
        </w:tc>
        <w:tc>
          <w:tcPr>
            <w:tcW w:w="592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82.8%</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Kronos Worldwide</w:t>
            </w:r>
          </w:p>
        </w:tc>
        <w:tc>
          <w:tcPr>
            <w:tcW w:w="5920" w:type="dxa"/>
            <w:vAlign w:val="bottom"/>
          </w:tcPr>
          <w:p>
            <w:pPr>
              <w:ind w:left="3980"/>
              <w:spacing w:after="0"/>
              <w:rPr>
                <w:sz w:val="20"/>
                <w:szCs w:val="20"/>
                <w:color w:val="auto"/>
              </w:rPr>
            </w:pPr>
            <w:r>
              <w:rPr>
                <w:rFonts w:ascii="Arial" w:cs="Arial" w:eastAsia="Arial" w:hAnsi="Arial"/>
                <w:sz w:val="18"/>
                <w:szCs w:val="18"/>
                <w:color w:val="auto"/>
              </w:rPr>
              <w:t>Less than 1%</w:t>
            </w:r>
          </w:p>
        </w:tc>
      </w:tr>
    </w:tbl>
    <w:p>
      <w:pPr>
        <w:spacing w:after="0" w:line="111" w:lineRule="exact"/>
        <w:rPr>
          <w:sz w:val="20"/>
          <w:szCs w:val="20"/>
          <w:color w:val="auto"/>
        </w:rPr>
      </w:pPr>
    </w:p>
    <w:p>
      <w:pPr>
        <w:ind w:left="640" w:right="540"/>
        <w:spacing w:after="0" w:line="260" w:lineRule="auto"/>
        <w:rPr>
          <w:sz w:val="20"/>
          <w:szCs w:val="20"/>
          <w:color w:val="auto"/>
        </w:rPr>
      </w:pPr>
      <w:r>
        <w:rPr>
          <w:rFonts w:ascii="Arial" w:cs="Arial" w:eastAsia="Arial" w:hAnsi="Arial"/>
          <w:sz w:val="21"/>
          <w:szCs w:val="21"/>
          <w:color w:val="auto"/>
        </w:rPr>
        <w:t>Ms. Simmons and the Family Trust directly hold, or are related to the following entities that directly hold, the following percentages of the outstanding shares of Kronos Worldwide common stock: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Valhi</w:t>
            </w:r>
          </w:p>
        </w:tc>
        <w:tc>
          <w:tcPr>
            <w:tcW w:w="6340" w:type="dxa"/>
            <w:vAlign w:val="bottom"/>
            <w:shd w:val="clear" w:color="auto" w:fill="CCEEFF"/>
          </w:tcPr>
          <w:p>
            <w:pPr>
              <w:ind w:left="4340"/>
              <w:spacing w:after="0"/>
              <w:rPr>
                <w:sz w:val="20"/>
                <w:szCs w:val="20"/>
                <w:color w:val="auto"/>
              </w:rPr>
            </w:pPr>
            <w:r>
              <w:rPr>
                <w:rFonts w:ascii="Arial" w:cs="Arial" w:eastAsia="Arial" w:hAnsi="Arial"/>
                <w:sz w:val="18"/>
                <w:szCs w:val="18"/>
                <w:color w:val="auto"/>
              </w:rPr>
              <w:t>50.2%</w:t>
            </w: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NLKW</w:t>
            </w:r>
          </w:p>
        </w:tc>
        <w:tc>
          <w:tcPr>
            <w:tcW w:w="6340" w:type="dxa"/>
            <w:vAlign w:val="bottom"/>
          </w:tcPr>
          <w:p>
            <w:pPr>
              <w:ind w:left="4340"/>
              <w:spacing w:after="0"/>
              <w:rPr>
                <w:sz w:val="20"/>
                <w:szCs w:val="20"/>
                <w:color w:val="auto"/>
              </w:rPr>
            </w:pPr>
            <w:r>
              <w:rPr>
                <w:rFonts w:ascii="Arial" w:cs="Arial" w:eastAsia="Arial" w:hAnsi="Arial"/>
                <w:sz w:val="18"/>
                <w:szCs w:val="18"/>
                <w:color w:val="auto"/>
              </w:rPr>
              <w:t>30.5%</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Contran</w:t>
            </w:r>
          </w:p>
        </w:tc>
        <w:tc>
          <w:tcPr>
            <w:tcW w:w="6340" w:type="dxa"/>
            <w:vAlign w:val="bottom"/>
            <w:shd w:val="clear" w:color="auto" w:fill="CCEEFF"/>
          </w:tcPr>
          <w:p>
            <w:pPr>
              <w:ind w:left="4340"/>
              <w:spacing w:after="0"/>
              <w:rPr>
                <w:sz w:val="20"/>
                <w:szCs w:val="20"/>
                <w:color w:val="auto"/>
              </w:rPr>
            </w:pPr>
            <w:r>
              <w:rPr>
                <w:rFonts w:ascii="Arial" w:cs="Arial" w:eastAsia="Arial" w:hAnsi="Arial"/>
                <w:sz w:val="18"/>
                <w:szCs w:val="18"/>
                <w:color w:val="auto"/>
              </w:rPr>
              <w:t>Less than 1%</w:t>
            </w:r>
          </w:p>
        </w:tc>
      </w:tr>
    </w:tbl>
    <w:p>
      <w:pPr>
        <w:spacing w:after="0" w:line="110" w:lineRule="exact"/>
        <w:rPr>
          <w:sz w:val="20"/>
          <w:szCs w:val="20"/>
          <w:color w:val="auto"/>
        </w:rPr>
      </w:pPr>
    </w:p>
    <w:p>
      <w:pPr>
        <w:ind w:left="640" w:right="680"/>
        <w:spacing w:after="0" w:line="260" w:lineRule="auto"/>
        <w:rPr>
          <w:sz w:val="20"/>
          <w:szCs w:val="20"/>
          <w:color w:val="auto"/>
        </w:rPr>
      </w:pPr>
      <w:r>
        <w:rPr>
          <w:rFonts w:ascii="Arial" w:cs="Arial" w:eastAsia="Arial" w:hAnsi="Arial"/>
          <w:sz w:val="21"/>
          <w:szCs w:val="21"/>
          <w:color w:val="auto"/>
        </w:rPr>
        <w:t>Ms. Simmons and the Family Trust directly hold, or are related to the following person or entity that directly hold, the following percentages of the outstanding shares of Valhi common stock (a):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Dixie Rice</w:t>
            </w:r>
          </w:p>
        </w:tc>
        <w:tc>
          <w:tcPr>
            <w:tcW w:w="6240" w:type="dxa"/>
            <w:vAlign w:val="bottom"/>
            <w:shd w:val="clear" w:color="auto" w:fill="CCEEFF"/>
          </w:tcPr>
          <w:p>
            <w:pPr>
              <w:jc w:val="right"/>
              <w:ind w:right="1452"/>
              <w:spacing w:after="0"/>
              <w:rPr>
                <w:sz w:val="20"/>
                <w:szCs w:val="20"/>
                <w:color w:val="auto"/>
              </w:rPr>
            </w:pPr>
            <w:r>
              <w:rPr>
                <w:rFonts w:ascii="Arial" w:cs="Arial" w:eastAsia="Arial" w:hAnsi="Arial"/>
                <w:sz w:val="18"/>
                <w:szCs w:val="18"/>
                <w:color w:val="auto"/>
              </w:rPr>
              <w:t>91.5%</w:t>
            </w:r>
          </w:p>
        </w:tc>
      </w:tr>
    </w:tbl>
    <w:p>
      <w:pPr>
        <w:spacing w:after="0" w:line="106" w:lineRule="exact"/>
        <w:rPr>
          <w:sz w:val="20"/>
          <w:szCs w:val="20"/>
          <w:color w:val="auto"/>
        </w:rPr>
      </w:pPr>
    </w:p>
    <w:p>
      <w:pPr>
        <w:ind w:left="960" w:right="40" w:hanging="325"/>
        <w:spacing w:after="0" w:line="286"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236" w:lineRule="exact"/>
        <w:rPr>
          <w:rFonts w:ascii="Arial" w:cs="Arial" w:eastAsia="Arial" w:hAnsi="Arial"/>
          <w:sz w:val="16"/>
          <w:szCs w:val="16"/>
          <w:color w:val="auto"/>
        </w:rPr>
      </w:pPr>
    </w:p>
    <w:p>
      <w:pPr>
        <w:ind w:left="5580" w:hanging="73"/>
        <w:spacing w:after="0"/>
        <w:tabs>
          <w:tab w:leader="none" w:pos="5580" w:val="left"/>
        </w:tabs>
        <w:numPr>
          <w:ilvl w:val="1"/>
          <w:numId w:val="47"/>
        </w:numPr>
        <w:rPr>
          <w:rFonts w:ascii="Arial" w:cs="Arial" w:eastAsia="Arial" w:hAnsi="Arial"/>
          <w:sz w:val="14"/>
          <w:szCs w:val="14"/>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 w:name="page12"/>
    <w:bookmarkEnd w:id="11"/>
    <w:p>
      <w:pPr>
        <w:ind w:left="640" w:right="240"/>
        <w:spacing w:after="0" w:line="259" w:lineRule="auto"/>
        <w:rPr>
          <w:sz w:val="20"/>
          <w:szCs w:val="20"/>
          <w:color w:val="auto"/>
        </w:rPr>
      </w:pPr>
      <w:r>
        <w:rPr>
          <w:rFonts w:ascii="Arial" w:cs="Arial" w:eastAsia="Arial" w:hAnsi="Arial"/>
          <w:sz w:val="20"/>
          <w:szCs w:val="20"/>
          <w:color w:val="auto"/>
        </w:rPr>
        <w:t>By virtue of the stock ownership of each of Kronos Worldwide, NL, Valhi, Dixie Rice and Contran, Ms. Simmons being a beneficiary of the Family Trust, the direct holdings of Contran voting stock by Ms. Simmons, the voting rights conferred to Ms. Simmons by a stockholders agreement relating to Contran stock, Ms. Simmons’ position as chair of the Contran board, and the Family Trust’s ownership of Contran voting stock, in each case as described above:</w:t>
      </w:r>
    </w:p>
    <w:p>
      <w:pPr>
        <w:spacing w:after="0" w:line="67" w:lineRule="exact"/>
        <w:rPr>
          <w:sz w:val="20"/>
          <w:szCs w:val="20"/>
          <w:color w:val="auto"/>
        </w:rPr>
      </w:pPr>
    </w:p>
    <w:p>
      <w:pPr>
        <w:ind w:left="1260" w:right="60" w:hanging="310"/>
        <w:spacing w:after="0" w:line="260"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Simmons and the Family Trust (and the Trustee, in its capacity as trustee of the Family Trust) may be deemed to control each of Contran, Dixie Rice, Valhi, NL, Kronos Worldwide and us; and</w:t>
      </w:r>
    </w:p>
    <w:p>
      <w:pPr>
        <w:spacing w:after="0" w:line="181" w:lineRule="exact"/>
        <w:rPr>
          <w:rFonts w:ascii="Arial" w:cs="Arial" w:eastAsia="Arial" w:hAnsi="Arial"/>
          <w:sz w:val="18"/>
          <w:szCs w:val="18"/>
          <w:color w:val="auto"/>
        </w:rPr>
      </w:pPr>
    </w:p>
    <w:p>
      <w:pPr>
        <w:ind w:left="1260" w:right="500" w:hanging="310"/>
        <w:spacing w:after="0" w:line="252"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Simmons, the Family Trust (and the Trustee, in its capacity as trustee of the Family Trust), Contran, Dixie Rice, Valhi, NL, Kronos Worldwide and we may be deemed to possess indirect beneficial ownership of shares of common stock directly held by such entities , including any shares of our common stock.</w:t>
      </w:r>
    </w:p>
    <w:p>
      <w:pPr>
        <w:spacing w:after="0" w:line="179" w:lineRule="exact"/>
        <w:rPr>
          <w:sz w:val="20"/>
          <w:szCs w:val="20"/>
          <w:color w:val="auto"/>
        </w:rPr>
      </w:pPr>
    </w:p>
    <w:p>
      <w:pPr>
        <w:jc w:val="both"/>
        <w:ind w:left="640" w:right="40"/>
        <w:spacing w:after="0" w:line="247" w:lineRule="auto"/>
        <w:rPr>
          <w:sz w:val="20"/>
          <w:szCs w:val="20"/>
          <w:color w:val="auto"/>
        </w:rPr>
      </w:pPr>
      <w:r>
        <w:rPr>
          <w:rFonts w:ascii="Arial" w:cs="Arial" w:eastAsia="Arial" w:hAnsi="Arial"/>
          <w:sz w:val="21"/>
          <w:szCs w:val="21"/>
          <w:color w:val="auto"/>
        </w:rPr>
        <w:t>Ms. Simmons disclaims beneficial ownership of all shares of our class A common stock, except to the extent of her pecuniary interest in such shares, if any. The Family Trust (and the Trustee) disclaims beneficial ownership of all shares of our class A common stock except to the extent of its pecuniary interest in such shares, if any.</w:t>
      </w:r>
    </w:p>
    <w:p>
      <w:pPr>
        <w:spacing w:after="0" w:line="77" w:lineRule="exact"/>
        <w:rPr>
          <w:sz w:val="20"/>
          <w:szCs w:val="20"/>
          <w:color w:val="auto"/>
        </w:rPr>
      </w:pPr>
    </w:p>
    <w:p>
      <w:pPr>
        <w:ind w:left="640" w:hanging="635"/>
        <w:spacing w:after="0" w:line="26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our common stock, except to the extent he or she has a pecuniary interest in such shares, if any.</w:t>
      </w:r>
    </w:p>
    <w:p>
      <w:pPr>
        <w:spacing w:after="0" w:line="383" w:lineRule="exact"/>
        <w:rPr>
          <w:sz w:val="20"/>
          <w:szCs w:val="20"/>
          <w:color w:val="auto"/>
        </w:rPr>
      </w:pPr>
    </w:p>
    <w:p>
      <w:pPr>
        <w:ind w:right="80" w:firstLine="630"/>
        <w:spacing w:after="0" w:line="272" w:lineRule="auto"/>
        <w:rPr>
          <w:sz w:val="20"/>
          <w:szCs w:val="20"/>
          <w:color w:val="auto"/>
        </w:rPr>
      </w:pPr>
      <w:r>
        <w:rPr>
          <w:rFonts w:ascii="Arial" w:cs="Arial" w:eastAsia="Arial" w:hAnsi="Arial"/>
          <w:sz w:val="19"/>
          <w:szCs w:val="19"/>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2" w:name="page13"/>
    <w:bookmarkEnd w:id="12"/>
    <w:p>
      <w:pPr>
        <w:ind w:right="180" w:firstLine="630"/>
        <w:spacing w:after="0" w:line="260" w:lineRule="auto"/>
        <w:rPr>
          <w:sz w:val="20"/>
          <w:szCs w:val="20"/>
          <w:color w:val="auto"/>
        </w:rPr>
      </w:pPr>
      <w:r>
        <w:rPr>
          <w:rFonts w:ascii="Arial" w:cs="Arial" w:eastAsia="Arial" w:hAnsi="Arial"/>
          <w:sz w:val="21"/>
          <w:szCs w:val="21"/>
          <w:b w:val="1"/>
          <w:bCs w:val="1"/>
          <w:i w:val="1"/>
          <w:iCs w:val="1"/>
          <w:color w:val="auto"/>
        </w:rPr>
        <w:t>Ownership of Related Companies</w:t>
      </w:r>
      <w:r>
        <w:rPr>
          <w:rFonts w:ascii="Arial" w:cs="Arial" w:eastAsia="Arial" w:hAnsi="Arial"/>
          <w:sz w:val="21"/>
          <w:szCs w:val="21"/>
          <w:color w:val="auto"/>
        </w:rPr>
        <w:t>. Some of our directors and executive officers own equity securities of certain companies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related to us.</w:t>
      </w:r>
    </w:p>
    <w:p>
      <w:pPr>
        <w:spacing w:after="0" w:line="159" w:lineRule="exact"/>
        <w:rPr>
          <w:sz w:val="20"/>
          <w:szCs w:val="20"/>
          <w:color w:val="auto"/>
        </w:rPr>
      </w:pPr>
    </w:p>
    <w:p>
      <w:pPr>
        <w:jc w:val="both"/>
        <w:ind w:right="40" w:firstLine="630"/>
        <w:spacing w:after="0" w:line="243" w:lineRule="auto"/>
        <w:rPr>
          <w:sz w:val="20"/>
          <w:szCs w:val="20"/>
          <w:color w:val="auto"/>
        </w:rPr>
      </w:pPr>
      <w:r>
        <w:rPr>
          <w:rFonts w:ascii="Arial" w:cs="Arial" w:eastAsia="Arial" w:hAnsi="Arial"/>
          <w:sz w:val="21"/>
          <w:szCs w:val="21"/>
          <w:i w:val="1"/>
          <w:iCs w:val="1"/>
          <w:color w:val="auto"/>
        </w:rPr>
        <w:t xml:space="preserve">Ownership of NL and Valhi. </w:t>
      </w:r>
      <w:r>
        <w:rPr>
          <w:rFonts w:ascii="Arial" w:cs="Arial" w:eastAsia="Arial" w:hAnsi="Arial"/>
          <w:sz w:val="21"/>
          <w:szCs w:val="21"/>
          <w:color w:val="auto"/>
        </w:rPr>
        <w:t>The following table and footnotes set forth the beneficial ownership, as of the record date,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shares of NL and Valhi common stock held by each of our directors and director nominees, each of the named executive officers, and all of our current directors and executive officers as a group. All information is taken from or based upon ownership filings made by such persons with the SEC or upon information provided by such persons.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NL Common Stock</w:t>
            </w:r>
          </w:p>
        </w:tc>
        <w:tc>
          <w:tcPr>
            <w:tcW w:w="1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Valhi Common Stock</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720" w:type="dxa"/>
            <w:vAlign w:val="bottom"/>
          </w:tcPr>
          <w:p>
            <w:pPr>
              <w:jc w:val="center"/>
              <w:ind w:right="132"/>
              <w:spacing w:after="0" w:line="192" w:lineRule="exact"/>
              <w:rPr>
                <w:sz w:val="20"/>
                <w:szCs w:val="20"/>
                <w:color w:val="auto"/>
              </w:rPr>
            </w:pPr>
            <w:r>
              <w:rPr>
                <w:rFonts w:ascii="Arial" w:cs="Arial" w:eastAsia="Arial" w:hAnsi="Arial"/>
                <w:sz w:val="18"/>
                <w:szCs w:val="18"/>
                <w:b w:val="1"/>
                <w:bCs w:val="1"/>
                <w:color w:val="auto"/>
                <w:w w:val="89"/>
              </w:rPr>
              <w:t>Amount and Nature</w:t>
            </w:r>
          </w:p>
        </w:tc>
        <w:tc>
          <w:tcPr>
            <w:tcW w:w="1320" w:type="dxa"/>
            <w:vAlign w:val="bottom"/>
          </w:tcPr>
          <w:p>
            <w:pPr>
              <w:jc w:val="center"/>
              <w:ind w:right="312"/>
              <w:spacing w:after="0" w:line="192" w:lineRule="exact"/>
              <w:rPr>
                <w:sz w:val="20"/>
                <w:szCs w:val="20"/>
                <w:color w:val="auto"/>
              </w:rPr>
            </w:pPr>
            <w:r>
              <w:rPr>
                <w:rFonts w:ascii="Arial" w:cs="Arial" w:eastAsia="Arial" w:hAnsi="Arial"/>
                <w:sz w:val="18"/>
                <w:szCs w:val="18"/>
                <w:b w:val="1"/>
                <w:bCs w:val="1"/>
                <w:color w:val="auto"/>
                <w:w w:val="86"/>
              </w:rPr>
              <w:t>Percent of</w:t>
            </w:r>
          </w:p>
        </w:tc>
        <w:tc>
          <w:tcPr>
            <w:tcW w:w="2840" w:type="dxa"/>
            <w:vAlign w:val="bottom"/>
          </w:tcPr>
          <w:p>
            <w:pPr>
              <w:jc w:val="center"/>
              <w:ind w:right="312"/>
              <w:spacing w:after="0" w:line="192" w:lineRule="exact"/>
              <w:rPr>
                <w:sz w:val="20"/>
                <w:szCs w:val="20"/>
                <w:color w:val="auto"/>
              </w:rPr>
            </w:pPr>
            <w:r>
              <w:rPr>
                <w:rFonts w:ascii="Arial" w:cs="Arial" w:eastAsia="Arial" w:hAnsi="Arial"/>
                <w:sz w:val="18"/>
                <w:szCs w:val="18"/>
                <w:b w:val="1"/>
                <w:bCs w:val="1"/>
                <w:color w:val="auto"/>
                <w:w w:val="90"/>
              </w:rPr>
              <w:t>Amount and Nature</w:t>
            </w:r>
          </w:p>
        </w:tc>
        <w:tc>
          <w:tcPr>
            <w:tcW w:w="1160" w:type="dxa"/>
            <w:vAlign w:val="bottom"/>
          </w:tcPr>
          <w:p>
            <w:pPr>
              <w:jc w:val="center"/>
              <w:ind w:right="72"/>
              <w:spacing w:after="0" w:line="192" w:lineRule="exact"/>
              <w:rPr>
                <w:sz w:val="20"/>
                <w:szCs w:val="20"/>
                <w:color w:val="auto"/>
              </w:rPr>
            </w:pPr>
            <w:r>
              <w:rPr>
                <w:rFonts w:ascii="Arial" w:cs="Arial" w:eastAsia="Arial" w:hAnsi="Arial"/>
                <w:sz w:val="18"/>
                <w:szCs w:val="18"/>
                <w:b w:val="1"/>
                <w:bCs w:val="1"/>
                <w:color w:val="auto"/>
                <w:w w:val="86"/>
              </w:rPr>
              <w:t>Percent of</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2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of Beneficial</w:t>
            </w:r>
          </w:p>
        </w:tc>
        <w:tc>
          <w:tcPr>
            <w:tcW w:w="1320" w:type="dxa"/>
            <w:vAlign w:val="bottom"/>
          </w:tcPr>
          <w:p>
            <w:pPr>
              <w:jc w:val="center"/>
              <w:ind w:right="312"/>
              <w:spacing w:after="0"/>
              <w:rPr>
                <w:sz w:val="20"/>
                <w:szCs w:val="20"/>
                <w:color w:val="auto"/>
              </w:rPr>
            </w:pPr>
            <w:r>
              <w:rPr>
                <w:rFonts w:ascii="Arial" w:cs="Arial" w:eastAsia="Arial" w:hAnsi="Arial"/>
                <w:sz w:val="18"/>
                <w:szCs w:val="18"/>
                <w:b w:val="1"/>
                <w:bCs w:val="1"/>
                <w:color w:val="auto"/>
                <w:w w:val="83"/>
              </w:rPr>
              <w:t>Class</w:t>
            </w:r>
          </w:p>
        </w:tc>
        <w:tc>
          <w:tcPr>
            <w:tcW w:w="2840" w:type="dxa"/>
            <w:vAlign w:val="bottom"/>
          </w:tcPr>
          <w:p>
            <w:pPr>
              <w:jc w:val="center"/>
              <w:ind w:right="312"/>
              <w:spacing w:after="0"/>
              <w:rPr>
                <w:sz w:val="20"/>
                <w:szCs w:val="20"/>
                <w:color w:val="auto"/>
              </w:rPr>
            </w:pPr>
            <w:r>
              <w:rPr>
                <w:rFonts w:ascii="Arial" w:cs="Arial" w:eastAsia="Arial" w:hAnsi="Arial"/>
                <w:sz w:val="18"/>
                <w:szCs w:val="18"/>
                <w:b w:val="1"/>
                <w:bCs w:val="1"/>
                <w:color w:val="auto"/>
                <w:w w:val="85"/>
              </w:rPr>
              <w:t>of Beneficial</w:t>
            </w:r>
          </w:p>
        </w:tc>
        <w:tc>
          <w:tcPr>
            <w:tcW w:w="116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Class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Name of Beneficial Owner</w:t>
            </w:r>
          </w:p>
        </w:tc>
        <w:tc>
          <w:tcPr>
            <w:tcW w:w="27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9"/>
              </w:rPr>
              <w:t>Ownership (1)</w:t>
            </w:r>
          </w:p>
        </w:tc>
        <w:tc>
          <w:tcPr>
            <w:tcW w:w="132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b w:val="1"/>
                <w:bCs w:val="1"/>
                <w:color w:val="auto"/>
                <w:w w:val="95"/>
              </w:rPr>
              <w:t>(1)(2)</w:t>
            </w:r>
          </w:p>
        </w:tc>
        <w:tc>
          <w:tcPr>
            <w:tcW w:w="284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b w:val="1"/>
                <w:bCs w:val="1"/>
                <w:color w:val="auto"/>
                <w:w w:val="89"/>
              </w:rPr>
              <w:t>Ownership (1</w:t>
            </w:r>
            <w:r>
              <w:rPr>
                <w:rFonts w:ascii="Arial" w:cs="Arial" w:eastAsia="Arial" w:hAnsi="Arial"/>
                <w:sz w:val="18"/>
                <w:szCs w:val="18"/>
                <w:color w:val="auto"/>
                <w:w w:val="89"/>
              </w:rPr>
              <w:t>)</w:t>
            </w: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5"/>
              </w:rPr>
              <w:t>(1)(3</w:t>
            </w:r>
            <w:r>
              <w:rPr>
                <w:rFonts w:ascii="Arial" w:cs="Arial" w:eastAsia="Arial" w:hAnsi="Arial"/>
                <w:sz w:val="18"/>
                <w:szCs w:val="18"/>
                <w:color w:val="auto"/>
                <w:w w:val="95"/>
              </w:rPr>
              <w:t>)</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27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6,532(4)</w:t>
            </w: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David A. Bowers</w:t>
            </w:r>
          </w:p>
        </w:tc>
        <w:tc>
          <w:tcPr>
            <w:tcW w:w="2720" w:type="dxa"/>
            <w:vAlign w:val="bottom"/>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tcPr>
          <w:p>
            <w:pPr>
              <w:jc w:val="right"/>
              <w:ind w:right="1212"/>
              <w:spacing w:after="0"/>
              <w:rPr>
                <w:sz w:val="20"/>
                <w:szCs w:val="20"/>
                <w:color w:val="auto"/>
              </w:rPr>
            </w:pPr>
            <w:r>
              <w:rPr>
                <w:rFonts w:ascii="Arial" w:cs="Arial" w:eastAsia="Arial" w:hAnsi="Arial"/>
                <w:sz w:val="18"/>
                <w:szCs w:val="18"/>
                <w:color w:val="auto"/>
              </w:rPr>
              <w:t>-0-(4)</w:t>
            </w:r>
          </w:p>
        </w:tc>
        <w:tc>
          <w:tcPr>
            <w:tcW w:w="1160" w:type="dxa"/>
            <w:vAlign w:val="bottom"/>
          </w:tcPr>
          <w:p>
            <w:pPr>
              <w:jc w:val="center"/>
              <w:ind w:right="72"/>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27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20,900(4)</w:t>
            </w:r>
          </w:p>
        </w:tc>
        <w:tc>
          <w:tcPr>
            <w:tcW w:w="1320" w:type="dxa"/>
            <w:vAlign w:val="bottom"/>
            <w:shd w:val="clear" w:color="auto" w:fill="CCEEFF"/>
          </w:tcPr>
          <w:p>
            <w:pPr>
              <w:jc w:val="center"/>
              <w:ind w:right="332"/>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2,491(4)</w:t>
            </w: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Robert D. Graham</w:t>
            </w:r>
          </w:p>
        </w:tc>
        <w:tc>
          <w:tcPr>
            <w:tcW w:w="2720" w:type="dxa"/>
            <w:vAlign w:val="bottom"/>
          </w:tcPr>
          <w:p>
            <w:pPr>
              <w:jc w:val="right"/>
              <w:ind w:right="812"/>
              <w:spacing w:after="0"/>
              <w:rPr>
                <w:sz w:val="20"/>
                <w:szCs w:val="20"/>
                <w:color w:val="auto"/>
              </w:rPr>
            </w:pPr>
            <w:r>
              <w:rPr>
                <w:rFonts w:ascii="Arial" w:cs="Arial" w:eastAsia="Arial" w:hAnsi="Arial"/>
                <w:sz w:val="18"/>
                <w:szCs w:val="18"/>
                <w:color w:val="auto"/>
              </w:rPr>
              <w:t>6,500(4)</w:t>
            </w:r>
          </w:p>
        </w:tc>
        <w:tc>
          <w:tcPr>
            <w:tcW w:w="1320" w:type="dxa"/>
            <w:vAlign w:val="bottom"/>
          </w:tcPr>
          <w:p>
            <w:pPr>
              <w:jc w:val="center"/>
              <w:ind w:right="332"/>
              <w:spacing w:after="0"/>
              <w:rPr>
                <w:sz w:val="20"/>
                <w:szCs w:val="20"/>
                <w:color w:val="auto"/>
              </w:rPr>
            </w:pPr>
            <w:r>
              <w:rPr>
                <w:rFonts w:ascii="Arial" w:cs="Arial" w:eastAsia="Arial" w:hAnsi="Arial"/>
                <w:sz w:val="18"/>
                <w:szCs w:val="18"/>
                <w:color w:val="auto"/>
              </w:rPr>
              <w:t>*</w:t>
            </w:r>
          </w:p>
        </w:tc>
        <w:tc>
          <w:tcPr>
            <w:tcW w:w="2840" w:type="dxa"/>
            <w:vAlign w:val="bottom"/>
          </w:tcPr>
          <w:p>
            <w:pPr>
              <w:jc w:val="right"/>
              <w:ind w:right="1212"/>
              <w:spacing w:after="0"/>
              <w:rPr>
                <w:sz w:val="20"/>
                <w:szCs w:val="20"/>
                <w:color w:val="auto"/>
              </w:rPr>
            </w:pPr>
            <w:r>
              <w:rPr>
                <w:rFonts w:ascii="Arial" w:cs="Arial" w:eastAsia="Arial" w:hAnsi="Arial"/>
                <w:sz w:val="18"/>
                <w:szCs w:val="18"/>
                <w:color w:val="auto"/>
              </w:rPr>
              <w:t>2,182(4)</w:t>
            </w:r>
          </w:p>
        </w:tc>
        <w:tc>
          <w:tcPr>
            <w:tcW w:w="116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Terri L. Herrington</w:t>
            </w:r>
          </w:p>
        </w:tc>
        <w:tc>
          <w:tcPr>
            <w:tcW w:w="27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1,908(4)</w:t>
            </w: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Ann Manix</w:t>
            </w:r>
          </w:p>
        </w:tc>
        <w:tc>
          <w:tcPr>
            <w:tcW w:w="2720" w:type="dxa"/>
            <w:vAlign w:val="bottom"/>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tcPr>
          <w:p>
            <w:pPr>
              <w:jc w:val="right"/>
              <w:ind w:right="1212"/>
              <w:spacing w:after="0"/>
              <w:rPr>
                <w:sz w:val="20"/>
                <w:szCs w:val="20"/>
                <w:color w:val="auto"/>
              </w:rPr>
            </w:pPr>
            <w:r>
              <w:rPr>
                <w:rFonts w:ascii="Arial" w:cs="Arial" w:eastAsia="Arial" w:hAnsi="Arial"/>
                <w:sz w:val="18"/>
                <w:szCs w:val="18"/>
                <w:color w:val="auto"/>
              </w:rPr>
              <w:t>-0-(4)</w:t>
            </w:r>
          </w:p>
        </w:tc>
        <w:tc>
          <w:tcPr>
            <w:tcW w:w="1160" w:type="dxa"/>
            <w:vAlign w:val="bottom"/>
          </w:tcPr>
          <w:p>
            <w:pPr>
              <w:jc w:val="center"/>
              <w:ind w:right="72"/>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Mary A. Tidlund</w:t>
            </w:r>
          </w:p>
        </w:tc>
        <w:tc>
          <w:tcPr>
            <w:tcW w:w="27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2,241(4)</w:t>
            </w: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Scott C. James</w:t>
            </w:r>
          </w:p>
        </w:tc>
        <w:tc>
          <w:tcPr>
            <w:tcW w:w="27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-0-(4)</w:t>
            </w:r>
          </w:p>
        </w:tc>
        <w:tc>
          <w:tcPr>
            <w:tcW w:w="11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Andrew B. Nace</w:t>
            </w:r>
          </w:p>
        </w:tc>
        <w:tc>
          <w:tcPr>
            <w:tcW w:w="2720" w:type="dxa"/>
            <w:vAlign w:val="bottom"/>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tcPr>
          <w:p>
            <w:pPr>
              <w:jc w:val="right"/>
              <w:ind w:right="1212"/>
              <w:spacing w:after="0"/>
              <w:rPr>
                <w:sz w:val="20"/>
                <w:szCs w:val="20"/>
                <w:color w:val="auto"/>
              </w:rPr>
            </w:pPr>
            <w:r>
              <w:rPr>
                <w:rFonts w:ascii="Arial" w:cs="Arial" w:eastAsia="Arial" w:hAnsi="Arial"/>
                <w:sz w:val="18"/>
                <w:szCs w:val="18"/>
                <w:color w:val="auto"/>
              </w:rPr>
              <w:t>-0-(4)</w:t>
            </w:r>
          </w:p>
        </w:tc>
        <w:tc>
          <w:tcPr>
            <w:tcW w:w="1160" w:type="dxa"/>
            <w:vAlign w:val="bottom"/>
          </w:tcPr>
          <w:p>
            <w:pPr>
              <w:jc w:val="center"/>
              <w:ind w:right="72"/>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Amy E. Ruf</w:t>
            </w:r>
          </w:p>
        </w:tc>
        <w:tc>
          <w:tcPr>
            <w:tcW w:w="27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-0-(4)</w:t>
            </w:r>
          </w:p>
        </w:tc>
        <w:tc>
          <w:tcPr>
            <w:tcW w:w="11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Amy A. Samford</w:t>
            </w:r>
          </w:p>
        </w:tc>
        <w:tc>
          <w:tcPr>
            <w:tcW w:w="2720" w:type="dxa"/>
            <w:vAlign w:val="bottom"/>
          </w:tcPr>
          <w:p>
            <w:pPr>
              <w:jc w:val="right"/>
              <w:ind w:right="812"/>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2"/>
              <w:spacing w:after="0"/>
              <w:rPr>
                <w:sz w:val="20"/>
                <w:szCs w:val="20"/>
                <w:color w:val="auto"/>
              </w:rPr>
            </w:pPr>
            <w:r>
              <w:rPr>
                <w:rFonts w:ascii="Arial" w:cs="Arial" w:eastAsia="Arial" w:hAnsi="Arial"/>
                <w:sz w:val="18"/>
                <w:szCs w:val="18"/>
                <w:color w:val="auto"/>
                <w:w w:val="90"/>
              </w:rPr>
              <w:t>-0-</w:t>
            </w:r>
          </w:p>
        </w:tc>
        <w:tc>
          <w:tcPr>
            <w:tcW w:w="2840" w:type="dxa"/>
            <w:vAlign w:val="bottom"/>
          </w:tcPr>
          <w:p>
            <w:pPr>
              <w:jc w:val="right"/>
              <w:ind w:right="1212"/>
              <w:spacing w:after="0"/>
              <w:rPr>
                <w:sz w:val="20"/>
                <w:szCs w:val="20"/>
                <w:color w:val="auto"/>
              </w:rPr>
            </w:pPr>
            <w:r>
              <w:rPr>
                <w:rFonts w:ascii="Arial" w:cs="Arial" w:eastAsia="Arial" w:hAnsi="Arial"/>
                <w:sz w:val="18"/>
                <w:szCs w:val="18"/>
                <w:color w:val="auto"/>
              </w:rPr>
              <w:t>-0-(4)</w:t>
            </w:r>
          </w:p>
        </w:tc>
        <w:tc>
          <w:tcPr>
            <w:tcW w:w="1160" w:type="dxa"/>
            <w:vAlign w:val="bottom"/>
          </w:tcPr>
          <w:p>
            <w:pPr>
              <w:jc w:val="center"/>
              <w:ind w:right="72"/>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00" w:type="dxa"/>
            <w:vAlign w:val="bottom"/>
          </w:tcPr>
          <w:p>
            <w:pPr>
              <w:spacing w:after="0" w:line="198" w:lineRule="exact"/>
              <w:rPr>
                <w:sz w:val="20"/>
                <w:szCs w:val="20"/>
                <w:color w:val="auto"/>
              </w:rPr>
            </w:pPr>
            <w:r>
              <w:rPr>
                <w:rFonts w:ascii="Arial" w:cs="Arial" w:eastAsia="Arial" w:hAnsi="Arial"/>
                <w:sz w:val="18"/>
                <w:szCs w:val="18"/>
                <w:color w:val="auto"/>
                <w:w w:val="91"/>
              </w:rPr>
              <w:t>Current directors and executive officers as</w:t>
            </w:r>
          </w:p>
        </w:tc>
        <w:tc>
          <w:tcPr>
            <w:tcW w:w="2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40"/>
              <w:spacing w:after="0"/>
              <w:rPr>
                <w:sz w:val="20"/>
                <w:szCs w:val="20"/>
                <w:color w:val="auto"/>
              </w:rPr>
            </w:pPr>
            <w:r>
              <w:rPr>
                <w:rFonts w:ascii="Arial" w:cs="Arial" w:eastAsia="Arial" w:hAnsi="Arial"/>
                <w:sz w:val="18"/>
                <w:szCs w:val="18"/>
                <w:color w:val="auto"/>
              </w:rPr>
              <w:t>a group (15 persons)</w:t>
            </w:r>
          </w:p>
        </w:tc>
        <w:tc>
          <w:tcPr>
            <w:tcW w:w="2720" w:type="dxa"/>
            <w:vAlign w:val="bottom"/>
          </w:tcPr>
          <w:p>
            <w:pPr>
              <w:jc w:val="right"/>
              <w:ind w:right="812"/>
              <w:spacing w:after="0"/>
              <w:rPr>
                <w:sz w:val="20"/>
                <w:szCs w:val="20"/>
                <w:color w:val="auto"/>
              </w:rPr>
            </w:pPr>
            <w:r>
              <w:rPr>
                <w:rFonts w:ascii="Arial" w:cs="Arial" w:eastAsia="Arial" w:hAnsi="Arial"/>
                <w:sz w:val="18"/>
                <w:szCs w:val="18"/>
                <w:color w:val="auto"/>
              </w:rPr>
              <w:t>28,400(4)</w:t>
            </w:r>
          </w:p>
        </w:tc>
        <w:tc>
          <w:tcPr>
            <w:tcW w:w="1320" w:type="dxa"/>
            <w:vAlign w:val="bottom"/>
          </w:tcPr>
          <w:p>
            <w:pPr>
              <w:jc w:val="center"/>
              <w:ind w:right="332"/>
              <w:spacing w:after="0"/>
              <w:rPr>
                <w:sz w:val="20"/>
                <w:szCs w:val="20"/>
                <w:color w:val="auto"/>
              </w:rPr>
            </w:pPr>
            <w:r>
              <w:rPr>
                <w:rFonts w:ascii="Arial" w:cs="Arial" w:eastAsia="Arial" w:hAnsi="Arial"/>
                <w:sz w:val="18"/>
                <w:szCs w:val="18"/>
                <w:color w:val="auto"/>
              </w:rPr>
              <w:t>*</w:t>
            </w:r>
          </w:p>
        </w:tc>
        <w:tc>
          <w:tcPr>
            <w:tcW w:w="2840" w:type="dxa"/>
            <w:vAlign w:val="bottom"/>
          </w:tcPr>
          <w:p>
            <w:pPr>
              <w:jc w:val="right"/>
              <w:ind w:right="1212"/>
              <w:spacing w:after="0"/>
              <w:rPr>
                <w:sz w:val="20"/>
                <w:szCs w:val="20"/>
                <w:color w:val="auto"/>
              </w:rPr>
            </w:pPr>
            <w:r>
              <w:rPr>
                <w:rFonts w:ascii="Arial" w:cs="Arial" w:eastAsia="Arial" w:hAnsi="Arial"/>
                <w:sz w:val="18"/>
                <w:szCs w:val="18"/>
                <w:color w:val="auto"/>
              </w:rPr>
              <w:t>17,854(4)</w:t>
            </w:r>
          </w:p>
        </w:tc>
        <w:tc>
          <w:tcPr>
            <w:tcW w:w="116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23342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342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740" w:hanging="735"/>
        <w:spacing w:after="0"/>
        <w:tabs>
          <w:tab w:leader="none" w:pos="740" w:val="left"/>
        </w:tabs>
        <w:numPr>
          <w:ilvl w:val="0"/>
          <w:numId w:val="50"/>
        </w:numPr>
        <w:rPr>
          <w:rFonts w:ascii="Arial" w:cs="Arial" w:eastAsia="Arial" w:hAnsi="Arial"/>
          <w:sz w:val="21"/>
          <w:szCs w:val="21"/>
          <w:color w:val="auto"/>
        </w:rPr>
      </w:pPr>
      <w:r>
        <w:rPr>
          <w:rFonts w:ascii="Arial" w:cs="Arial" w:eastAsia="Arial" w:hAnsi="Arial"/>
          <w:sz w:val="21"/>
          <w:szCs w:val="21"/>
          <w:color w:val="auto"/>
        </w:rPr>
        <w:t>Less than 1%.</w:t>
      </w:r>
    </w:p>
    <w:p>
      <w:pPr>
        <w:spacing w:after="0" w:line="109" w:lineRule="exact"/>
        <w:rPr>
          <w:sz w:val="20"/>
          <w:szCs w:val="20"/>
          <w:color w:val="auto"/>
        </w:rPr>
      </w:pPr>
    </w:p>
    <w:p>
      <w:pPr>
        <w:ind w:left="640" w:right="100" w:hanging="635"/>
        <w:spacing w:after="0" w:line="252"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and is not necessarily indicative of beneficial ownership for any other purpose. Except as otherwise noted, the listed individuals or group have sole investment power and sole voting power as to all shares set forth opposite their names.</w:t>
      </w:r>
    </w:p>
    <w:p>
      <w:pPr>
        <w:spacing w:after="0" w:line="188" w:lineRule="exact"/>
        <w:rPr>
          <w:rFonts w:ascii="Arial" w:cs="Arial" w:eastAsia="Arial" w:hAnsi="Arial"/>
          <w:sz w:val="18"/>
          <w:szCs w:val="18"/>
          <w:color w:val="auto"/>
        </w:rPr>
      </w:pPr>
    </w:p>
    <w:p>
      <w:pPr>
        <w:ind w:left="640" w:hanging="63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percentages are based on 48,788,984 shares of NL common stock outstanding as of the record date.</w:t>
      </w:r>
    </w:p>
    <w:p>
      <w:pPr>
        <w:spacing w:after="0" w:line="213" w:lineRule="exact"/>
        <w:rPr>
          <w:rFonts w:ascii="Arial" w:cs="Arial" w:eastAsia="Arial" w:hAnsi="Arial"/>
          <w:sz w:val="18"/>
          <w:szCs w:val="18"/>
          <w:color w:val="auto"/>
        </w:rPr>
      </w:pPr>
    </w:p>
    <w:p>
      <w:pPr>
        <w:ind w:left="640" w:right="60" w:hanging="635"/>
        <w:spacing w:after="0" w:line="247"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percentages are based on 28,273,093 shares of Valhi common stock outstanding for voting purposes as of the record date. NL (including a wholly owned subsidiary of NL) and Kronos Worldwide own 1,197,746 shares and 143,743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92" w:lineRule="exact"/>
        <w:rPr>
          <w:rFonts w:ascii="Arial" w:cs="Arial" w:eastAsia="Arial" w:hAnsi="Arial"/>
          <w:sz w:val="18"/>
          <w:szCs w:val="18"/>
          <w:color w:val="auto"/>
        </w:rPr>
      </w:pPr>
    </w:p>
    <w:p>
      <w:pPr>
        <w:ind w:left="640" w:right="200" w:hanging="635"/>
        <w:spacing w:after="0" w:line="260"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NL or Valhi common stock, except to the extent he or she has a pecuniary interest in such shares, if any.</w:t>
      </w: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ind w:left="5580" w:hanging="73"/>
        <w:spacing w:after="0"/>
        <w:tabs>
          <w:tab w:leader="none" w:pos="55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1"/>
          <w:szCs w:val="21"/>
          <w:b w:val="1"/>
          <w:bCs w:val="1"/>
          <w:color w:val="auto"/>
        </w:rPr>
        <w:t>PROPOSAL 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ELECTION OF DIRECTORS</w:t>
      </w:r>
    </w:p>
    <w:p>
      <w:pPr>
        <w:spacing w:after="0" w:line="187" w:lineRule="exact"/>
        <w:rPr>
          <w:sz w:val="20"/>
          <w:szCs w:val="20"/>
          <w:color w:val="auto"/>
        </w:rPr>
      </w:pPr>
    </w:p>
    <w:p>
      <w:pPr>
        <w:ind w:right="120" w:firstLine="630"/>
        <w:spacing w:after="0" w:line="241" w:lineRule="auto"/>
        <w:rPr>
          <w:sz w:val="20"/>
          <w:szCs w:val="20"/>
          <w:color w:val="auto"/>
        </w:rPr>
      </w:pPr>
      <w:r>
        <w:rPr>
          <w:rFonts w:ascii="Arial" w:cs="Arial" w:eastAsia="Arial" w:hAnsi="Arial"/>
          <w:sz w:val="21"/>
          <w:szCs w:val="21"/>
          <w:color w:val="auto"/>
        </w:rPr>
        <w:t>Our bylaws provide that the board of directors shall consist of one or more members as determined by our board of directors or stockholders. Our board of directors has currently set the number of directors at seven and recommends the seven director nominees named in this proxy statement for election at our 2021 annual stockholder meeting. The directors elected at the meeting will hold office until our 2022 annual stockholder meeting and until their successors are duly elected and qualified or their earlier removal or resignation.</w:t>
      </w:r>
    </w:p>
    <w:p>
      <w:pPr>
        <w:spacing w:after="0" w:line="179" w:lineRule="exact"/>
        <w:rPr>
          <w:sz w:val="20"/>
          <w:szCs w:val="20"/>
          <w:color w:val="auto"/>
        </w:rPr>
      </w:pPr>
    </w:p>
    <w:p>
      <w:pPr>
        <w:ind w:firstLine="630"/>
        <w:spacing w:after="0" w:line="239" w:lineRule="auto"/>
        <w:rPr>
          <w:sz w:val="20"/>
          <w:szCs w:val="20"/>
          <w:color w:val="auto"/>
        </w:rPr>
      </w:pPr>
      <w:r>
        <w:rPr>
          <w:rFonts w:ascii="Arial" w:cs="Arial" w:eastAsia="Arial" w:hAnsi="Arial"/>
          <w:sz w:val="21"/>
          <w:szCs w:val="21"/>
          <w:color w:val="auto"/>
        </w:rPr>
        <w:t>All of the director nominees are currently members of our board of directors whose terms will expire at the 2021 annual meeting, except for Scott C. James. David A. Bowers, currently a member of the board of directors, is not standing for reelection as a director. All of the nominees have agreed to serve if elected. If any nominee is not available for election at the meeting, your shares will be voted FOR an alternate nominee to be selected by the board of directors, unless you withhold authority to vote for such unavailable nominee. The board of directors believes that all of its nominees will be available for election at the meeting and will serve if elected.</w:t>
      </w:r>
    </w:p>
    <w:p>
      <w:pPr>
        <w:spacing w:after="0" w:line="179" w:lineRule="exact"/>
        <w:rPr>
          <w:sz w:val="20"/>
          <w:szCs w:val="20"/>
          <w:color w:val="auto"/>
        </w:rPr>
      </w:pPr>
    </w:p>
    <w:p>
      <w:pPr>
        <w:ind w:right="400" w:firstLine="630"/>
        <w:spacing w:after="0" w:line="266" w:lineRule="auto"/>
        <w:rPr>
          <w:sz w:val="20"/>
          <w:szCs w:val="20"/>
          <w:color w:val="auto"/>
        </w:rPr>
      </w:pPr>
      <w:r>
        <w:rPr>
          <w:rFonts w:ascii="Arial" w:cs="Arial" w:eastAsia="Arial" w:hAnsi="Arial"/>
          <w:sz w:val="21"/>
          <w:szCs w:val="21"/>
          <w:color w:val="auto"/>
        </w:rPr>
        <w:t xml:space="preserve">OUR BOARD OF DIRECTORS RECOMMENDS A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ELECTION OF EACH OF THE FOLLOWING NOMINEES FOR DIRECTOR.</w:t>
      </w:r>
    </w:p>
    <w:p>
      <w:pPr>
        <w:spacing w:after="0" w:line="153" w:lineRule="exact"/>
        <w:rPr>
          <w:sz w:val="20"/>
          <w:szCs w:val="20"/>
          <w:color w:val="auto"/>
        </w:rPr>
      </w:pPr>
    </w:p>
    <w:p>
      <w:pPr>
        <w:ind w:right="40" w:firstLine="630"/>
        <w:spacing w:after="0" w:line="277" w:lineRule="auto"/>
        <w:rPr>
          <w:sz w:val="20"/>
          <w:szCs w:val="20"/>
          <w:color w:val="auto"/>
        </w:rPr>
      </w:pPr>
      <w:r>
        <w:rPr>
          <w:rFonts w:ascii="Arial" w:cs="Arial" w:eastAsia="Arial" w:hAnsi="Arial"/>
          <w:sz w:val="19"/>
          <w:szCs w:val="19"/>
          <w:b w:val="1"/>
          <w:bCs w:val="1"/>
          <w:i w:val="1"/>
          <w:iCs w:val="1"/>
          <w:color w:val="auto"/>
        </w:rPr>
        <w:t>Nominees for Director</w:t>
      </w:r>
      <w:r>
        <w:rPr>
          <w:rFonts w:ascii="Arial" w:cs="Arial" w:eastAsia="Arial" w:hAnsi="Arial"/>
          <w:sz w:val="19"/>
          <w:szCs w:val="19"/>
          <w:color w:val="auto"/>
        </w:rPr>
        <w:t>. All of our nominees have extensive senior management and policy-making experience or significant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accounting experience. We believe all of 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41" w:lineRule="exact"/>
        <w:rPr>
          <w:sz w:val="20"/>
          <w:szCs w:val="20"/>
          <w:color w:val="auto"/>
        </w:rPr>
      </w:pPr>
    </w:p>
    <w:p>
      <w:pPr>
        <w:ind w:firstLine="630"/>
        <w:spacing w:after="0" w:line="255" w:lineRule="auto"/>
        <w:rPr>
          <w:sz w:val="20"/>
          <w:szCs w:val="20"/>
          <w:color w:val="auto"/>
        </w:rPr>
      </w:pPr>
      <w:r>
        <w:rPr>
          <w:rFonts w:ascii="Arial" w:cs="Arial" w:eastAsia="Arial" w:hAnsi="Arial"/>
          <w:sz w:val="20"/>
          <w:szCs w:val="20"/>
          <w:b w:val="1"/>
          <w:bCs w:val="1"/>
          <w:color w:val="auto"/>
        </w:rPr>
        <w:t>Thomas E. Barry</w:t>
      </w:r>
      <w:r>
        <w:rPr>
          <w:rFonts w:ascii="Arial" w:cs="Arial" w:eastAsia="Arial" w:hAnsi="Arial"/>
          <w:sz w:val="20"/>
          <w:szCs w:val="20"/>
          <w:color w:val="auto"/>
        </w:rPr>
        <w:t>, age 77, has served on our board of directors since 2016. Dr. Barry has held the position of professor of</w:t>
      </w:r>
      <w:r>
        <w:rPr>
          <w:rFonts w:ascii="Arial" w:cs="Arial" w:eastAsia="Arial" w:hAnsi="Arial"/>
          <w:sz w:val="20"/>
          <w:szCs w:val="20"/>
          <w:b w:val="1"/>
          <w:bCs w:val="1"/>
          <w:color w:val="auto"/>
        </w:rPr>
        <w:t xml:space="preserve"> </w:t>
      </w:r>
      <w:r>
        <w:rPr>
          <w:rFonts w:ascii="Arial" w:cs="Arial" w:eastAsia="Arial" w:hAnsi="Arial"/>
          <w:sz w:val="20"/>
          <w:szCs w:val="20"/>
          <w:color w:val="auto"/>
        </w:rPr>
        <w:t>marketing in the Edwin L. Cox School of Business at Southern Methodist University since 1970, with emeritus status beginning in 2017. He also served the university as vice president for executive affairs from 1995 to 2015. Since prior to 2016, he has served as a director of Valhi and a member of its audit and management development and compensation committees (including serving as chairman of Valhi’s audit and management development and compensation committees since 2016). He is the chairman of our audit committee and a member of our management development and compensation committee.</w:t>
      </w:r>
    </w:p>
    <w:p>
      <w:pPr>
        <w:spacing w:after="0" w:line="168" w:lineRule="exact"/>
        <w:rPr>
          <w:sz w:val="20"/>
          <w:szCs w:val="20"/>
          <w:color w:val="auto"/>
        </w:rPr>
      </w:pPr>
    </w:p>
    <w:p>
      <w:pPr>
        <w:ind w:firstLine="630"/>
        <w:spacing w:after="0" w:line="277" w:lineRule="auto"/>
        <w:rPr>
          <w:sz w:val="20"/>
          <w:szCs w:val="20"/>
          <w:color w:val="auto"/>
        </w:rPr>
      </w:pPr>
      <w:r>
        <w:rPr>
          <w:rFonts w:ascii="Arial" w:cs="Arial" w:eastAsia="Arial" w:hAnsi="Arial"/>
          <w:sz w:val="19"/>
          <w:szCs w:val="19"/>
          <w:color w:val="auto"/>
        </w:rPr>
        <w:t>Dr. Barry has five years of experience on our board of directors and over 20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41" w:lineRule="exact"/>
        <w:rPr>
          <w:sz w:val="20"/>
          <w:szCs w:val="20"/>
          <w:color w:val="auto"/>
        </w:rPr>
      </w:pPr>
    </w:p>
    <w:p>
      <w:pPr>
        <w:ind w:right="300" w:firstLine="630"/>
        <w:spacing w:after="0" w:line="274" w:lineRule="auto"/>
        <w:rPr>
          <w:sz w:val="20"/>
          <w:szCs w:val="20"/>
          <w:color w:val="auto"/>
        </w:rPr>
      </w:pPr>
      <w:r>
        <w:rPr>
          <w:rFonts w:ascii="Arial" w:cs="Arial" w:eastAsia="Arial" w:hAnsi="Arial"/>
          <w:sz w:val="19"/>
          <w:szCs w:val="19"/>
          <w:b w:val="1"/>
          <w:bCs w:val="1"/>
          <w:color w:val="auto"/>
        </w:rPr>
        <w:t xml:space="preserve">Loretta J. Feehan, </w:t>
      </w:r>
      <w:r>
        <w:rPr>
          <w:rFonts w:ascii="Arial" w:cs="Arial" w:eastAsia="Arial" w:hAnsi="Arial"/>
          <w:sz w:val="19"/>
          <w:szCs w:val="19"/>
          <w:color w:val="auto"/>
        </w:rPr>
        <w:t>age 65, has served as chair of the board (non-executive) of us, Kronos Worldwide, NL and Valhi since</w:t>
      </w:r>
      <w:r>
        <w:rPr>
          <w:rFonts w:ascii="Arial" w:cs="Arial" w:eastAsia="Arial" w:hAnsi="Arial"/>
          <w:sz w:val="19"/>
          <w:szCs w:val="19"/>
          <w:b w:val="1"/>
          <w:bCs w:val="1"/>
          <w:color w:val="auto"/>
        </w:rPr>
        <w:t xml:space="preserve"> </w:t>
      </w:r>
      <w:r>
        <w:rPr>
          <w:rFonts w:ascii="Arial" w:cs="Arial" w:eastAsia="Arial" w:hAnsi="Arial"/>
          <w:sz w:val="19"/>
          <w:szCs w:val="19"/>
          <w:color w:val="auto"/>
        </w:rPr>
        <w:t>2017, and as a director of each such company since 2014. She is a certified public accountant who consults on financial and tax matters. Prior to forming her own practice, she served as a tax partner with Deloitte and Touche LLP serving primarily corporate clients. Ms. Feehan also taught continuing education courses from 2002 to 2016 to tax practitioners around the country for Accountant’s Education Services. She has been a financial advisor to Lisa K. Simmons since prior to 2016.</w:t>
      </w:r>
    </w:p>
    <w:p>
      <w:pPr>
        <w:spacing w:after="0" w:line="150" w:lineRule="exact"/>
        <w:rPr>
          <w:sz w:val="20"/>
          <w:szCs w:val="20"/>
          <w:color w:val="auto"/>
        </w:rPr>
      </w:pPr>
    </w:p>
    <w:p>
      <w:pPr>
        <w:ind w:right="180" w:firstLine="630"/>
        <w:spacing w:after="0" w:line="247" w:lineRule="auto"/>
        <w:rPr>
          <w:sz w:val="20"/>
          <w:szCs w:val="20"/>
          <w:color w:val="auto"/>
        </w:rPr>
      </w:pPr>
      <w:r>
        <w:rPr>
          <w:rFonts w:ascii="Arial" w:cs="Arial" w:eastAsia="Arial" w:hAnsi="Arial"/>
          <w:sz w:val="21"/>
          <w:szCs w:val="21"/>
          <w:color w:val="auto"/>
        </w:rPr>
        <w:t>Ms. Feehan has seven years of experience as a director of us, Kronos Worldwide, NL and Valhi. She also has over 43 years of financial and tax accounting and auditing experience, certain years of which were as a partner of one the largest international accounting firms.</w:t>
      </w:r>
    </w:p>
    <w:p>
      <w:pPr>
        <w:spacing w:after="0" w:line="167" w:lineRule="exact"/>
        <w:rPr>
          <w:sz w:val="20"/>
          <w:szCs w:val="20"/>
          <w:color w:val="auto"/>
        </w:rPr>
      </w:pPr>
    </w:p>
    <w:p>
      <w:pPr>
        <w:ind w:firstLine="630"/>
        <w:spacing w:after="0" w:line="255" w:lineRule="auto"/>
        <w:rPr>
          <w:sz w:val="20"/>
          <w:szCs w:val="20"/>
          <w:color w:val="auto"/>
        </w:rPr>
      </w:pPr>
      <w:r>
        <w:rPr>
          <w:rFonts w:ascii="Arial" w:cs="Arial" w:eastAsia="Arial" w:hAnsi="Arial"/>
          <w:sz w:val="20"/>
          <w:szCs w:val="20"/>
          <w:b w:val="1"/>
          <w:bCs w:val="1"/>
          <w:color w:val="auto"/>
        </w:rPr>
        <w:t>Robert D. Graham</w:t>
      </w:r>
      <w:r>
        <w:rPr>
          <w:rFonts w:ascii="Arial" w:cs="Arial" w:eastAsia="Arial" w:hAnsi="Arial"/>
          <w:sz w:val="20"/>
          <w:szCs w:val="20"/>
          <w:color w:val="auto"/>
        </w:rPr>
        <w:t>, age 65, has served as our vice chairman of the board since May 2018 and on our board of directors since</w:t>
      </w:r>
      <w:r>
        <w:rPr>
          <w:rFonts w:ascii="Arial" w:cs="Arial" w:eastAsia="Arial" w:hAnsi="Arial"/>
          <w:sz w:val="20"/>
          <w:szCs w:val="20"/>
          <w:b w:val="1"/>
          <w:bCs w:val="1"/>
          <w:color w:val="auto"/>
        </w:rPr>
        <w:t xml:space="preserve"> </w:t>
      </w:r>
      <w:r>
        <w:rPr>
          <w:rFonts w:ascii="Arial" w:cs="Arial" w:eastAsia="Arial" w:hAnsi="Arial"/>
          <w:sz w:val="20"/>
          <w:szCs w:val="20"/>
          <w:color w:val="auto"/>
        </w:rPr>
        <w:t>2016. He previously served as our executive vice president from May 2017 to May 2018, and as our chairman of the board from January 2017 to May 2017. He currently serves as vice chairman of the board, president and chief executive officer of Kronos Worldwide and Valhi, as vice chairman of the board and chief executive officer of NL, and as president and chief executive officer of Contran. He has served as a director of Contran, Valhi and Kronos Worldwide since 2016 and as a director of NL since 2014. Mr. Graham has served with various companies related to us and Contran since 2002.</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559" w:right="359" w:bottom="1440" w:gutter="0" w:footer="0" w:header="0"/>
        </w:sectPr>
      </w:pPr>
    </w:p>
    <w:bookmarkStart w:id="14" w:name="page15"/>
    <w:bookmarkEnd w:id="14"/>
    <w:p>
      <w:pPr>
        <w:ind w:right="300" w:firstLine="630"/>
        <w:spacing w:after="0" w:line="247" w:lineRule="auto"/>
        <w:rPr>
          <w:sz w:val="20"/>
          <w:szCs w:val="20"/>
          <w:color w:val="auto"/>
        </w:rPr>
      </w:pPr>
      <w:r>
        <w:rPr>
          <w:rFonts w:ascii="Arial" w:cs="Arial" w:eastAsia="Arial" w:hAnsi="Arial"/>
          <w:sz w:val="21"/>
          <w:szCs w:val="21"/>
          <w:color w:val="auto"/>
        </w:rPr>
        <w:t>Mr. Graham has extensive experience with our businesses. He also has senior executive, operating, corporate governance, finance and financial accounting oversight experience from other publicly and privately held entities related to us for which he currently serves or formerly served.</w:t>
      </w:r>
    </w:p>
    <w:p>
      <w:pPr>
        <w:spacing w:after="0" w:line="167" w:lineRule="exact"/>
        <w:rPr>
          <w:sz w:val="20"/>
          <w:szCs w:val="20"/>
          <w:color w:val="auto"/>
        </w:rPr>
      </w:pPr>
    </w:p>
    <w:p>
      <w:pPr>
        <w:ind w:right="60" w:firstLine="630"/>
        <w:spacing w:after="0" w:line="239" w:lineRule="auto"/>
        <w:rPr>
          <w:sz w:val="20"/>
          <w:szCs w:val="20"/>
          <w:color w:val="auto"/>
        </w:rPr>
      </w:pPr>
      <w:r>
        <w:rPr>
          <w:rFonts w:ascii="Arial" w:cs="Arial" w:eastAsia="Arial" w:hAnsi="Arial"/>
          <w:sz w:val="21"/>
          <w:szCs w:val="21"/>
          <w:b w:val="1"/>
          <w:bCs w:val="1"/>
          <w:color w:val="auto"/>
        </w:rPr>
        <w:t>Terri L. Herrington</w:t>
      </w:r>
      <w:r>
        <w:rPr>
          <w:rFonts w:ascii="Arial" w:cs="Arial" w:eastAsia="Arial" w:hAnsi="Arial"/>
          <w:sz w:val="21"/>
          <w:szCs w:val="21"/>
          <w:color w:val="auto"/>
        </w:rPr>
        <w:t>, age 65, has served on our board of directors since 2018. Ms. Herrington is a private investor. She</w:t>
      </w:r>
      <w:r>
        <w:rPr>
          <w:rFonts w:ascii="Arial" w:cs="Arial" w:eastAsia="Arial" w:hAnsi="Arial"/>
          <w:sz w:val="21"/>
          <w:szCs w:val="21"/>
          <w:b w:val="1"/>
          <w:bCs w:val="1"/>
          <w:color w:val="auto"/>
        </w:rPr>
        <w:t xml:space="preserve"> </w:t>
      </w:r>
      <w:r>
        <w:rPr>
          <w:rFonts w:ascii="Arial" w:cs="Arial" w:eastAsia="Arial" w:hAnsi="Arial"/>
          <w:sz w:val="21"/>
          <w:szCs w:val="21"/>
          <w:color w:val="auto"/>
        </w:rPr>
        <w:t>retired from International Paper Company, a worldwide producer of fiber-based packaging, pulp and paper, at the end of 2016. Ms. Herrington worked for International Paper for nine years, including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 positions, lastly as their global Director of Audit for Finance and Financial Control. Since 2018, Ms. Herrington has served as a director and on the audit committee of Valhi. She is a member of our audit committee.</w:t>
      </w:r>
    </w:p>
    <w:p>
      <w:pPr>
        <w:spacing w:after="0" w:line="183" w:lineRule="exact"/>
        <w:rPr>
          <w:sz w:val="20"/>
          <w:szCs w:val="20"/>
          <w:color w:val="auto"/>
        </w:rPr>
      </w:pPr>
    </w:p>
    <w:p>
      <w:pPr>
        <w:ind w:right="100" w:firstLine="630"/>
        <w:spacing w:after="0" w:line="247" w:lineRule="auto"/>
        <w:rPr>
          <w:sz w:val="20"/>
          <w:szCs w:val="20"/>
          <w:color w:val="auto"/>
        </w:rPr>
      </w:pPr>
      <w:r>
        <w:rPr>
          <w:rFonts w:ascii="Arial" w:cs="Arial" w:eastAsia="Arial" w:hAnsi="Arial"/>
          <w:sz w:val="21"/>
          <w:szCs w:val="21"/>
          <w:color w:val="auto"/>
        </w:rPr>
        <w:t>Ms. Herrington has three years of experience on the boards of directors and audit committees of CompX and Valhi. She also has senior executive, operating, corporate governance, finance, and financial accounting oversight experience from two publicly-traded companies for which she formerly served.</w:t>
      </w:r>
    </w:p>
    <w:p>
      <w:pPr>
        <w:spacing w:after="0" w:line="167" w:lineRule="exact"/>
        <w:rPr>
          <w:sz w:val="20"/>
          <w:szCs w:val="20"/>
          <w:color w:val="auto"/>
        </w:rPr>
      </w:pPr>
    </w:p>
    <w:p>
      <w:pPr>
        <w:ind w:right="80" w:firstLine="630"/>
        <w:spacing w:after="0" w:line="245" w:lineRule="auto"/>
        <w:rPr>
          <w:sz w:val="20"/>
          <w:szCs w:val="20"/>
          <w:color w:val="auto"/>
        </w:rPr>
      </w:pPr>
      <w:r>
        <w:rPr>
          <w:rFonts w:ascii="Arial" w:cs="Arial" w:eastAsia="Arial" w:hAnsi="Arial"/>
          <w:sz w:val="21"/>
          <w:szCs w:val="21"/>
          <w:b w:val="1"/>
          <w:bCs w:val="1"/>
          <w:color w:val="auto"/>
        </w:rPr>
        <w:t>Scott C. James</w:t>
      </w:r>
      <w:r>
        <w:rPr>
          <w:rFonts w:ascii="Arial" w:cs="Arial" w:eastAsia="Arial" w:hAnsi="Arial"/>
          <w:sz w:val="21"/>
          <w:szCs w:val="21"/>
          <w:color w:val="auto"/>
        </w:rPr>
        <w:t>, age 55, has served as our chief executive officer since 2017, as our president since 2014, and as president of</w:t>
      </w:r>
      <w:r>
        <w:rPr>
          <w:rFonts w:ascii="Arial" w:cs="Arial" w:eastAsia="Arial" w:hAnsi="Arial"/>
          <w:sz w:val="21"/>
          <w:szCs w:val="21"/>
          <w:b w:val="1"/>
          <w:bCs w:val="1"/>
          <w:color w:val="auto"/>
        </w:rPr>
        <w:t xml:space="preserve"> </w:t>
      </w:r>
      <w:r>
        <w:rPr>
          <w:rFonts w:ascii="Arial" w:cs="Arial" w:eastAsia="Arial" w:hAnsi="Arial"/>
          <w:sz w:val="21"/>
          <w:szCs w:val="21"/>
          <w:color w:val="auto"/>
        </w:rPr>
        <w:t>both of our divisions, CompX Security Products and CompX Marine, since 2002 and 2005, respectively. He served as our chief operating officer from 2014 to 2017 and as our vice president from 2002 to 2014. Mr. James has served in various sales, marketing and executive positions with us since 1992.</w:t>
      </w:r>
    </w:p>
    <w:p>
      <w:pPr>
        <w:spacing w:after="0" w:line="175" w:lineRule="exact"/>
        <w:rPr>
          <w:sz w:val="20"/>
          <w:szCs w:val="20"/>
          <w:color w:val="auto"/>
        </w:rPr>
      </w:pPr>
    </w:p>
    <w:p>
      <w:pPr>
        <w:ind w:right="300" w:firstLine="630"/>
        <w:spacing w:after="0" w:line="260" w:lineRule="auto"/>
        <w:rPr>
          <w:sz w:val="20"/>
          <w:szCs w:val="20"/>
          <w:color w:val="auto"/>
        </w:rPr>
      </w:pPr>
      <w:r>
        <w:rPr>
          <w:rFonts w:ascii="Arial" w:cs="Arial" w:eastAsia="Arial" w:hAnsi="Arial"/>
          <w:sz w:val="21"/>
          <w:szCs w:val="21"/>
          <w:color w:val="auto"/>
        </w:rPr>
        <w:t>Mr. James has over 28 years of experience serving CompX, in which he developed general management, senior executive, corporate governance, finance and financial accounting oversight experience.</w:t>
      </w:r>
    </w:p>
    <w:p>
      <w:pPr>
        <w:spacing w:after="0" w:line="153" w:lineRule="exact"/>
        <w:rPr>
          <w:sz w:val="20"/>
          <w:szCs w:val="20"/>
          <w:color w:val="auto"/>
        </w:rPr>
      </w:pPr>
    </w:p>
    <w:p>
      <w:pPr>
        <w:ind w:firstLine="630"/>
        <w:spacing w:after="0" w:line="274" w:lineRule="auto"/>
        <w:rPr>
          <w:sz w:val="20"/>
          <w:szCs w:val="20"/>
          <w:color w:val="auto"/>
        </w:rPr>
      </w:pPr>
      <w:r>
        <w:rPr>
          <w:rFonts w:ascii="Arial" w:cs="Arial" w:eastAsia="Arial" w:hAnsi="Arial"/>
          <w:sz w:val="19"/>
          <w:szCs w:val="19"/>
          <w:b w:val="1"/>
          <w:bCs w:val="1"/>
          <w:color w:val="auto"/>
        </w:rPr>
        <w:t>Ann Manix</w:t>
      </w:r>
      <w:r>
        <w:rPr>
          <w:rFonts w:ascii="Arial" w:cs="Arial" w:eastAsia="Arial" w:hAnsi="Arial"/>
          <w:sz w:val="19"/>
          <w:szCs w:val="19"/>
          <w:color w:val="auto"/>
        </w:rPr>
        <w:t>, age 68, has served on our board of directors since 1998. Since 2014, Ms. Manix has served as a director of Blue</w:t>
      </w:r>
      <w:r>
        <w:rPr>
          <w:rFonts w:ascii="Arial" w:cs="Arial" w:eastAsia="Arial" w:hAnsi="Arial"/>
          <w:sz w:val="19"/>
          <w:szCs w:val="19"/>
          <w:b w:val="1"/>
          <w:bCs w:val="1"/>
          <w:color w:val="auto"/>
        </w:rPr>
        <w:t xml:space="preserve"> </w:t>
      </w:r>
      <w:r>
        <w:rPr>
          <w:rFonts w:ascii="Arial" w:cs="Arial" w:eastAsia="Arial" w:hAnsi="Arial"/>
          <w:sz w:val="19"/>
          <w:szCs w:val="19"/>
          <w:color w:val="auto"/>
        </w:rPr>
        <w:t>Canyon Partners, Inc., a global management consulting firm. She served on the global market intelligence, consulting and financial advisory team for Ducker Worldwide, LLC, a privately held industrial research firm, since prior to 2014, and as a managing partner for the firm from 1994 until 2006. Additionally, she has served as a principal of Summus, Ltd., a strategic consulting firm, since 2008. She is chair of our management development and compensation committee and a member of our audit committee.</w:t>
      </w:r>
    </w:p>
    <w:p>
      <w:pPr>
        <w:spacing w:after="0" w:line="150" w:lineRule="exact"/>
        <w:rPr>
          <w:sz w:val="20"/>
          <w:szCs w:val="20"/>
          <w:color w:val="auto"/>
        </w:rPr>
      </w:pPr>
    </w:p>
    <w:p>
      <w:pPr>
        <w:ind w:right="140" w:firstLine="630"/>
        <w:spacing w:after="0" w:line="286" w:lineRule="auto"/>
        <w:rPr>
          <w:sz w:val="20"/>
          <w:szCs w:val="20"/>
          <w:color w:val="auto"/>
        </w:rPr>
      </w:pPr>
      <w:r>
        <w:rPr>
          <w:rFonts w:ascii="Arial" w:cs="Arial" w:eastAsia="Arial" w:hAnsi="Arial"/>
          <w:sz w:val="19"/>
          <w:szCs w:val="19"/>
          <w:color w:val="auto"/>
        </w:rPr>
        <w:t>Ms. Manix has over 22 years of experience on our board of directors and audit committee and 19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32" w:lineRule="exact"/>
        <w:rPr>
          <w:sz w:val="20"/>
          <w:szCs w:val="20"/>
          <w:color w:val="auto"/>
        </w:rPr>
      </w:pPr>
    </w:p>
    <w:p>
      <w:pPr>
        <w:ind w:right="100" w:firstLine="630"/>
        <w:spacing w:after="0" w:line="241" w:lineRule="auto"/>
        <w:rPr>
          <w:sz w:val="20"/>
          <w:szCs w:val="20"/>
          <w:color w:val="auto"/>
        </w:rPr>
      </w:pPr>
      <w:r>
        <w:rPr>
          <w:rFonts w:ascii="Arial" w:cs="Arial" w:eastAsia="Arial" w:hAnsi="Arial"/>
          <w:sz w:val="21"/>
          <w:szCs w:val="21"/>
          <w:b w:val="1"/>
          <w:bCs w:val="1"/>
          <w:color w:val="auto"/>
        </w:rPr>
        <w:t>Mary A. Tidlund</w:t>
      </w:r>
      <w:r>
        <w:rPr>
          <w:rFonts w:ascii="Arial" w:cs="Arial" w:eastAsia="Arial" w:hAnsi="Arial"/>
          <w:sz w:val="21"/>
          <w:szCs w:val="21"/>
          <w:color w:val="auto"/>
        </w:rPr>
        <w:t>, age 64, has served on our board of directors since 2016. Ms. Tidlund is a private investor. From 1998 to</w:t>
      </w:r>
      <w:r>
        <w:rPr>
          <w:rFonts w:ascii="Arial" w:cs="Arial" w:eastAsia="Arial" w:hAnsi="Arial"/>
          <w:sz w:val="21"/>
          <w:szCs w:val="21"/>
          <w:b w:val="1"/>
          <w:bCs w:val="1"/>
          <w:color w:val="auto"/>
        </w:rPr>
        <w:t xml:space="preserve"> </w:t>
      </w:r>
      <w:r>
        <w:rPr>
          <w:rFonts w:ascii="Arial" w:cs="Arial" w:eastAsia="Arial" w:hAnsi="Arial"/>
          <w:sz w:val="21"/>
          <w:szCs w:val="21"/>
          <w:color w:val="auto"/>
        </w:rPr>
        <w:t>2017, she served as the president of The 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2016, and also served as a director of Valhi from 2014 to 2015. She is a member of our audit committee.</w:t>
      </w:r>
    </w:p>
    <w:p>
      <w:pPr>
        <w:spacing w:after="0" w:line="179" w:lineRule="exact"/>
        <w:rPr>
          <w:sz w:val="20"/>
          <w:szCs w:val="20"/>
          <w:color w:val="auto"/>
        </w:rPr>
      </w:pPr>
    </w:p>
    <w:p>
      <w:pPr>
        <w:ind w:right="40" w:firstLine="630"/>
        <w:spacing w:after="0" w:line="286" w:lineRule="auto"/>
        <w:rPr>
          <w:sz w:val="20"/>
          <w:szCs w:val="20"/>
          <w:color w:val="auto"/>
        </w:rPr>
      </w:pPr>
      <w:r>
        <w:rPr>
          <w:rFonts w:ascii="Arial" w:cs="Arial" w:eastAsia="Arial" w:hAnsi="Arial"/>
          <w:sz w:val="19"/>
          <w:szCs w:val="19"/>
          <w:color w:val="auto"/>
        </w:rPr>
        <w:t>Ms. Tidlund has four years of experience on our board of directors and audit committee, and six years of experience on the board of directors and audit committee of Valhi. She also has senior executive, operating, corporate governance, finance and financial accounting oversight experience from a publicly traded oil exploration and service company for which she formerly served.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21"/>
          <w:szCs w:val="21"/>
          <w:b w:val="1"/>
          <w:bCs w:val="1"/>
          <w:color w:val="auto"/>
        </w:rPr>
        <w:t>EXECUTIVE OFFICERS</w:t>
      </w:r>
    </w:p>
    <w:p>
      <w:pPr>
        <w:spacing w:after="0" w:line="211" w:lineRule="exact"/>
        <w:rPr>
          <w:sz w:val="20"/>
          <w:szCs w:val="20"/>
          <w:color w:val="auto"/>
        </w:rPr>
      </w:pPr>
    </w:p>
    <w:p>
      <w:pPr>
        <w:jc w:val="both"/>
        <w:ind w:right="220" w:firstLine="630"/>
        <w:spacing w:after="0" w:line="247" w:lineRule="auto"/>
        <w:rPr>
          <w:sz w:val="20"/>
          <w:szCs w:val="20"/>
          <w:color w:val="auto"/>
        </w:rPr>
      </w:pPr>
      <w:r>
        <w:rPr>
          <w:rFonts w:ascii="Arial" w:cs="Arial" w:eastAsia="Arial" w:hAnsi="Arial"/>
          <w:sz w:val="21"/>
          <w:szCs w:val="21"/>
          <w:color w:val="auto"/>
        </w:rPr>
        <w:t>Set forth below is certain information relating to our executive officers. Each executive officer serves at the pleasure of the board of directors. Biographical information with respect to Robert D. Graham and Scott C. James is set forth under the Nominees for Director subsection above.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7560" w:type="dxa"/>
            <w:vAlign w:val="bottom"/>
            <w:tcBorders>
              <w:bottom w:val="single" w:sz="8" w:color="auto"/>
            </w:tcBorders>
          </w:tcPr>
          <w:p>
            <w:pPr>
              <w:ind w:left="3440"/>
              <w:spacing w:after="0"/>
              <w:rPr>
                <w:sz w:val="20"/>
                <w:szCs w:val="20"/>
                <w:color w:val="auto"/>
              </w:rPr>
            </w:pPr>
            <w:r>
              <w:rPr>
                <w:rFonts w:ascii="Arial" w:cs="Arial" w:eastAsia="Arial" w:hAnsi="Arial"/>
                <w:sz w:val="18"/>
                <w:szCs w:val="18"/>
                <w:b w:val="1"/>
                <w:bCs w:val="1"/>
                <w:color w:val="auto"/>
              </w:rPr>
              <w:t>Position(s)</w:t>
            </w:r>
          </w:p>
        </w:tc>
      </w:tr>
      <w:tr>
        <w:trPr>
          <w:trHeight w:val="223"/>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Robert</w:t>
            </w:r>
          </w:p>
        </w:tc>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Graham</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Chairman of the Board</w:t>
            </w: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3"/>
              </w:rPr>
              <w:t>Scott C. James</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5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23"/>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Andrew</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Nace</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w:t>
            </w: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Steven</w:t>
            </w:r>
          </w:p>
        </w:tc>
        <w:tc>
          <w:tcPr>
            <w:tcW w:w="920" w:type="dxa"/>
            <w:vAlign w:val="bottom"/>
          </w:tcPr>
          <w:p>
            <w:pPr>
              <w:ind w:left="300"/>
              <w:spacing w:after="0"/>
              <w:rPr>
                <w:sz w:val="20"/>
                <w:szCs w:val="20"/>
                <w:color w:val="auto"/>
              </w:rPr>
            </w:pPr>
            <w:r>
              <w:rPr>
                <w:rFonts w:ascii="Arial" w:cs="Arial" w:eastAsia="Arial" w:hAnsi="Arial"/>
                <w:sz w:val="18"/>
                <w:szCs w:val="18"/>
                <w:color w:val="auto"/>
              </w:rPr>
              <w:t>S.</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Eaton</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560" w:type="dxa"/>
            <w:vAlign w:val="bottom"/>
          </w:tcPr>
          <w:p>
            <w:pPr>
              <w:ind w:left="100"/>
              <w:spacing w:after="0"/>
              <w:rPr>
                <w:sz w:val="20"/>
                <w:szCs w:val="20"/>
                <w:color w:val="auto"/>
              </w:rPr>
            </w:pPr>
            <w:r>
              <w:rPr>
                <w:rFonts w:ascii="Arial" w:cs="Arial" w:eastAsia="Arial" w:hAnsi="Arial"/>
                <w:sz w:val="18"/>
                <w:szCs w:val="18"/>
                <w:color w:val="auto"/>
              </w:rPr>
              <w:t>Vice President, Internal Control over Financial Reporting</w:t>
            </w: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Jane</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Grimm</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Bryan</w:t>
            </w:r>
          </w:p>
        </w:tc>
        <w:tc>
          <w:tcPr>
            <w:tcW w:w="920" w:type="dxa"/>
            <w:vAlign w:val="bottom"/>
          </w:tcPr>
          <w:p>
            <w:pPr>
              <w:ind w:left="220"/>
              <w:spacing w:after="0"/>
              <w:rPr>
                <w:sz w:val="20"/>
                <w:szCs w:val="20"/>
                <w:color w:val="auto"/>
              </w:rPr>
            </w:pPr>
            <w:r>
              <w:rPr>
                <w:rFonts w:ascii="Arial" w:cs="Arial" w:eastAsia="Arial" w:hAnsi="Arial"/>
                <w:sz w:val="18"/>
                <w:szCs w:val="18"/>
                <w:color w:val="auto"/>
              </w:rPr>
              <w:t>A.</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Hanley</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7560" w:type="dxa"/>
            <w:vAlign w:val="bottom"/>
          </w:tcPr>
          <w:p>
            <w:pPr>
              <w:ind w:left="100"/>
              <w:spacing w:after="0"/>
              <w:rPr>
                <w:sz w:val="20"/>
                <w:szCs w:val="20"/>
                <w:color w:val="auto"/>
              </w:rPr>
            </w:pPr>
            <w:r>
              <w:rPr>
                <w:rFonts w:ascii="Arial" w:cs="Arial" w:eastAsia="Arial" w:hAnsi="Arial"/>
                <w:sz w:val="18"/>
                <w:szCs w:val="18"/>
                <w:color w:val="auto"/>
              </w:rPr>
              <w:t>Vice President and Treasurer</w:t>
            </w:r>
          </w:p>
        </w:tc>
      </w:tr>
      <w:tr>
        <w:trPr>
          <w:trHeight w:val="211"/>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Amy E. Ruf</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and Controller</w:t>
            </w:r>
          </w:p>
        </w:tc>
      </w:tr>
      <w:tr>
        <w:trPr>
          <w:trHeight w:val="210"/>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Amy Allbach Samford</w:t>
            </w:r>
          </w:p>
        </w:tc>
        <w:tc>
          <w:tcPr>
            <w:tcW w:w="10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7560" w:type="dxa"/>
            <w:vAlign w:val="bottom"/>
          </w:tcPr>
          <w:p>
            <w:pPr>
              <w:ind w:left="100"/>
              <w:spacing w:after="0"/>
              <w:rPr>
                <w:sz w:val="20"/>
                <w:szCs w:val="20"/>
                <w:color w:val="auto"/>
              </w:rPr>
            </w:pPr>
            <w:r>
              <w:rPr>
                <w:rFonts w:ascii="Arial" w:cs="Arial" w:eastAsia="Arial" w:hAnsi="Arial"/>
                <w:sz w:val="18"/>
                <w:szCs w:val="18"/>
                <w:color w:val="auto"/>
              </w:rPr>
              <w:t>Vice President and Chief Financial Officer</w:t>
            </w:r>
          </w:p>
        </w:tc>
      </w:tr>
      <w:tr>
        <w:trPr>
          <w:trHeight w:val="210"/>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Darci B. Scott</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Tax</w:t>
            </w:r>
          </w:p>
        </w:tc>
      </w:tr>
    </w:tbl>
    <w:p>
      <w:pPr>
        <w:spacing w:after="0" w:line="209" w:lineRule="exact"/>
        <w:rPr>
          <w:sz w:val="20"/>
          <w:szCs w:val="20"/>
          <w:color w:val="auto"/>
        </w:rPr>
      </w:pPr>
    </w:p>
    <w:p>
      <w:pPr>
        <w:ind w:right="60" w:firstLine="630"/>
        <w:spacing w:after="0" w:line="261" w:lineRule="auto"/>
        <w:rPr>
          <w:sz w:val="20"/>
          <w:szCs w:val="20"/>
          <w:color w:val="auto"/>
        </w:rPr>
      </w:pPr>
      <w:r>
        <w:rPr>
          <w:rFonts w:ascii="Arial" w:cs="Arial" w:eastAsia="Arial" w:hAnsi="Arial"/>
          <w:sz w:val="20"/>
          <w:szCs w:val="20"/>
          <w:b w:val="1"/>
          <w:bCs w:val="1"/>
          <w:color w:val="auto"/>
        </w:rPr>
        <w:t xml:space="preserve">Andrew B. Nace </w:t>
      </w:r>
      <w:r>
        <w:rPr>
          <w:rFonts w:ascii="Arial" w:cs="Arial" w:eastAsia="Arial" w:hAnsi="Arial"/>
          <w:sz w:val="20"/>
          <w:szCs w:val="20"/>
          <w:color w:val="auto"/>
        </w:rPr>
        <w:t>has served as our executive vice president since 2017, and previously served as our vice president from</w:t>
      </w:r>
      <w:r>
        <w:rPr>
          <w:rFonts w:ascii="Arial" w:cs="Arial" w:eastAsia="Arial" w:hAnsi="Arial"/>
          <w:sz w:val="20"/>
          <w:szCs w:val="20"/>
          <w:b w:val="1"/>
          <w:bCs w:val="1"/>
          <w:color w:val="auto"/>
        </w:rPr>
        <w:t xml:space="preserve"> </w:t>
      </w:r>
      <w:r>
        <w:rPr>
          <w:rFonts w:ascii="Arial" w:cs="Arial" w:eastAsia="Arial" w:hAnsi="Arial"/>
          <w:sz w:val="20"/>
          <w:szCs w:val="20"/>
          <w:color w:val="auto"/>
        </w:rPr>
        <w:t>2013 to 2017. He currently serves as executive vice president of Kronos Worldwide and NL, as executive vice president and general counsel of Valhi, and as executive vice president, general counsel and secretary of Contran. Mr. Nace has served in legal positions (including officer positions) with various companies related to us and Contran since 2003.</w:t>
      </w:r>
    </w:p>
    <w:p>
      <w:pPr>
        <w:spacing w:after="0" w:line="181" w:lineRule="exact"/>
        <w:rPr>
          <w:sz w:val="20"/>
          <w:szCs w:val="20"/>
          <w:color w:val="auto"/>
        </w:rPr>
      </w:pPr>
    </w:p>
    <w:p>
      <w:pPr>
        <w:jc w:val="both"/>
        <w:ind w:right="80" w:firstLine="630"/>
        <w:spacing w:after="0" w:line="269" w:lineRule="auto"/>
        <w:rPr>
          <w:sz w:val="20"/>
          <w:szCs w:val="20"/>
          <w:color w:val="auto"/>
        </w:rPr>
      </w:pPr>
      <w:r>
        <w:rPr>
          <w:rFonts w:ascii="Arial" w:cs="Arial" w:eastAsia="Arial" w:hAnsi="Arial"/>
          <w:sz w:val="20"/>
          <w:szCs w:val="20"/>
          <w:b w:val="1"/>
          <w:bCs w:val="1"/>
          <w:color w:val="auto"/>
        </w:rPr>
        <w:t xml:space="preserve">Steven S. Eaton </w:t>
      </w:r>
      <w:r>
        <w:rPr>
          <w:rFonts w:ascii="Arial" w:cs="Arial" w:eastAsia="Arial" w:hAnsi="Arial"/>
          <w:sz w:val="20"/>
          <w:szCs w:val="20"/>
          <w:color w:val="auto"/>
        </w:rPr>
        <w:t>has served as our vice president, internal control over financial reporting since 2015. He currently serves as</w:t>
      </w:r>
      <w:r>
        <w:rPr>
          <w:rFonts w:ascii="Arial" w:cs="Arial" w:eastAsia="Arial" w:hAnsi="Arial"/>
          <w:sz w:val="20"/>
          <w:szCs w:val="20"/>
          <w:b w:val="1"/>
          <w:bCs w:val="1"/>
          <w:color w:val="auto"/>
        </w:rPr>
        <w:t xml:space="preserve"> </w:t>
      </w:r>
      <w:r>
        <w:rPr>
          <w:rFonts w:ascii="Arial" w:cs="Arial" w:eastAsia="Arial" w:hAnsi="Arial"/>
          <w:sz w:val="20"/>
          <w:szCs w:val="20"/>
          <w:color w:val="auto"/>
        </w:rPr>
        <w:t>vice president, internal control over financial reporting for Kronos Worldwide, NL and Valhi. Mr. Eaton has served in internal audit positions (including officer positions) with various companies related to us and Contran since 2006.</w:t>
      </w:r>
    </w:p>
    <w:p>
      <w:pPr>
        <w:spacing w:after="0" w:line="146" w:lineRule="exact"/>
        <w:rPr>
          <w:sz w:val="20"/>
          <w:szCs w:val="20"/>
          <w:color w:val="auto"/>
        </w:rPr>
      </w:pPr>
    </w:p>
    <w:p>
      <w:pPr>
        <w:ind w:right="300" w:firstLine="630"/>
        <w:spacing w:after="0" w:line="250" w:lineRule="auto"/>
        <w:rPr>
          <w:sz w:val="20"/>
          <w:szCs w:val="20"/>
          <w:color w:val="auto"/>
        </w:rPr>
      </w:pPr>
      <w:r>
        <w:rPr>
          <w:rFonts w:ascii="Arial" w:cs="Arial" w:eastAsia="Arial" w:hAnsi="Arial"/>
          <w:sz w:val="21"/>
          <w:szCs w:val="21"/>
          <w:b w:val="1"/>
          <w:bCs w:val="1"/>
          <w:color w:val="auto"/>
        </w:rPr>
        <w:t xml:space="preserve">Jane R. Grimm </w:t>
      </w:r>
      <w:r>
        <w:rPr>
          <w:rFonts w:ascii="Arial" w:cs="Arial" w:eastAsia="Arial" w:hAnsi="Arial"/>
          <w:sz w:val="21"/>
          <w:szCs w:val="21"/>
          <w:color w:val="auto"/>
        </w:rPr>
        <w:t>has served as our vice president and secretary since 2017. She currently serves as vice president and</w:t>
      </w:r>
      <w:r>
        <w:rPr>
          <w:rFonts w:ascii="Arial" w:cs="Arial" w:eastAsia="Arial" w:hAnsi="Arial"/>
          <w:sz w:val="21"/>
          <w:szCs w:val="21"/>
          <w:b w:val="1"/>
          <w:bCs w:val="1"/>
          <w:color w:val="auto"/>
        </w:rPr>
        <w:t xml:space="preserve"> </w:t>
      </w:r>
      <w:r>
        <w:rPr>
          <w:rFonts w:ascii="Arial" w:cs="Arial" w:eastAsia="Arial" w:hAnsi="Arial"/>
          <w:sz w:val="21"/>
          <w:szCs w:val="21"/>
          <w:color w:val="auto"/>
        </w:rPr>
        <w:t>secretary of Valhi. Ms. Grimm has served in legal positions (including officer positions) with various companies related to us and Contran since 2010.</w:t>
      </w:r>
    </w:p>
    <w:p>
      <w:pPr>
        <w:spacing w:after="0" w:line="164" w:lineRule="exact"/>
        <w:rPr>
          <w:sz w:val="20"/>
          <w:szCs w:val="20"/>
          <w:color w:val="auto"/>
        </w:rPr>
      </w:pPr>
    </w:p>
    <w:p>
      <w:pPr>
        <w:ind w:right="280" w:firstLine="630"/>
        <w:spacing w:after="0" w:line="245" w:lineRule="auto"/>
        <w:rPr>
          <w:sz w:val="20"/>
          <w:szCs w:val="20"/>
          <w:color w:val="auto"/>
        </w:rPr>
      </w:pPr>
      <w:r>
        <w:rPr>
          <w:rFonts w:ascii="Arial" w:cs="Arial" w:eastAsia="Arial" w:hAnsi="Arial"/>
          <w:sz w:val="21"/>
          <w:szCs w:val="21"/>
          <w:b w:val="1"/>
          <w:bCs w:val="1"/>
          <w:color w:val="auto"/>
        </w:rPr>
        <w:t xml:space="preserve">Bryan A. Hanley </w:t>
      </w:r>
      <w:r>
        <w:rPr>
          <w:rFonts w:ascii="Arial" w:cs="Arial" w:eastAsia="Arial" w:hAnsi="Arial"/>
          <w:sz w:val="21"/>
          <w:szCs w:val="21"/>
          <w:color w:val="auto"/>
        </w:rPr>
        <w:t>has served as our vice president and treasurer since 2017. He currently serves as vice president and</w:t>
      </w:r>
      <w:r>
        <w:rPr>
          <w:rFonts w:ascii="Arial" w:cs="Arial" w:eastAsia="Arial" w:hAnsi="Arial"/>
          <w:sz w:val="21"/>
          <w:szCs w:val="21"/>
          <w:b w:val="1"/>
          <w:bCs w:val="1"/>
          <w:color w:val="auto"/>
        </w:rPr>
        <w:t xml:space="preserve"> </w:t>
      </w:r>
      <w:r>
        <w:rPr>
          <w:rFonts w:ascii="Arial" w:cs="Arial" w:eastAsia="Arial" w:hAnsi="Arial"/>
          <w:sz w:val="21"/>
          <w:szCs w:val="21"/>
          <w:color w:val="auto"/>
        </w:rPr>
        <w:t>treasurer of Contran, Valhi, Kronos Worldwide and NL. From 2013 to 2017, Mr. Hanley served as assistant treasurer and director, investor relations of Pier 1 Imports, Inc., a retailer specializing in home furnishings and decor, and also served as its assistant treasurer from 2010 to 2013.</w:t>
      </w:r>
    </w:p>
    <w:p>
      <w:pPr>
        <w:spacing w:after="0" w:line="169" w:lineRule="exact"/>
        <w:rPr>
          <w:sz w:val="20"/>
          <w:szCs w:val="20"/>
          <w:color w:val="auto"/>
        </w:rPr>
      </w:pPr>
    </w:p>
    <w:p>
      <w:pPr>
        <w:jc w:val="both"/>
        <w:ind w:firstLine="630"/>
        <w:spacing w:after="0" w:line="266" w:lineRule="auto"/>
        <w:rPr>
          <w:sz w:val="20"/>
          <w:szCs w:val="20"/>
          <w:color w:val="auto"/>
        </w:rPr>
      </w:pPr>
      <w:r>
        <w:rPr>
          <w:rFonts w:ascii="Arial" w:cs="Arial" w:eastAsia="Arial" w:hAnsi="Arial"/>
          <w:sz w:val="21"/>
          <w:szCs w:val="21"/>
          <w:b w:val="1"/>
          <w:bCs w:val="1"/>
          <w:color w:val="auto"/>
        </w:rPr>
        <w:t xml:space="preserve">Amy E. Ruf </w:t>
      </w:r>
      <w:r>
        <w:rPr>
          <w:rFonts w:ascii="Arial" w:cs="Arial" w:eastAsia="Arial" w:hAnsi="Arial"/>
          <w:sz w:val="21"/>
          <w:szCs w:val="21"/>
          <w:color w:val="auto"/>
        </w:rPr>
        <w:t>has served as our vice president and controller since 2019. She has served in various accounting and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positions in various companies related to us and Contran since 2004.</w:t>
      </w:r>
    </w:p>
    <w:p>
      <w:pPr>
        <w:spacing w:after="0" w:line="174" w:lineRule="exact"/>
        <w:rPr>
          <w:sz w:val="20"/>
          <w:szCs w:val="20"/>
          <w:color w:val="auto"/>
        </w:rPr>
      </w:pPr>
    </w:p>
    <w:p>
      <w:pPr>
        <w:jc w:val="both"/>
        <w:ind w:firstLine="630"/>
        <w:spacing w:after="0" w:line="289" w:lineRule="auto"/>
        <w:rPr>
          <w:sz w:val="20"/>
          <w:szCs w:val="20"/>
          <w:color w:val="auto"/>
        </w:rPr>
      </w:pPr>
      <w:r>
        <w:rPr>
          <w:rFonts w:ascii="Arial" w:cs="Arial" w:eastAsia="Arial" w:hAnsi="Arial"/>
          <w:sz w:val="19"/>
          <w:szCs w:val="19"/>
          <w:b w:val="1"/>
          <w:bCs w:val="1"/>
          <w:color w:val="auto"/>
        </w:rPr>
        <w:t xml:space="preserve">Amy Allbach Samford </w:t>
      </w:r>
      <w:r>
        <w:rPr>
          <w:rFonts w:ascii="Arial" w:cs="Arial" w:eastAsia="Arial" w:hAnsi="Arial"/>
          <w:sz w:val="19"/>
          <w:szCs w:val="19"/>
          <w:color w:val="auto"/>
        </w:rPr>
        <w:t>has served as our vice president and chief financial officer since 2019. She currently serves as vice</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and chief financial officer of NL, and as vice president and controller of Valhi and Contran. Ms. Samford has served in various accounting and financial positions (including officer positions) in various companies related to us and Contran since 2006.</w:t>
      </w:r>
    </w:p>
    <w:p>
      <w:pPr>
        <w:spacing w:after="0" w:line="156" w:lineRule="exact"/>
        <w:rPr>
          <w:sz w:val="20"/>
          <w:szCs w:val="20"/>
          <w:color w:val="auto"/>
        </w:rPr>
      </w:pPr>
    </w:p>
    <w:p>
      <w:pPr>
        <w:ind w:right="80" w:firstLine="630"/>
        <w:spacing w:after="0" w:line="250" w:lineRule="auto"/>
        <w:rPr>
          <w:sz w:val="20"/>
          <w:szCs w:val="20"/>
          <w:color w:val="auto"/>
        </w:rPr>
      </w:pPr>
      <w:r>
        <w:rPr>
          <w:rFonts w:ascii="Arial" w:cs="Arial" w:eastAsia="Arial" w:hAnsi="Arial"/>
          <w:sz w:val="21"/>
          <w:szCs w:val="21"/>
          <w:b w:val="1"/>
          <w:bCs w:val="1"/>
          <w:color w:val="auto"/>
        </w:rPr>
        <w:t xml:space="preserve">Darci B. Scott </w:t>
      </w:r>
      <w:r>
        <w:rPr>
          <w:rFonts w:ascii="Arial" w:cs="Arial" w:eastAsia="Arial" w:hAnsi="Arial"/>
          <w:sz w:val="21"/>
          <w:szCs w:val="21"/>
          <w:color w:val="auto"/>
        </w:rPr>
        <w:t>has served as our vice president, tax since June 2020. She currently serves as vice president, tax –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reporting of Valhi and as vice president, tax of NL. Ms. Scott has served in various tax accounting positions with various companies related to us and Contran since 2006.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1"/>
          <w:szCs w:val="21"/>
          <w:b w:val="1"/>
          <w:bCs w:val="1"/>
          <w:color w:val="auto"/>
        </w:rPr>
        <w:t>CORPORATE GOVERNANCE</w:t>
      </w:r>
    </w:p>
    <w:p>
      <w:pPr>
        <w:spacing w:after="0" w:line="211" w:lineRule="exact"/>
        <w:rPr>
          <w:sz w:val="20"/>
          <w:szCs w:val="20"/>
          <w:color w:val="auto"/>
        </w:rPr>
      </w:pPr>
    </w:p>
    <w:p>
      <w:pPr>
        <w:ind w:right="20" w:firstLine="630"/>
        <w:spacing w:after="0" w:line="264" w:lineRule="auto"/>
        <w:rPr>
          <w:sz w:val="20"/>
          <w:szCs w:val="20"/>
          <w:color w:val="auto"/>
        </w:rPr>
      </w:pPr>
      <w:r>
        <w:rPr>
          <w:rFonts w:ascii="Arial" w:cs="Arial" w:eastAsia="Arial" w:hAnsi="Arial"/>
          <w:sz w:val="19"/>
          <w:szCs w:val="19"/>
          <w:b w:val="1"/>
          <w:bCs w:val="1"/>
          <w:i w:val="1"/>
          <w:iCs w:val="1"/>
          <w:color w:val="auto"/>
        </w:rPr>
        <w:t>Controlled Company Status, Director Independence and Committees</w:t>
      </w:r>
      <w:r>
        <w:rPr>
          <w:rFonts w:ascii="Arial" w:cs="Arial" w:eastAsia="Arial" w:hAnsi="Arial"/>
          <w:sz w:val="19"/>
          <w:szCs w:val="19"/>
          <w:color w:val="auto"/>
        </w:rPr>
        <w:t>. Because of NL’s ownership of 86.7%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outstanding shares of our class A common stock, 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committee.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Terri L. Herrington, Ann Manix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158" w:lineRule="exact"/>
        <w:rPr>
          <w:sz w:val="20"/>
          <w:szCs w:val="20"/>
          <w:color w:val="auto"/>
        </w:rPr>
      </w:pPr>
    </w:p>
    <w:p>
      <w:pPr>
        <w:ind w:right="240" w:firstLine="630"/>
        <w:spacing w:after="0" w:line="272" w:lineRule="auto"/>
        <w:rPr>
          <w:sz w:val="20"/>
          <w:szCs w:val="20"/>
          <w:color w:val="auto"/>
        </w:rPr>
      </w:pPr>
      <w:r>
        <w:rPr>
          <w:rFonts w:ascii="Arial" w:cs="Arial" w:eastAsia="Arial" w:hAnsi="Arial"/>
          <w:sz w:val="19"/>
          <w:szCs w:val="19"/>
          <w:b w:val="1"/>
          <w:bCs w:val="1"/>
          <w:i w:val="1"/>
          <w:iCs w:val="1"/>
          <w:color w:val="auto"/>
        </w:rPr>
        <w:t>2020 Meetings and Standing Committees of the Board of Directors</w:t>
      </w:r>
      <w:r>
        <w:rPr>
          <w:rFonts w:ascii="Arial" w:cs="Arial" w:eastAsia="Arial" w:hAnsi="Arial"/>
          <w:sz w:val="19"/>
          <w:szCs w:val="19"/>
          <w:color w:val="auto"/>
        </w:rPr>
        <w:t>. The board of directors held four meetings and took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action by written consent on two occasions in 2020. Each of our incumbent directors attended all of the board meetings and meetings of the committees on which he or she served that were held while he or she was in office during 2020. It is expected that each director nominee will attend our annual meeting of stockholders, which is held immediately before the annual meeting of the board of directors. All of our directors who were elected at our 2020 annual stockholder meeting attended such meeting.</w:t>
      </w:r>
    </w:p>
    <w:p>
      <w:pPr>
        <w:spacing w:after="0" w:line="154" w:lineRule="exact"/>
        <w:rPr>
          <w:sz w:val="20"/>
          <w:szCs w:val="20"/>
          <w:color w:val="auto"/>
        </w:rPr>
      </w:pPr>
    </w:p>
    <w:p>
      <w:pPr>
        <w:jc w:val="both"/>
        <w:ind w:right="40" w:firstLine="630"/>
        <w:spacing w:after="0" w:line="243" w:lineRule="auto"/>
        <w:rPr>
          <w:sz w:val="20"/>
          <w:szCs w:val="20"/>
          <w:color w:val="auto"/>
        </w:rPr>
      </w:pPr>
      <w:r>
        <w:rPr>
          <w:rFonts w:ascii="Arial" w:cs="Arial" w:eastAsia="Arial" w:hAnsi="Arial"/>
          <w:sz w:val="21"/>
          <w:szCs w:val="21"/>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77" w:lineRule="exact"/>
        <w:rPr>
          <w:sz w:val="20"/>
          <w:szCs w:val="20"/>
          <w:color w:val="auto"/>
        </w:rPr>
      </w:pPr>
    </w:p>
    <w:p>
      <w:pPr>
        <w:ind w:right="100" w:firstLine="630"/>
        <w:spacing w:after="0" w:line="241" w:lineRule="auto"/>
        <w:rPr>
          <w:sz w:val="20"/>
          <w:szCs w:val="20"/>
          <w:color w:val="auto"/>
        </w:rPr>
      </w:pPr>
      <w:r>
        <w:rPr>
          <w:rFonts w:ascii="Arial" w:cs="Arial" w:eastAsia="Arial" w:hAnsi="Arial"/>
          <w:sz w:val="21"/>
          <w:szCs w:val="21"/>
          <w:b w:val="1"/>
          <w:bCs w:val="1"/>
          <w:i w:val="1"/>
          <w:iCs w:val="1"/>
          <w:color w:val="auto"/>
        </w:rPr>
        <w:t>Audit Committee</w:t>
      </w:r>
      <w:r>
        <w:rPr>
          <w:rFonts w:ascii="Arial" w:cs="Arial" w:eastAsia="Arial" w:hAnsi="Arial"/>
          <w:sz w:val="21"/>
          <w:szCs w:val="21"/>
          <w:color w:val="auto"/>
        </w:rPr>
        <w:t>. Our audit committee assists with the board of directors’ oversight responsibilities relating to our financial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accounting and reporting processes and auditing processes.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88" w:lineRule="exact"/>
        <w:rPr>
          <w:sz w:val="20"/>
          <w:szCs w:val="20"/>
          <w:color w:val="auto"/>
        </w:rPr>
      </w:pPr>
    </w:p>
    <w:p>
      <w:pPr>
        <w:ind w:left="1260" w:right="340" w:hanging="625"/>
        <w:spacing w:after="0" w:line="260"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member of our audit committee is independent, financially literate and has no material relationship with us other than serving as our director; and</w:t>
      </w:r>
    </w:p>
    <w:p>
      <w:pPr>
        <w:spacing w:after="0" w:line="391" w:lineRule="exact"/>
        <w:rPr>
          <w:rFonts w:ascii="Arial" w:cs="Arial" w:eastAsia="Arial" w:hAnsi="Arial"/>
          <w:sz w:val="18"/>
          <w:szCs w:val="18"/>
          <w:color w:val="auto"/>
        </w:rPr>
      </w:pPr>
    </w:p>
    <w:p>
      <w:pPr>
        <w:ind w:left="1260" w:hanging="625"/>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Ms. Terri L. Herrington is an “audit committee financial expert.”</w:t>
      </w:r>
    </w:p>
    <w:p>
      <w:pPr>
        <w:spacing w:after="0" w:line="200" w:lineRule="exact"/>
        <w:rPr>
          <w:sz w:val="20"/>
          <w:szCs w:val="20"/>
          <w:color w:val="auto"/>
        </w:rPr>
      </w:pPr>
    </w:p>
    <w:p>
      <w:pPr>
        <w:spacing w:after="0" w:line="214" w:lineRule="exact"/>
        <w:rPr>
          <w:sz w:val="20"/>
          <w:szCs w:val="20"/>
          <w:color w:val="auto"/>
        </w:rPr>
      </w:pPr>
    </w:p>
    <w:p>
      <w:pPr>
        <w:ind w:right="140" w:firstLine="630"/>
        <w:spacing w:after="0" w:line="243" w:lineRule="auto"/>
        <w:rPr>
          <w:sz w:val="20"/>
          <w:szCs w:val="20"/>
          <w:color w:val="auto"/>
        </w:rPr>
      </w:pPr>
      <w:r>
        <w:rPr>
          <w:rFonts w:ascii="Arial" w:cs="Arial" w:eastAsia="Arial" w:hAnsi="Arial"/>
          <w:sz w:val="21"/>
          <w:szCs w:val="21"/>
          <w:color w:val="auto"/>
        </w:rPr>
        <w:t>No member of our audit committee serves on more than three public company audit committees. For further information on the role of our audit committee, see the Audit Committee Report in this proxy statement. The current members of our audit committee are Thomas E. Barry (chairman), Terri L. Herrington, Ann Manix and Mary A. Tidlund. Our audit committee held five meetings in 2020.</w:t>
      </w:r>
    </w:p>
    <w:p>
      <w:pPr>
        <w:spacing w:after="0" w:line="177" w:lineRule="exact"/>
        <w:rPr>
          <w:sz w:val="20"/>
          <w:szCs w:val="20"/>
          <w:color w:val="auto"/>
        </w:rPr>
      </w:pPr>
    </w:p>
    <w:p>
      <w:pPr>
        <w:ind w:right="160" w:firstLine="630"/>
        <w:spacing w:after="0" w:line="260" w:lineRule="auto"/>
        <w:rPr>
          <w:sz w:val="20"/>
          <w:szCs w:val="20"/>
          <w:color w:val="auto"/>
        </w:rPr>
      </w:pPr>
      <w:r>
        <w:rPr>
          <w:rFonts w:ascii="Arial" w:cs="Arial" w:eastAsia="Arial" w:hAnsi="Arial"/>
          <w:sz w:val="21"/>
          <w:szCs w:val="21"/>
          <w:b w:val="1"/>
          <w:bCs w:val="1"/>
          <w:i w:val="1"/>
          <w:iCs w:val="1"/>
          <w:color w:val="auto"/>
        </w:rPr>
        <w:t>Management Development and Compensation Committee</w:t>
      </w:r>
      <w:r>
        <w:rPr>
          <w:rFonts w:ascii="Arial" w:cs="Arial" w:eastAsia="Arial" w:hAnsi="Arial"/>
          <w:sz w:val="21"/>
          <w:szCs w:val="21"/>
          <w:color w:val="auto"/>
        </w:rPr>
        <w:t>. The principal responsibilities of our management development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compensation committee are:</w:t>
      </w:r>
    </w:p>
    <w:p>
      <w:pPr>
        <w:spacing w:after="0" w:line="168" w:lineRule="exact"/>
        <w:rPr>
          <w:sz w:val="20"/>
          <w:szCs w:val="20"/>
          <w:color w:val="auto"/>
        </w:rPr>
      </w:pPr>
    </w:p>
    <w:p>
      <w:pPr>
        <w:ind w:left="1260" w:right="20" w:hanging="625"/>
        <w:spacing w:after="0" w:line="260"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recommend to the board of directors whether or not to approve any proposed charge to us or any of our privately held subsidiaries pursuant to our ISA with Contran;</w:t>
      </w:r>
    </w:p>
    <w:p>
      <w:pPr>
        <w:spacing w:after="0" w:line="391" w:lineRule="exact"/>
        <w:rPr>
          <w:rFonts w:ascii="Arial" w:cs="Arial" w:eastAsia="Arial" w:hAnsi="Arial"/>
          <w:sz w:val="18"/>
          <w:szCs w:val="18"/>
          <w:color w:val="auto"/>
        </w:rPr>
      </w:pPr>
    </w:p>
    <w:p>
      <w:pPr>
        <w:ind w:left="1260" w:hanging="625"/>
        <w:spacing w:after="0" w:line="260"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review, approve and administer certain matters regarding our employee benefit plans or programs, including annual incentive compensation awards;</w:t>
      </w:r>
    </w:p>
    <w:p>
      <w:pPr>
        <w:spacing w:after="0" w:line="391" w:lineRule="exact"/>
        <w:rPr>
          <w:rFonts w:ascii="Arial" w:cs="Arial" w:eastAsia="Arial" w:hAnsi="Arial"/>
          <w:sz w:val="18"/>
          <w:szCs w:val="18"/>
          <w:color w:val="auto"/>
        </w:rPr>
      </w:pPr>
    </w:p>
    <w:p>
      <w:pPr>
        <w:ind w:left="1260" w:hanging="625"/>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review, approve, administer and grant awards under our equity compensation plan; and</w:t>
      </w:r>
    </w:p>
    <w:p>
      <w:pPr>
        <w:sectPr>
          <w:pgSz w:w="11900" w:h="16838" w:orient="portrait"/>
          <w:cols w:equalWidth="0" w:num="1">
            <w:col w:w="11220"/>
          </w:cols>
          <w:pgMar w:left="320" w:top="348"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361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type w:val="continuous"/>
        </w:sectPr>
      </w:pPr>
    </w:p>
    <w:bookmarkStart w:id="17" w:name="page18"/>
    <w:bookmarkEnd w:id="17"/>
    <w:p>
      <w:pPr>
        <w:ind w:left="1260" w:hanging="62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review and administer such other compensation matters as the board of directors may direct from time to time.</w:t>
      </w:r>
    </w:p>
    <w:p>
      <w:pPr>
        <w:spacing w:after="0" w:line="200" w:lineRule="exact"/>
        <w:rPr>
          <w:sz w:val="20"/>
          <w:szCs w:val="20"/>
          <w:color w:val="auto"/>
        </w:rPr>
      </w:pPr>
    </w:p>
    <w:p>
      <w:pPr>
        <w:spacing w:after="0" w:line="214" w:lineRule="exact"/>
        <w:rPr>
          <w:sz w:val="20"/>
          <w:szCs w:val="20"/>
          <w:color w:val="auto"/>
        </w:rPr>
      </w:pPr>
    </w:p>
    <w:p>
      <w:pPr>
        <w:ind w:right="20" w:firstLine="630"/>
        <w:spacing w:after="0" w:line="250" w:lineRule="auto"/>
        <w:rPr>
          <w:sz w:val="20"/>
          <w:szCs w:val="20"/>
          <w:color w:val="auto"/>
        </w:rPr>
      </w:pPr>
      <w:r>
        <w:rPr>
          <w:rFonts w:ascii="Arial" w:cs="Arial" w:eastAsia="Arial" w:hAnsi="Arial"/>
          <w:sz w:val="20"/>
          <w:szCs w:val="20"/>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 and Thomas E. Barry. Our management development and compensation committee held one meeting in 2020.</w:t>
      </w:r>
    </w:p>
    <w:p>
      <w:pPr>
        <w:spacing w:after="0" w:line="178" w:lineRule="exact"/>
        <w:rPr>
          <w:sz w:val="20"/>
          <w:szCs w:val="20"/>
          <w:color w:val="auto"/>
        </w:rPr>
      </w:pPr>
    </w:p>
    <w:p>
      <w:pPr>
        <w:ind w:right="40" w:firstLine="630"/>
        <w:spacing w:after="0" w:line="264" w:lineRule="auto"/>
        <w:rPr>
          <w:sz w:val="20"/>
          <w:szCs w:val="20"/>
          <w:color w:val="auto"/>
        </w:rPr>
      </w:pPr>
      <w:r>
        <w:rPr>
          <w:rFonts w:ascii="Arial" w:cs="Arial" w:eastAsia="Arial" w:hAnsi="Arial"/>
          <w:sz w:val="19"/>
          <w:szCs w:val="19"/>
          <w:b w:val="1"/>
          <w:bCs w:val="1"/>
          <w:i w:val="1"/>
          <w:iCs w:val="1"/>
          <w:color w:val="auto"/>
        </w:rPr>
        <w:t>Risk Oversight</w:t>
      </w:r>
      <w:r>
        <w:rPr>
          <w:rFonts w:ascii="Arial" w:cs="Arial" w:eastAsia="Arial" w:hAnsi="Arial"/>
          <w:sz w:val="19"/>
          <w:szCs w:val="19"/>
          <w:color w:val="auto"/>
        </w:rPr>
        <w:t>. Our board of directors oversees the actions we take in managing our material risks. Our management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responsible for our day-to-day management 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 Our audit committee annually receives management’s reports and assessments on, among other things, the risk of fraud, certain material business risks and a ranking of such material business risks and our insurance program. The audit committee also receives reports from our independent registered public accounting firm regarding, among other things, financial risks and the risk of fraud. 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 The audit committee and management development and compensation committee report to the board of directors about their meetings. We believe the leadership structure of the board of directors is appropriate for our risk oversight.</w:t>
      </w:r>
    </w:p>
    <w:p>
      <w:pPr>
        <w:spacing w:after="0" w:line="162" w:lineRule="exact"/>
        <w:rPr>
          <w:sz w:val="20"/>
          <w:szCs w:val="20"/>
          <w:color w:val="auto"/>
        </w:rPr>
      </w:pPr>
    </w:p>
    <w:p>
      <w:pPr>
        <w:ind w:right="240" w:firstLine="630"/>
        <w:spacing w:after="0" w:line="260" w:lineRule="auto"/>
        <w:rPr>
          <w:sz w:val="20"/>
          <w:szCs w:val="20"/>
          <w:color w:val="auto"/>
        </w:rPr>
      </w:pPr>
      <w:r>
        <w:rPr>
          <w:rFonts w:ascii="Arial" w:cs="Arial" w:eastAsia="Arial" w:hAnsi="Arial"/>
          <w:sz w:val="21"/>
          <w:szCs w:val="21"/>
          <w:b w:val="1"/>
          <w:bCs w:val="1"/>
          <w:i w:val="1"/>
          <w:iCs w:val="1"/>
          <w:color w:val="auto"/>
        </w:rPr>
        <w:t>Identifying and Evaluating Director Nominees</w:t>
      </w:r>
      <w:r>
        <w:rPr>
          <w:rFonts w:ascii="Arial" w:cs="Arial" w:eastAsia="Arial" w:hAnsi="Arial"/>
          <w:sz w:val="21"/>
          <w:szCs w:val="21"/>
          <w:color w:val="auto"/>
        </w:rPr>
        <w:t>. Historically, our management has recommended director nominees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board of directors. As stated in our corporate governance guidelines:</w:t>
      </w:r>
    </w:p>
    <w:p>
      <w:pPr>
        <w:spacing w:after="0" w:line="168" w:lineRule="exact"/>
        <w:rPr>
          <w:sz w:val="20"/>
          <w:szCs w:val="20"/>
          <w:color w:val="auto"/>
        </w:rPr>
      </w:pPr>
    </w:p>
    <w:p>
      <w:pPr>
        <w:ind w:left="1260" w:hanging="625"/>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has no specific minimum qualifications for director nominees;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right="160" w:hanging="625"/>
        <w:spacing w:after="0" w:line="260"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391" w:lineRule="exact"/>
        <w:rPr>
          <w:rFonts w:ascii="Arial" w:cs="Arial" w:eastAsia="Arial" w:hAnsi="Arial"/>
          <w:sz w:val="18"/>
          <w:szCs w:val="18"/>
          <w:color w:val="auto"/>
        </w:rPr>
      </w:pPr>
    </w:p>
    <w:p>
      <w:pPr>
        <w:ind w:left="1260" w:right="520" w:hanging="625"/>
        <w:spacing w:after="0" w:line="260"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383"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67" w:lineRule="exact"/>
        <w:rPr>
          <w:sz w:val="20"/>
          <w:szCs w:val="20"/>
          <w:color w:val="auto"/>
        </w:rPr>
      </w:pPr>
    </w:p>
    <w:p>
      <w:pPr>
        <w:ind w:firstLine="630"/>
        <w:spacing w:after="0" w:line="264" w:lineRule="auto"/>
        <w:rPr>
          <w:sz w:val="20"/>
          <w:szCs w:val="20"/>
          <w:color w:val="auto"/>
        </w:rPr>
      </w:pPr>
      <w:r>
        <w:rPr>
          <w:rFonts w:ascii="Arial" w:cs="Arial" w:eastAsia="Arial" w:hAnsi="Arial"/>
          <w:sz w:val="19"/>
          <w:szCs w:val="19"/>
          <w:b w:val="1"/>
          <w:bCs w:val="1"/>
          <w:i w:val="1"/>
          <w:iCs w:val="1"/>
          <w:color w:val="auto"/>
        </w:rPr>
        <w:t>Leadership Structure of the Board of Directors and Independent Director Meetings</w:t>
      </w:r>
      <w:r>
        <w:rPr>
          <w:rFonts w:ascii="Arial" w:cs="Arial" w:eastAsia="Arial" w:hAnsi="Arial"/>
          <w:sz w:val="19"/>
          <w:szCs w:val="19"/>
          <w:color w:val="auto"/>
        </w:rPr>
        <w:t>. Loretta J. Feehan serves as our chair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board (non-executive). Our chief executive officer, Scott C. James, does not currently serve on our board but is a director nominee named in this proxy statement for election at our 2021 annual stockholder meeting. The board of directors believes our current leadership structure is appropriate for a controlled company under the 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ectPr>
          <w:pgSz w:w="11900" w:h="16838" w:orient="portrait"/>
          <w:cols w:equalWidth="0" w:num="1">
            <w:col w:w="11220"/>
          </w:cols>
          <w:pgMar w:left="320" w:top="363" w:right="359" w:bottom="1440" w:gutter="0" w:footer="0" w:header="0"/>
        </w:sectPr>
      </w:pP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36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type w:val="continuous"/>
        </w:sectPr>
      </w:pPr>
    </w:p>
    <w:bookmarkStart w:id="18" w:name="page19"/>
    <w:bookmarkEnd w:id="18"/>
    <w:p>
      <w:pPr>
        <w:ind w:right="120" w:firstLine="630"/>
        <w:spacing w:after="0" w:line="270" w:lineRule="auto"/>
        <w:rPr>
          <w:sz w:val="20"/>
          <w:szCs w:val="20"/>
          <w:color w:val="auto"/>
        </w:rPr>
      </w:pPr>
      <w:r>
        <w:rPr>
          <w:rFonts w:ascii="Arial" w:cs="Arial" w:eastAsia="Arial" w:hAnsi="Arial"/>
          <w:sz w:val="19"/>
          <w:szCs w:val="19"/>
          <w:color w:val="auto"/>
        </w:rPr>
        <w:t>Pursuant to our corporate governance guidelines, our independent directors are entitled to meet on a regular basis throughout the year, and will meet at least once annually, without the participation of our other directors who are not independent. While we do not have a lead independent director, the chairman of our audit committee presides at all of the meetings of our independent directors. Our non-management directors (who are not executive officers of CompX) also meet at regularly scheduled meetings without management participation, with the chairman of our audit committee also presiding at such meetings. In 2020, we complied with the NYSE American requirements for meetings of our non-management and independent directors.</w:t>
      </w:r>
    </w:p>
    <w:p>
      <w:pPr>
        <w:spacing w:after="0" w:line="154" w:lineRule="exact"/>
        <w:rPr>
          <w:sz w:val="20"/>
          <w:szCs w:val="20"/>
          <w:color w:val="auto"/>
        </w:rPr>
      </w:pPr>
    </w:p>
    <w:p>
      <w:pPr>
        <w:ind w:right="60" w:firstLine="630"/>
        <w:spacing w:after="0" w:line="270" w:lineRule="auto"/>
        <w:rPr>
          <w:sz w:val="20"/>
          <w:szCs w:val="20"/>
          <w:color w:val="auto"/>
        </w:rPr>
      </w:pPr>
      <w:r>
        <w:rPr>
          <w:rFonts w:ascii="Arial" w:cs="Arial" w:eastAsia="Arial" w:hAnsi="Arial"/>
          <w:sz w:val="19"/>
          <w:szCs w:val="19"/>
          <w:b w:val="1"/>
          <w:bCs w:val="1"/>
          <w:i w:val="1"/>
          <w:iCs w:val="1"/>
          <w:color w:val="auto"/>
        </w:rPr>
        <w:t>Stockholder Proposals and Director Nominations for the 2022 Annual Meeting of Stockholders</w:t>
      </w:r>
      <w:r>
        <w:rPr>
          <w:rFonts w:ascii="Arial" w:cs="Arial" w:eastAsia="Arial" w:hAnsi="Arial"/>
          <w:sz w:val="19"/>
          <w:szCs w:val="19"/>
          <w:color w:val="auto"/>
        </w:rPr>
        <w:t>. Stockholders may submit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proposals on matters appropriate for stockholder action at our annual stockholder meetings, consistent with rules adopted by the SEC. We must receive such proposals not later than December 14, 2021 to be considered for inclusion in the proxy statement and form of proxy card relating to our annual meeting of stockholders in 2022. Our bylaws require that the proposal must set forth a brief description of the proposal, the name and address of the proposing stockholder as they appear in our records, the number of shares of our common stock the stockholder holds and any material interest the stockholder has in the proposal.</w:t>
      </w:r>
    </w:p>
    <w:p>
      <w:pPr>
        <w:spacing w:after="0" w:line="153" w:lineRule="exact"/>
        <w:rPr>
          <w:sz w:val="20"/>
          <w:szCs w:val="20"/>
          <w:color w:val="auto"/>
        </w:rPr>
      </w:pPr>
    </w:p>
    <w:p>
      <w:pPr>
        <w:ind w:right="40" w:firstLine="630"/>
        <w:spacing w:after="0" w:line="253" w:lineRule="auto"/>
        <w:rPr>
          <w:sz w:val="20"/>
          <w:szCs w:val="20"/>
          <w:color w:val="auto"/>
        </w:rPr>
      </w:pPr>
      <w:r>
        <w:rPr>
          <w:rFonts w:ascii="Arial" w:cs="Arial" w:eastAsia="Arial" w:hAnsi="Arial"/>
          <w:sz w:val="20"/>
          <w:szCs w:val="20"/>
          <w:color w:val="auto"/>
        </w:rPr>
        <w:t>The board of directors will consider the director nominee recommendations of our stockholders in accordance with the process discussed above. Our bylaws require that a nomination set forth the name and address of the nominating stockholder, a representation that the stockholder will be a stockholder of record entitled to vote at the annual stockholder meeting and intends to appear in person or by proxy at the meeting to nominate the nominee, a description of all arrangements or understandings between the stockholder and the nominee (or other persons pursuant to which the nomination is to be made), such other information regarding the nominee as would be required to be included in a proxy statement filed pursuant to the proxy rules of the SEC and the consent of the nominee to serve as a director if elected.</w:t>
      </w:r>
    </w:p>
    <w:p>
      <w:pPr>
        <w:spacing w:after="0" w:line="167" w:lineRule="exact"/>
        <w:rPr>
          <w:sz w:val="20"/>
          <w:szCs w:val="20"/>
          <w:color w:val="auto"/>
        </w:rPr>
      </w:pPr>
    </w:p>
    <w:p>
      <w:pPr>
        <w:ind w:right="100" w:firstLine="630"/>
        <w:spacing w:after="0" w:line="277" w:lineRule="auto"/>
        <w:rPr>
          <w:sz w:val="20"/>
          <w:szCs w:val="20"/>
          <w:color w:val="auto"/>
        </w:rPr>
      </w:pPr>
      <w:r>
        <w:rPr>
          <w:rFonts w:ascii="Arial" w:cs="Arial" w:eastAsia="Arial" w:hAnsi="Arial"/>
          <w:sz w:val="19"/>
          <w:szCs w:val="19"/>
          <w:color w:val="auto"/>
        </w:rPr>
        <w:t>For proposals or director nominations to be brought at the 2022 annual meeting of stockholders but not included in the proxy statement for such meeting, our bylaws require that the proposal or nomination must be delivered or mailed to our principal executive offices in most cases no later than March 1, 2022. Proposals and nominations should be addressed to our corporate secretary at CompX International Inc., Three Lincoln Centre, 5430 LBJ Freeway, Suite 1700, Dallas, Texas 75240-2620.</w:t>
      </w:r>
    </w:p>
    <w:p>
      <w:pPr>
        <w:spacing w:after="0" w:line="147" w:lineRule="exact"/>
        <w:rPr>
          <w:sz w:val="20"/>
          <w:szCs w:val="20"/>
          <w:color w:val="auto"/>
        </w:rPr>
      </w:pPr>
    </w:p>
    <w:p>
      <w:pPr>
        <w:ind w:firstLine="630"/>
        <w:spacing w:after="0" w:line="252" w:lineRule="auto"/>
        <w:rPr>
          <w:sz w:val="20"/>
          <w:szCs w:val="20"/>
          <w:color w:val="auto"/>
        </w:rPr>
      </w:pPr>
      <w:r>
        <w:rPr>
          <w:rFonts w:ascii="Arial" w:cs="Arial" w:eastAsia="Arial" w:hAnsi="Arial"/>
          <w:sz w:val="20"/>
          <w:szCs w:val="20"/>
          <w:b w:val="1"/>
          <w:bCs w:val="1"/>
          <w:i w:val="1"/>
          <w:iCs w:val="1"/>
          <w:color w:val="auto"/>
        </w:rPr>
        <w:t>Communications with Directors</w:t>
      </w:r>
      <w:r>
        <w:rPr>
          <w:rFonts w:ascii="Arial" w:cs="Arial" w:eastAsia="Arial" w:hAnsi="Arial"/>
          <w:sz w:val="20"/>
          <w:szCs w:val="20"/>
          <w:color w:val="auto"/>
        </w:rPr>
        <w:t>. Stockholders and other interested parties who wish to communicate with the board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directors or its non-management or independent 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75240-2620.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non-management and independent director meetings.</w:t>
      </w:r>
    </w:p>
    <w:p>
      <w:pPr>
        <w:spacing w:after="0" w:line="169" w:lineRule="exact"/>
        <w:rPr>
          <w:sz w:val="20"/>
          <w:szCs w:val="20"/>
          <w:color w:val="auto"/>
        </w:rPr>
      </w:pPr>
    </w:p>
    <w:p>
      <w:pPr>
        <w:ind w:firstLine="630"/>
        <w:spacing w:after="0" w:line="272" w:lineRule="auto"/>
        <w:rPr>
          <w:sz w:val="20"/>
          <w:szCs w:val="20"/>
          <w:color w:val="auto"/>
        </w:rPr>
      </w:pPr>
      <w:r>
        <w:rPr>
          <w:rFonts w:ascii="Arial" w:cs="Arial" w:eastAsia="Arial" w:hAnsi="Arial"/>
          <w:sz w:val="19"/>
          <w:szCs w:val="19"/>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right="140" w:firstLine="630"/>
        <w:spacing w:after="0" w:line="260" w:lineRule="auto"/>
        <w:rPr>
          <w:sz w:val="20"/>
          <w:szCs w:val="20"/>
          <w:color w:val="auto"/>
        </w:rPr>
      </w:pPr>
      <w:r>
        <w:rPr>
          <w:rFonts w:ascii="Arial" w:cs="Arial" w:eastAsia="Arial" w:hAnsi="Arial"/>
          <w:sz w:val="21"/>
          <w:szCs w:val="21"/>
          <w:b w:val="1"/>
          <w:bCs w:val="1"/>
          <w:i w:val="1"/>
          <w:iCs w:val="1"/>
          <w:color w:val="auto"/>
        </w:rPr>
        <w:t>Compensation Committee Interlocks and Insider Participation</w:t>
      </w:r>
      <w:r>
        <w:rPr>
          <w:rFonts w:ascii="Arial" w:cs="Arial" w:eastAsia="Arial" w:hAnsi="Arial"/>
          <w:sz w:val="21"/>
          <w:szCs w:val="21"/>
          <w:color w:val="auto"/>
        </w:rPr>
        <w:t>. During 2020, Ann Manix and Thomas E. Barry served 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management development and compensation committee. No member of the committee:</w:t>
      </w:r>
    </w:p>
    <w:p>
      <w:pPr>
        <w:spacing w:after="0" w:line="169" w:lineRule="exact"/>
        <w:rPr>
          <w:sz w:val="20"/>
          <w:szCs w:val="20"/>
          <w:color w:val="auto"/>
        </w:rPr>
      </w:pPr>
    </w:p>
    <w:p>
      <w:pPr>
        <w:ind w:left="1260" w:hanging="625"/>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was an officer or employee of ours during 2020 or any prior year;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hanging="625"/>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had any related party relationships with us that requires disclosure under applicable SEC rules;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hanging="625"/>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had any interlock relationships under applicable SEC rules.</w:t>
      </w:r>
    </w:p>
    <w:p>
      <w:pPr>
        <w:spacing w:after="0" w:line="200" w:lineRule="exact"/>
        <w:rPr>
          <w:sz w:val="20"/>
          <w:szCs w:val="20"/>
          <w:color w:val="auto"/>
        </w:rPr>
      </w:pPr>
    </w:p>
    <w:p>
      <w:pPr>
        <w:spacing w:after="0" w:line="214" w:lineRule="exact"/>
        <w:rPr>
          <w:sz w:val="20"/>
          <w:szCs w:val="20"/>
          <w:color w:val="auto"/>
        </w:rPr>
      </w:pPr>
    </w:p>
    <w:p>
      <w:pPr>
        <w:ind w:right="760"/>
        <w:spacing w:after="0" w:line="247" w:lineRule="auto"/>
        <w:rPr>
          <w:sz w:val="20"/>
          <w:szCs w:val="20"/>
          <w:color w:val="auto"/>
        </w:rPr>
      </w:pPr>
      <w:r>
        <w:rPr>
          <w:rFonts w:ascii="Arial" w:cs="Arial" w:eastAsia="Arial" w:hAnsi="Arial"/>
          <w:sz w:val="21"/>
          <w:szCs w:val="21"/>
          <w:color w:val="auto"/>
        </w:rPr>
        <w:t>For 2020, no executive officer of ours had any interlock relationships within the scope of the intent of applicable SEC rules. However, during 2020 Robert D. Graham was an executive officer of ours and on the board of directors of Contran when concurrently also serving as one of our directors.</w:t>
      </w:r>
    </w:p>
    <w:p>
      <w:pPr>
        <w:spacing w:after="0" w:line="173" w:lineRule="exact"/>
        <w:rPr>
          <w:sz w:val="20"/>
          <w:szCs w:val="20"/>
          <w:color w:val="auto"/>
        </w:rPr>
      </w:pPr>
    </w:p>
    <w:p>
      <w:pPr>
        <w:ind w:right="60" w:firstLine="630"/>
        <w:spacing w:after="0" w:line="241" w:lineRule="auto"/>
        <w:rPr>
          <w:sz w:val="20"/>
          <w:szCs w:val="20"/>
          <w:color w:val="auto"/>
        </w:rPr>
      </w:pPr>
      <w:r>
        <w:rPr>
          <w:rFonts w:ascii="Arial" w:cs="Arial" w:eastAsia="Arial" w:hAnsi="Arial"/>
          <w:sz w:val="21"/>
          <w:szCs w:val="21"/>
          <w:b w:val="1"/>
          <w:bCs w:val="1"/>
          <w:i w:val="1"/>
          <w:iCs w:val="1"/>
          <w:color w:val="auto"/>
        </w:rPr>
        <w:t>Code of Business Conduct and Ethics</w:t>
      </w:r>
      <w:r>
        <w:rPr>
          <w:rFonts w:ascii="Arial" w:cs="Arial" w:eastAsia="Arial" w:hAnsi="Arial"/>
          <w:sz w:val="21"/>
          <w:szCs w:val="21"/>
          <w:color w:val="auto"/>
        </w:rPr>
        <w:t>. We have adopted a code of business conduct and ethics. The code applies to all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our directors, officers and employees, 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We will disclose amendments to or waivers of the code as required by law and the applicable rules of the NYSE American.</w:t>
      </w:r>
    </w:p>
    <w:p>
      <w:pPr>
        <w:spacing w:after="0" w:line="179" w:lineRule="exact"/>
        <w:rPr>
          <w:sz w:val="20"/>
          <w:szCs w:val="20"/>
          <w:color w:val="auto"/>
        </w:rPr>
      </w:pPr>
    </w:p>
    <w:p>
      <w:pPr>
        <w:ind w:right="180" w:firstLine="630"/>
        <w:spacing w:after="0" w:line="243" w:lineRule="auto"/>
        <w:rPr>
          <w:sz w:val="20"/>
          <w:szCs w:val="20"/>
          <w:color w:val="auto"/>
        </w:rPr>
      </w:pPr>
      <w:r>
        <w:rPr>
          <w:rFonts w:ascii="Arial" w:cs="Arial" w:eastAsia="Arial" w:hAnsi="Arial"/>
          <w:sz w:val="21"/>
          <w:szCs w:val="21"/>
          <w:b w:val="1"/>
          <w:bCs w:val="1"/>
          <w:i w:val="1"/>
          <w:iCs w:val="1"/>
          <w:color w:val="auto"/>
        </w:rPr>
        <w:t>Corporate Governance Guidelines</w:t>
      </w:r>
      <w:r>
        <w:rPr>
          <w:rFonts w:ascii="Arial" w:cs="Arial" w:eastAsia="Arial" w:hAnsi="Arial"/>
          <w:sz w:val="21"/>
          <w:szCs w:val="21"/>
          <w:color w:val="auto"/>
        </w:rPr>
        <w:t>. We have adopted corporate governance guidelines to assist the board of directors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exercising its responsibilities. Among other things, the corporate governance guidelines provide for director qualifications, for independence standards and responsibilities, for approval procedures for ISAs and that our audit committee chairman preside at all meetings of the independent directors.</w:t>
      </w:r>
    </w:p>
    <w:p>
      <w:pPr>
        <w:spacing w:after="0" w:line="177" w:lineRule="exact"/>
        <w:rPr>
          <w:sz w:val="20"/>
          <w:szCs w:val="20"/>
          <w:color w:val="auto"/>
        </w:rPr>
      </w:pPr>
    </w:p>
    <w:p>
      <w:pPr>
        <w:ind w:right="40" w:firstLine="630"/>
        <w:spacing w:after="0" w:line="247" w:lineRule="auto"/>
        <w:rPr>
          <w:sz w:val="20"/>
          <w:szCs w:val="20"/>
          <w:color w:val="auto"/>
        </w:rPr>
      </w:pPr>
      <w:r>
        <w:rPr>
          <w:rFonts w:ascii="Arial" w:cs="Arial" w:eastAsia="Arial" w:hAnsi="Arial"/>
          <w:sz w:val="21"/>
          <w:szCs w:val="21"/>
          <w:b w:val="1"/>
          <w:bCs w:val="1"/>
          <w:i w:val="1"/>
          <w:iCs w:val="1"/>
          <w:color w:val="auto"/>
        </w:rPr>
        <w:t>Availability of Corporate Governance Documents</w:t>
      </w:r>
      <w:r>
        <w:rPr>
          <w:rFonts w:ascii="Arial" w:cs="Arial" w:eastAsia="Arial" w:hAnsi="Arial"/>
          <w:sz w:val="21"/>
          <w:szCs w:val="21"/>
          <w:color w:val="auto"/>
        </w:rPr>
        <w:t>. A copy of each of our audit committee charter, code of business conduct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and ethics and corporate governance guidelines is available on our website at </w:t>
      </w:r>
      <w:r>
        <w:rPr>
          <w:rFonts w:ascii="Arial" w:cs="Arial" w:eastAsia="Arial" w:hAnsi="Arial"/>
          <w:sz w:val="21"/>
          <w:szCs w:val="21"/>
          <w:b w:val="1"/>
          <w:bCs w:val="1"/>
          <w:i w:val="1"/>
          <w:iCs w:val="1"/>
          <w:color w:val="auto"/>
        </w:rPr>
        <w:t>www.compxinternational.com</w:t>
      </w:r>
      <w:r>
        <w:rPr>
          <w:rFonts w:ascii="Arial" w:cs="Arial" w:eastAsia="Arial" w:hAnsi="Arial"/>
          <w:sz w:val="21"/>
          <w:szCs w:val="21"/>
          <w:color w:val="auto"/>
        </w:rPr>
        <w:t xml:space="preserve"> under the governance section.</w:t>
      </w:r>
    </w:p>
    <w:p>
      <w:pPr>
        <w:spacing w:after="0" w:line="200" w:lineRule="exact"/>
        <w:rPr>
          <w:sz w:val="20"/>
          <w:szCs w:val="20"/>
          <w:color w:val="auto"/>
        </w:rPr>
      </w:pPr>
    </w:p>
    <w:p>
      <w:pPr>
        <w:ind w:firstLine="630"/>
        <w:spacing w:after="0" w:line="243" w:lineRule="auto"/>
        <w:rPr>
          <w:sz w:val="20"/>
          <w:szCs w:val="20"/>
          <w:color w:val="auto"/>
        </w:rPr>
      </w:pPr>
      <w:r>
        <w:rPr>
          <w:rFonts w:ascii="Arial" w:cs="Arial" w:eastAsia="Arial" w:hAnsi="Arial"/>
          <w:sz w:val="21"/>
          <w:szCs w:val="21"/>
          <w:b w:val="1"/>
          <w:bCs w:val="1"/>
          <w:i w:val="1"/>
          <w:iCs w:val="1"/>
          <w:color w:val="auto"/>
        </w:rPr>
        <w:t>Employee, Officer and Director Hedging</w:t>
      </w:r>
      <w:r>
        <w:rPr>
          <w:rFonts w:ascii="Arial" w:cs="Arial" w:eastAsia="Arial" w:hAnsi="Arial"/>
          <w:sz w:val="21"/>
          <w:szCs w:val="21"/>
          <w:color w:val="auto"/>
        </w:rPr>
        <w:t>. We have not adopted any policies or practices regarding hedging of our equity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securities by our employees (including officers) or directors. However, our employees (including officers) and directors must comply with our insider trading policy, which applies to hedging transactions involving our securities as it does to transactions in our securities generally.</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0" w:name="page21"/>
    <w:bookmarkEnd w:id="20"/>
    <w:p>
      <w:pPr>
        <w:jc w:val="center"/>
        <w:spacing w:after="0"/>
        <w:rPr>
          <w:sz w:val="20"/>
          <w:szCs w:val="20"/>
          <w:color w:val="auto"/>
        </w:rPr>
      </w:pPr>
      <w:r>
        <w:rPr>
          <w:rFonts w:ascii="Arial" w:cs="Arial" w:eastAsia="Arial" w:hAnsi="Arial"/>
          <w:sz w:val="21"/>
          <w:szCs w:val="21"/>
          <w:b w:val="1"/>
          <w:bCs w:val="1"/>
          <w:color w:val="auto"/>
        </w:rPr>
        <w:t>COMPENSATION OF EXECUTIVE OFFICERS AND DIRECTORS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 OTHER INFORMATION</w:t>
      </w:r>
    </w:p>
    <w:p>
      <w:pPr>
        <w:spacing w:after="0" w:line="187" w:lineRule="exact"/>
        <w:rPr>
          <w:sz w:val="20"/>
          <w:szCs w:val="20"/>
          <w:color w:val="auto"/>
        </w:rPr>
      </w:pPr>
    </w:p>
    <w:p>
      <w:pPr>
        <w:ind w:firstLine="630"/>
        <w:spacing w:after="0" w:line="243" w:lineRule="auto"/>
        <w:rPr>
          <w:sz w:val="20"/>
          <w:szCs w:val="20"/>
          <w:color w:val="auto"/>
        </w:rPr>
      </w:pPr>
      <w:r>
        <w:rPr>
          <w:rFonts w:ascii="Arial" w:cs="Arial" w:eastAsia="Arial" w:hAnsi="Arial"/>
          <w:sz w:val="21"/>
          <w:szCs w:val="21"/>
          <w:b w:val="1"/>
          <w:bCs w:val="1"/>
          <w:i w:val="1"/>
          <w:iCs w:val="1"/>
          <w:color w:val="auto"/>
        </w:rPr>
        <w:t>Compensation Discussion and Analysis</w:t>
      </w:r>
      <w:r>
        <w:rPr>
          <w:rFonts w:ascii="Arial" w:cs="Arial" w:eastAsia="Arial" w:hAnsi="Arial"/>
          <w:sz w:val="21"/>
          <w:szCs w:val="21"/>
          <w:color w:val="auto"/>
        </w:rPr>
        <w:t>. This compensation discussion and analysis describes the key principles and factors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underlying our executive compensation policies for our named executive officers. In 2020, we employed one of our named executive officers. Contran employed and directly compensated our five other named executive officers who provided their services to us in 2020 under our ISA with Contran.</w:t>
      </w:r>
    </w:p>
    <w:p>
      <w:pPr>
        <w:spacing w:after="0" w:line="177" w:lineRule="exact"/>
        <w:rPr>
          <w:sz w:val="20"/>
          <w:szCs w:val="20"/>
          <w:color w:val="auto"/>
        </w:rPr>
      </w:pPr>
    </w:p>
    <w:p>
      <w:pPr>
        <w:jc w:val="both"/>
        <w:ind w:right="20" w:firstLine="630"/>
        <w:spacing w:after="0" w:line="247" w:lineRule="auto"/>
        <w:rPr>
          <w:sz w:val="20"/>
          <w:szCs w:val="20"/>
          <w:color w:val="auto"/>
        </w:rPr>
      </w:pPr>
      <w:r>
        <w:rPr>
          <w:rFonts w:ascii="Arial" w:cs="Arial" w:eastAsia="Arial" w:hAnsi="Arial"/>
          <w:sz w:val="21"/>
          <w:szCs w:val="21"/>
          <w:color w:val="auto"/>
        </w:rPr>
        <w:t>As defined in the Glossary of Terms at the beginning of this proxy statement, the phrase “named executive officers” refers to the five persons whose compensation is summarized in the 2020 Summary Compensation Table in this proxy statement. Such phrase is not intended to refer, and does not refer, to all of our executive officers.</w:t>
      </w:r>
    </w:p>
    <w:p>
      <w:pPr>
        <w:spacing w:after="0" w:line="173" w:lineRule="exact"/>
        <w:rPr>
          <w:sz w:val="20"/>
          <w:szCs w:val="20"/>
          <w:color w:val="auto"/>
        </w:rPr>
      </w:pPr>
    </w:p>
    <w:p>
      <w:pPr>
        <w:ind w:right="40" w:firstLine="630"/>
        <w:spacing w:after="0" w:line="241" w:lineRule="auto"/>
        <w:rPr>
          <w:sz w:val="20"/>
          <w:szCs w:val="20"/>
          <w:color w:val="auto"/>
        </w:rPr>
      </w:pPr>
      <w:r>
        <w:rPr>
          <w:rFonts w:ascii="Arial" w:cs="Arial" w:eastAsia="Arial" w:hAnsi="Arial"/>
          <w:sz w:val="21"/>
          <w:szCs w:val="21"/>
          <w:i w:val="1"/>
          <w:iCs w:val="1"/>
          <w:color w:val="auto"/>
        </w:rPr>
        <w:t>Nonbinding Advisory Stockholder Vote on Executive Officer Compensation</w:t>
      </w:r>
      <w:r>
        <w:rPr>
          <w:rFonts w:ascii="Arial" w:cs="Arial" w:eastAsia="Arial" w:hAnsi="Arial"/>
          <w:sz w:val="21"/>
          <w:szCs w:val="21"/>
          <w:color w:val="auto"/>
        </w:rPr>
        <w:t>. For the 2020 annual meeting of stockholders, we</w:t>
      </w:r>
      <w:r>
        <w:rPr>
          <w:rFonts w:ascii="Arial" w:cs="Arial" w:eastAsia="Arial" w:hAnsi="Arial"/>
          <w:sz w:val="21"/>
          <w:szCs w:val="21"/>
          <w:i w:val="1"/>
          <w:iCs w:val="1"/>
          <w:color w:val="auto"/>
        </w:rPr>
        <w:t xml:space="preserve"> </w:t>
      </w:r>
      <w:r>
        <w:rPr>
          <w:rFonts w:ascii="Arial" w:cs="Arial" w:eastAsia="Arial" w:hAnsi="Arial"/>
          <w:sz w:val="21"/>
          <w:szCs w:val="21"/>
          <w:color w:val="auto"/>
        </w:rPr>
        <w:t>submitted a nonbinding advisory proposal recommending the stockholders adopt a resolution approving the compensation of our named executive officers as disclosed in the 2020 proxy statement. At the annual meeting, the resolution received the affirmative vote of 93.5% of the eligible votes. We considered the favorable result and determined not to make any material changes to our compensation practices.</w:t>
      </w:r>
    </w:p>
    <w:p>
      <w:pPr>
        <w:spacing w:after="0" w:line="179" w:lineRule="exact"/>
        <w:rPr>
          <w:sz w:val="20"/>
          <w:szCs w:val="20"/>
          <w:color w:val="auto"/>
        </w:rPr>
      </w:pPr>
    </w:p>
    <w:p>
      <w:pPr>
        <w:ind w:right="240" w:firstLine="630"/>
        <w:spacing w:after="0" w:line="247" w:lineRule="auto"/>
        <w:rPr>
          <w:sz w:val="20"/>
          <w:szCs w:val="20"/>
          <w:color w:val="auto"/>
        </w:rPr>
      </w:pPr>
      <w:r>
        <w:rPr>
          <w:rFonts w:ascii="Arial" w:cs="Arial" w:eastAsia="Arial" w:hAnsi="Arial"/>
          <w:sz w:val="21"/>
          <w:szCs w:val="21"/>
          <w:i w:val="1"/>
          <w:iCs w:val="1"/>
          <w:color w:val="auto"/>
        </w:rPr>
        <w:t>Compensation of our Named Executive Officer Employed by Us</w:t>
      </w:r>
      <w:r>
        <w:rPr>
          <w:rFonts w:ascii="Arial" w:cs="Arial" w:eastAsia="Arial" w:hAnsi="Arial"/>
          <w:sz w:val="21"/>
          <w:szCs w:val="21"/>
          <w:color w:val="auto"/>
        </w:rPr>
        <w:t>. We have one named executive officer employed by us.</w:t>
      </w:r>
      <w:r>
        <w:rPr>
          <w:rFonts w:ascii="Arial" w:cs="Arial" w:eastAsia="Arial" w:hAnsi="Arial"/>
          <w:sz w:val="21"/>
          <w:szCs w:val="21"/>
          <w:i w:val="1"/>
          <w:iCs w:val="1"/>
          <w:color w:val="auto"/>
        </w:rPr>
        <w:t xml:space="preserve"> </w:t>
      </w:r>
      <w:r>
        <w:rPr>
          <w:rFonts w:ascii="Arial" w:cs="Arial" w:eastAsia="Arial" w:hAnsi="Arial"/>
          <w:sz w:val="21"/>
          <w:szCs w:val="21"/>
          <w:color w:val="auto"/>
        </w:rPr>
        <w:t>Scott C. James is our president and chief executive officer and was an executive officer and employed by us for all of the last three years.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Overview</w:t>
      </w:r>
      <w:r>
        <w:rPr>
          <w:rFonts w:ascii="Arial" w:cs="Arial" w:eastAsia="Arial" w:hAnsi="Arial"/>
          <w:sz w:val="21"/>
          <w:szCs w:val="21"/>
          <w:color w:val="auto"/>
        </w:rPr>
        <w:t>. Prior to 2018, we decided to forgo long-term compensation (other than defined contribution plans that</w:t>
      </w:r>
    </w:p>
    <w:p>
      <w:pPr>
        <w:spacing w:after="0" w:line="19" w:lineRule="exact"/>
        <w:rPr>
          <w:sz w:val="20"/>
          <w:szCs w:val="20"/>
          <w:color w:val="auto"/>
        </w:rPr>
      </w:pPr>
    </w:p>
    <w:p>
      <w:pPr>
        <w:jc w:val="both"/>
        <w:ind w:right="220"/>
        <w:spacing w:after="0" w:line="239" w:lineRule="auto"/>
        <w:rPr>
          <w:sz w:val="20"/>
          <w:szCs w:val="20"/>
          <w:color w:val="auto"/>
        </w:rPr>
      </w:pPr>
      <w:r>
        <w:rPr>
          <w:rFonts w:ascii="Arial" w:cs="Arial" w:eastAsia="Arial" w:hAnsi="Arial"/>
          <w:sz w:val="21"/>
          <w:szCs w:val="21"/>
          <w:color w:val="auto"/>
        </w:rPr>
        <w:t>are generally available on a non-discriminatory basis to all employees) and implemented a compensation program that is primarily cash-based, with minimal perquisites, if any. Our objectives for the primarily cash-based compensation program as it relates to our senior officers, including Mr. James, are to:</w:t>
      </w:r>
    </w:p>
    <w:p>
      <w:pPr>
        <w:spacing w:after="0" w:line="189" w:lineRule="exact"/>
        <w:rPr>
          <w:sz w:val="20"/>
          <w:szCs w:val="20"/>
          <w:color w:val="auto"/>
        </w:rPr>
      </w:pPr>
    </w:p>
    <w:p>
      <w:pPr>
        <w:ind w:left="1260" w:hanging="625"/>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have a total individual compensation package that is easy to understand;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hanging="625"/>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encourage them to maximize long-term stockholder value;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right="320" w:hanging="625"/>
        <w:spacing w:after="0" w:line="260"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achieve a balanced compensation package that would attract and retain highly qualified senior officers and appropriately reflect each such officer’s individual performance, contributions and general market value.</w:t>
      </w:r>
    </w:p>
    <w:p>
      <w:pPr>
        <w:spacing w:after="0" w:line="383" w:lineRule="exact"/>
        <w:rPr>
          <w:sz w:val="20"/>
          <w:szCs w:val="20"/>
          <w:color w:val="auto"/>
        </w:rPr>
      </w:pPr>
    </w:p>
    <w:p>
      <w:pPr>
        <w:jc w:val="both"/>
        <w:ind w:right="560"/>
        <w:spacing w:after="0" w:line="247" w:lineRule="auto"/>
        <w:rPr>
          <w:sz w:val="20"/>
          <w:szCs w:val="20"/>
          <w:color w:val="auto"/>
        </w:rPr>
      </w:pPr>
      <w:r>
        <w:rPr>
          <w:rFonts w:ascii="Arial" w:cs="Arial" w:eastAsia="Arial" w:hAnsi="Arial"/>
          <w:sz w:val="21"/>
          <w:szCs w:val="21"/>
          <w:color w:val="auto"/>
        </w:rPr>
        <w:t>In furtherance of our objectives and in an effort to separate annual operating planning from annual incentive compensation, we implemented discretionary incentive bonuses for our senior officers. As a result, annual compensation for Mr. James primarily consists of a base salary and a discretionary incentive bonus.</w:t>
      </w:r>
    </w:p>
    <w:p>
      <w:pPr>
        <w:spacing w:after="0" w:line="173" w:lineRule="exact"/>
        <w:rPr>
          <w:sz w:val="20"/>
          <w:szCs w:val="20"/>
          <w:color w:val="auto"/>
        </w:rPr>
      </w:pPr>
    </w:p>
    <w:p>
      <w:pPr>
        <w:ind w:right="40" w:firstLine="630"/>
        <w:spacing w:after="0" w:line="277" w:lineRule="auto"/>
        <w:rPr>
          <w:sz w:val="20"/>
          <w:szCs w:val="20"/>
          <w:color w:val="auto"/>
        </w:rPr>
      </w:pPr>
      <w:r>
        <w:rPr>
          <w:rFonts w:ascii="Arial" w:cs="Arial" w:eastAsia="Arial" w:hAnsi="Arial"/>
          <w:sz w:val="19"/>
          <w:szCs w:val="19"/>
          <w:color w:val="auto"/>
        </w:rPr>
        <w:t>We do not base Mr. James’ compensation on any specific measure of, or formula based upon, our financial performance, although we do consider our financial performance as one factor in determining his compensation. We determine the amount of each component of such compensation solely in our collective business judgment and experience, without performing any independent market research. We have not entered into any written employment agreements with Mr. James.</w:t>
      </w:r>
    </w:p>
    <w:p>
      <w:pPr>
        <w:spacing w:after="0" w:line="141" w:lineRule="exact"/>
        <w:rPr>
          <w:sz w:val="20"/>
          <w:szCs w:val="20"/>
          <w:color w:val="auto"/>
        </w:rPr>
      </w:pPr>
    </w:p>
    <w:p>
      <w:pPr>
        <w:ind w:right="40" w:firstLine="630"/>
        <w:spacing w:after="0" w:line="251" w:lineRule="auto"/>
        <w:rPr>
          <w:sz w:val="20"/>
          <w:szCs w:val="20"/>
          <w:color w:val="auto"/>
        </w:rPr>
      </w:pPr>
      <w:r>
        <w:rPr>
          <w:rFonts w:ascii="Arial" w:cs="Arial" w:eastAsia="Arial" w:hAnsi="Arial"/>
          <w:sz w:val="20"/>
          <w:szCs w:val="20"/>
          <w:b w:val="1"/>
          <w:bCs w:val="1"/>
          <w:color w:val="auto"/>
        </w:rPr>
        <w:t>Base Salary</w:t>
      </w:r>
      <w:r>
        <w:rPr>
          <w:rFonts w:ascii="Arial" w:cs="Arial" w:eastAsia="Arial" w:hAnsi="Arial"/>
          <w:sz w:val="20"/>
          <w:szCs w:val="20"/>
          <w:color w:val="auto"/>
        </w:rPr>
        <w:t>. We have established Mr. James’ annual base salary based on his responsibility and experience. We pay this</w:t>
      </w:r>
      <w:r>
        <w:rPr>
          <w:rFonts w:ascii="Arial" w:cs="Arial" w:eastAsia="Arial" w:hAnsi="Arial"/>
          <w:sz w:val="20"/>
          <w:szCs w:val="20"/>
          <w:b w:val="1"/>
          <w:bCs w:val="1"/>
          <w:color w:val="auto"/>
        </w:rPr>
        <w:t xml:space="preserve"> </w:t>
      </w:r>
      <w:r>
        <w:rPr>
          <w:rFonts w:ascii="Arial" w:cs="Arial" w:eastAsia="Arial" w:hAnsi="Arial"/>
          <w:sz w:val="20"/>
          <w:szCs w:val="20"/>
          <w:color w:val="auto"/>
        </w:rPr>
        <w:t>portion of his compensation to provide Mr. James with a reliable amount of compensation for the year, subject to his continued at-will employment and satisfactory performance for his services at the level of his responsibilities. Robert D. Graham, who is our vice chairman of the board, conducts an annual internal review of Mr. James’ salary level and makes a recommendation on the salary to our management development and compensation committee. The committee reviews the recommendation and may take such action, including modifications to the recommendation, as it deems appropriate. The recommendation of Mr. Graham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Mr. James, without performing any independent market research.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1" w:name="page22"/>
    <w:bookmarkEnd w:id="21"/>
    <w:p>
      <w:pPr>
        <w:ind w:right="120" w:firstLine="630"/>
        <w:spacing w:after="0" w:line="277" w:lineRule="auto"/>
        <w:rPr>
          <w:sz w:val="20"/>
          <w:szCs w:val="20"/>
          <w:color w:val="auto"/>
        </w:rPr>
      </w:pPr>
      <w:r>
        <w:rPr>
          <w:rFonts w:ascii="Arial" w:cs="Arial" w:eastAsia="Arial" w:hAnsi="Arial"/>
          <w:sz w:val="19"/>
          <w:szCs w:val="19"/>
          <w:color w:val="auto"/>
        </w:rPr>
        <w:t>In determining increases in Mr. James’ base salary for each of the last three years, we did not use any specific measure of, or formula based upon, our financial performance, although we did consider our financial performance as one factor in determining such increases. There is no specific weighting of factors in determining the increases. Mr. James’ base salary is disclosed in his salary column in the 2020 Summary Compensation Table in this proxy statement for each of the last three years.</w:t>
      </w:r>
    </w:p>
    <w:p>
      <w:pPr>
        <w:spacing w:after="0" w:line="141" w:lineRule="exact"/>
        <w:rPr>
          <w:sz w:val="20"/>
          <w:szCs w:val="20"/>
          <w:color w:val="auto"/>
        </w:rPr>
      </w:pPr>
    </w:p>
    <w:p>
      <w:pPr>
        <w:ind w:right="20" w:firstLine="630"/>
        <w:spacing w:after="0" w:line="254" w:lineRule="auto"/>
        <w:rPr>
          <w:sz w:val="20"/>
          <w:szCs w:val="20"/>
          <w:color w:val="auto"/>
        </w:rPr>
      </w:pPr>
      <w:r>
        <w:rPr>
          <w:rFonts w:ascii="Arial" w:cs="Arial" w:eastAsia="Arial" w:hAnsi="Arial"/>
          <w:sz w:val="20"/>
          <w:szCs w:val="20"/>
          <w:b w:val="1"/>
          <w:bCs w:val="1"/>
          <w:color w:val="auto"/>
        </w:rPr>
        <w:t>Annual Incentive Bonus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We pay a discretionary incentive bonus annually in cash to Mr. James to motivate him to achieve</w:t>
      </w:r>
      <w:r>
        <w:rPr>
          <w:rFonts w:ascii="Arial" w:cs="Arial" w:eastAsia="Arial" w:hAnsi="Arial"/>
          <w:sz w:val="20"/>
          <w:szCs w:val="20"/>
          <w:b w:val="1"/>
          <w:bCs w:val="1"/>
          <w:color w:val="auto"/>
        </w:rPr>
        <w:t xml:space="preserve"> </w:t>
      </w:r>
      <w:r>
        <w:rPr>
          <w:rFonts w:ascii="Arial" w:cs="Arial" w:eastAsia="Arial" w:hAnsi="Arial"/>
          <w:sz w:val="20"/>
          <w:szCs w:val="20"/>
          <w:color w:val="auto"/>
        </w:rPr>
        <w:t>higher levels of performance in attaining our corporate goals and reward him for such performance. We determine the amount of any such incentive bonus on a year-end discretionary evaluation of Mr. James’ responsibility, performance, attitude and potential. The amount of the incentive bonus is also influenced by the amount of his base salary and prior year incentive bonus, as well as our financial performance. We based our award of incentive bonuses for Mr. James primarily upon the recommendation of Mr. Graham and upon the determinations of our management development and compensation committee, which may take such action, including modifications to the recommendation, as it deems appropriate.</w:t>
      </w:r>
    </w:p>
    <w:p>
      <w:pPr>
        <w:spacing w:after="0" w:line="166" w:lineRule="exact"/>
        <w:rPr>
          <w:sz w:val="20"/>
          <w:szCs w:val="20"/>
          <w:color w:val="auto"/>
        </w:rPr>
      </w:pPr>
    </w:p>
    <w:p>
      <w:pPr>
        <w:ind w:right="40" w:firstLine="630"/>
        <w:spacing w:after="0" w:line="241" w:lineRule="auto"/>
        <w:rPr>
          <w:sz w:val="20"/>
          <w:szCs w:val="20"/>
          <w:color w:val="auto"/>
        </w:rPr>
      </w:pPr>
      <w:r>
        <w:rPr>
          <w:rFonts w:ascii="Arial" w:cs="Arial" w:eastAsia="Arial" w:hAnsi="Arial"/>
          <w:sz w:val="21"/>
          <w:szCs w:val="21"/>
          <w:color w:val="auto"/>
        </w:rPr>
        <w:t>In determining Mr. James’ bonus for each of the last three years, we did not use any specific overall performance measures or any specific measure of, or formula based upon, our financial performance, although we did consider our financial performance as one factor in determining such bonuses. Additionally, there is no specific weighting of factors considered in the determination of the annual incentive bonus. We approved discretionary incentive bonuses for Mr. James in the last three years as a percentage of his base salary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5"/>
              </w:rPr>
              <w:t>Discretionary Incentive Bonuses as a</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Percentage of Base Salary</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Named Executive Officer</w:t>
            </w: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(1)</w:t>
            </w:r>
          </w:p>
        </w:tc>
        <w:tc>
          <w:tcPr>
            <w:tcW w:w="3000" w:type="dxa"/>
            <w:vAlign w:val="bottom"/>
            <w:tcBorders>
              <w:bottom w:val="single" w:sz="8" w:color="auto"/>
            </w:tcBorders>
          </w:tcPr>
          <w:p>
            <w:pPr>
              <w:jc w:val="right"/>
              <w:ind w:right="1152"/>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(1)</w:t>
            </w: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Scott C. James</w:t>
            </w:r>
          </w:p>
        </w:tc>
        <w:tc>
          <w:tcPr>
            <w:tcW w:w="14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129%</w:t>
            </w:r>
          </w:p>
        </w:tc>
        <w:tc>
          <w:tcPr>
            <w:tcW w:w="300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rPr>
              <w:t>116%</w:t>
            </w:r>
          </w:p>
        </w:tc>
        <w:tc>
          <w:tcPr>
            <w:tcW w:w="1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967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40" w:right="500" w:hanging="635"/>
        <w:spacing w:after="0" w:line="260"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bonuses were approved by our management development and compensation committee in the first quarter of the following year, and such bonuses were paid in such following year for performance in the reported year.</w:t>
      </w:r>
    </w:p>
    <w:p>
      <w:pPr>
        <w:spacing w:after="0" w:line="383"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The 2020 discretionary incentive bonus for Mr. James recognized, among other things, strong operational management during the COVID-19 pandemic. The 2019 discretionary incentive bonus for Mr. James recognized, among other things, the continuation of our higher sales in 2019 in both of our segments as compared to 2018 and our continued strong operating performance. The 2018 discretionary incentive bonus for Mr. James recognized, among other things, our higher sales and operating income in 2018 in both of our segments as compared to 2017, and Mr. James’ greater level of experience as chief executive officer. These discretionary incentive bonuses are disclosed in the bonus column in the 2020 Summary Compensation Table in this proxy statement.</w:t>
      </w:r>
    </w:p>
    <w:p>
      <w:pPr>
        <w:spacing w:after="0" w:line="147" w:lineRule="exact"/>
        <w:rPr>
          <w:sz w:val="20"/>
          <w:szCs w:val="20"/>
          <w:color w:val="auto"/>
        </w:rPr>
      </w:pPr>
    </w:p>
    <w:p>
      <w:pPr>
        <w:ind w:right="140" w:firstLine="630"/>
        <w:spacing w:after="0" w:line="241" w:lineRule="auto"/>
        <w:rPr>
          <w:sz w:val="20"/>
          <w:szCs w:val="20"/>
          <w:color w:val="auto"/>
        </w:rPr>
      </w:pPr>
      <w:r>
        <w:rPr>
          <w:rFonts w:ascii="Arial" w:cs="Arial" w:eastAsia="Arial" w:hAnsi="Arial"/>
          <w:sz w:val="21"/>
          <w:szCs w:val="21"/>
          <w:b w:val="1"/>
          <w:bCs w:val="1"/>
          <w:color w:val="auto"/>
        </w:rPr>
        <w:t>Defined Contribution Plans</w:t>
      </w:r>
      <w:r>
        <w:rPr>
          <w:rFonts w:ascii="Arial" w:cs="Arial" w:eastAsia="Arial" w:hAnsi="Arial"/>
          <w:sz w:val="21"/>
          <w:szCs w:val="21"/>
          <w:color w:val="auto"/>
        </w:rPr>
        <w:t>. We pay discretionary annual contributions to the CompX Capital Accumulation Plan, a profit</w:t>
      </w:r>
      <w:r>
        <w:rPr>
          <w:rFonts w:ascii="Arial" w:cs="Arial" w:eastAsia="Arial" w:hAnsi="Arial"/>
          <w:sz w:val="21"/>
          <w:szCs w:val="21"/>
          <w:b w:val="1"/>
          <w:bCs w:val="1"/>
          <w:color w:val="auto"/>
        </w:rPr>
        <w:t xml:space="preserve"> </w:t>
      </w:r>
      <w:r>
        <w:rPr>
          <w:rFonts w:ascii="Arial" w:cs="Arial" w:eastAsia="Arial" w:hAnsi="Arial"/>
          <w:sz w:val="21"/>
          <w:szCs w:val="21"/>
          <w:color w:val="auto"/>
        </w:rPr>
        <w:t>sharing defined contribution plan, and 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88" w:lineRule="exact"/>
        <w:rPr>
          <w:sz w:val="20"/>
          <w:szCs w:val="20"/>
          <w:color w:val="auto"/>
        </w:rPr>
      </w:pPr>
    </w:p>
    <w:p>
      <w:pPr>
        <w:ind w:left="1260" w:right="180" w:hanging="625"/>
        <w:spacing w:after="0" w:line="249"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CompX Capital Accumulation Profit Sharing Plan, for each of the last three plan years, 7.25% of that year’s profit before taxes of the designated operations group (which for 2020 was our combined security products and marine components segments, and for 2019 and 2018 was our security products segment combined with our Livorsi business unit from our marine components segment), subject to certain adjustments; and</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1260" w:right="200" w:hanging="625"/>
        <w:spacing w:after="0" w:line="252"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our 401(k) plan for each of the last three plan years, a matching contribution of 100% of the participants’ contributions, up to 6% of their eligible earnings (with such matching contribution being fully discretionary in 2020, and in 2019 and 2018 being partially determined by a formula pool and partially discretionary);</w:t>
      </w:r>
    </w:p>
    <w:p>
      <w:pPr>
        <w:spacing w:after="0" w:line="392" w:lineRule="exact"/>
        <w:rPr>
          <w:rFonts w:ascii="Arial" w:cs="Arial" w:eastAsia="Arial" w:hAnsi="Arial"/>
          <w:sz w:val="18"/>
          <w:szCs w:val="18"/>
          <w:color w:val="auto"/>
        </w:rPr>
      </w:pPr>
    </w:p>
    <w:p>
      <w:pPr>
        <w:ind w:left="5560" w:hanging="88"/>
        <w:spacing w:after="0"/>
        <w:tabs>
          <w:tab w:leader="none" w:pos="55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right="620" w:firstLine="630"/>
        <w:spacing w:after="0" w:line="261" w:lineRule="auto"/>
        <w:rPr>
          <w:sz w:val="20"/>
          <w:szCs w:val="20"/>
          <w:color w:val="auto"/>
        </w:rPr>
      </w:pPr>
      <w:r>
        <w:rPr>
          <w:rFonts w:ascii="Arial" w:cs="Arial" w:eastAsia="Arial" w:hAnsi="Arial"/>
          <w:sz w:val="21"/>
          <w:szCs w:val="21"/>
          <w:color w:val="auto"/>
        </w:rPr>
        <w:t>Mr. James received such contributions for each of the last three years. These contributions are included in his all other compensation column in the 2020 Summary Compensation Table in this proxy statement.</w:t>
      </w:r>
    </w:p>
    <w:p>
      <w:pPr>
        <w:spacing w:after="0" w:line="394" w:lineRule="exact"/>
        <w:rPr>
          <w:sz w:val="20"/>
          <w:szCs w:val="20"/>
          <w:color w:val="auto"/>
        </w:rPr>
      </w:pPr>
    </w:p>
    <w:p>
      <w:pPr>
        <w:ind w:right="100" w:firstLine="630"/>
        <w:spacing w:after="0" w:line="247" w:lineRule="auto"/>
        <w:rPr>
          <w:sz w:val="20"/>
          <w:szCs w:val="20"/>
          <w:color w:val="auto"/>
        </w:rPr>
      </w:pPr>
      <w:r>
        <w:rPr>
          <w:rFonts w:ascii="Arial" w:cs="Arial" w:eastAsia="Arial" w:hAnsi="Arial"/>
          <w:sz w:val="21"/>
          <w:szCs w:val="21"/>
          <w:i w:val="1"/>
          <w:iCs w:val="1"/>
          <w:color w:val="auto"/>
        </w:rPr>
        <w:t>Compensation of our Named Executive Officers Employed by Contran</w:t>
      </w:r>
      <w:r>
        <w:rPr>
          <w:rFonts w:ascii="Arial" w:cs="Arial" w:eastAsia="Arial" w:hAnsi="Arial"/>
          <w:sz w:val="21"/>
          <w:szCs w:val="21"/>
          <w:color w:val="auto"/>
        </w:rPr>
        <w:t>. For each of the last three years, certain of our named</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officers were employed by Contran and provided their services to us pursuant to our ISA with Contran. Our named executive officers who provided services to us pursuant to our ISA with Contran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23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Name</w:t>
            </w:r>
          </w:p>
        </w:tc>
        <w:tc>
          <w:tcPr>
            <w:tcW w:w="8900" w:type="dxa"/>
            <w:vAlign w:val="bottom"/>
            <w:tcBorders>
              <w:bottom w:val="single" w:sz="8" w:color="auto"/>
            </w:tcBorders>
          </w:tcPr>
          <w:p>
            <w:pPr>
              <w:ind w:left="3980"/>
              <w:spacing w:after="0"/>
              <w:rPr>
                <w:sz w:val="20"/>
                <w:szCs w:val="20"/>
                <w:color w:val="auto"/>
              </w:rPr>
            </w:pPr>
            <w:r>
              <w:rPr>
                <w:rFonts w:ascii="Arial" w:cs="Arial" w:eastAsia="Arial" w:hAnsi="Arial"/>
                <w:sz w:val="18"/>
                <w:szCs w:val="18"/>
                <w:b w:val="1"/>
                <w:bCs w:val="1"/>
                <w:color w:val="auto"/>
              </w:rPr>
              <w:t>Positions with CompX</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Andrew B. Nace</w:t>
            </w:r>
          </w:p>
        </w:tc>
        <w:tc>
          <w:tcPr>
            <w:tcW w:w="8900" w:type="dxa"/>
            <w:vAlign w:val="bottom"/>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Amy A. Samford</w:t>
            </w:r>
          </w:p>
        </w:tc>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Vice President and Chief Financial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Amy E. Ruf</w:t>
            </w:r>
          </w:p>
        </w:tc>
        <w:tc>
          <w:tcPr>
            <w:tcW w:w="8900" w:type="dxa"/>
            <w:vAlign w:val="bottom"/>
          </w:tcPr>
          <w:p>
            <w:pPr>
              <w:ind w:left="66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color w:val="auto"/>
        </w:rPr>
        <w:t>The nature of the duties of each of our named executive officers who are employees of Contran is consistent with the duties normally associated with the officer titles and positions such officer holds with us.</w:t>
      </w:r>
    </w:p>
    <w:p>
      <w:pPr>
        <w:spacing w:after="0" w:line="153" w:lineRule="exact"/>
        <w:rPr>
          <w:sz w:val="20"/>
          <w:szCs w:val="20"/>
          <w:color w:val="auto"/>
        </w:rPr>
      </w:pPr>
    </w:p>
    <w:p>
      <w:pPr>
        <w:ind w:right="80" w:firstLine="630"/>
        <w:spacing w:after="0"/>
        <w:rPr>
          <w:sz w:val="20"/>
          <w:szCs w:val="20"/>
          <w:color w:val="auto"/>
        </w:rPr>
      </w:pPr>
      <w:r>
        <w:rPr>
          <w:rFonts w:ascii="Arial" w:cs="Arial" w:eastAsia="Arial" w:hAnsi="Arial"/>
          <w:sz w:val="21"/>
          <w:szCs w:val="21"/>
          <w:b w:val="1"/>
          <w:bCs w:val="1"/>
          <w:color w:val="auto"/>
        </w:rPr>
        <w:t>Intercorporate Services Agreement with Contran</w:t>
      </w:r>
      <w:r>
        <w:rPr>
          <w:rFonts w:ascii="Arial" w:cs="Arial" w:eastAsia="Arial" w:hAnsi="Arial"/>
          <w:sz w:val="21"/>
          <w:szCs w:val="21"/>
          <w:color w:val="auto"/>
        </w:rPr>
        <w:t>. We pay Contran a fee for services provided pursuant to our ISA with</w:t>
      </w:r>
      <w:r>
        <w:rPr>
          <w:rFonts w:ascii="Arial" w:cs="Arial" w:eastAsia="Arial" w:hAnsi="Arial"/>
          <w:sz w:val="21"/>
          <w:szCs w:val="21"/>
          <w:b w:val="1"/>
          <w:bCs w:val="1"/>
          <w:color w:val="auto"/>
        </w:rPr>
        <w:t xml:space="preserve"> </w:t>
      </w:r>
      <w:r>
        <w:rPr>
          <w:rFonts w:ascii="Arial" w:cs="Arial" w:eastAsia="Arial" w:hAnsi="Arial"/>
          <w:sz w:val="21"/>
          <w:szCs w:val="21"/>
          <w:color w:val="auto"/>
        </w:rPr>
        <w:t>Contran, which fee was approved by our 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 The nature of the duties of each of our executive officers who are employees of Contran is consistent with the duties normally associated with the officer titles and positions such officer holds with us.</w:t>
      </w:r>
    </w:p>
    <w:p>
      <w:pPr>
        <w:spacing w:after="0" w:line="180" w:lineRule="exact"/>
        <w:rPr>
          <w:sz w:val="20"/>
          <w:szCs w:val="20"/>
          <w:color w:val="auto"/>
        </w:rPr>
      </w:pPr>
    </w:p>
    <w:p>
      <w:pPr>
        <w:ind w:right="20" w:firstLine="630"/>
        <w:spacing w:after="0" w:line="264" w:lineRule="auto"/>
        <w:rPr>
          <w:sz w:val="20"/>
          <w:szCs w:val="20"/>
          <w:color w:val="auto"/>
        </w:rPr>
      </w:pPr>
      <w:r>
        <w:rPr>
          <w:rFonts w:ascii="Arial" w:cs="Arial" w:eastAsia="Arial" w:hAnsi="Arial"/>
          <w:sz w:val="19"/>
          <w:szCs w:val="19"/>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2020 under this ISA. Under the various ISAs among Contran and its subsidiaries and affiliates, we shared the cost of the employment of our executive officers employed by Contran with Contran and certain of its other publicly and privately held subsidiaries. For our named executive officers employed by Contran, the portion of the annual charge we paid for each of the last three years to Contran under this ISA attributable to each of their services, as applicable, is set forth in the 2020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58" w:lineRule="exact"/>
        <w:rPr>
          <w:sz w:val="20"/>
          <w:szCs w:val="20"/>
          <w:color w:val="auto"/>
        </w:rPr>
      </w:pPr>
    </w:p>
    <w:p>
      <w:pPr>
        <w:ind w:right="460" w:firstLine="630"/>
        <w:spacing w:after="0" w:line="308" w:lineRule="auto"/>
        <w:rPr>
          <w:sz w:val="20"/>
          <w:szCs w:val="20"/>
          <w:color w:val="auto"/>
        </w:rPr>
      </w:pPr>
      <w:r>
        <w:rPr>
          <w:rFonts w:ascii="Arial" w:cs="Arial" w:eastAsia="Arial" w:hAnsi="Arial"/>
          <w:sz w:val="18"/>
          <w:szCs w:val="18"/>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on our collective business judgment and experience without performing any independent market research.</w:t>
      </w:r>
    </w:p>
    <w:p>
      <w:pPr>
        <w:spacing w:after="0" w:line="122" w:lineRule="exact"/>
        <w:rPr>
          <w:sz w:val="20"/>
          <w:szCs w:val="20"/>
          <w:color w:val="auto"/>
        </w:rPr>
      </w:pPr>
    </w:p>
    <w:p>
      <w:pPr>
        <w:ind w:right="140" w:firstLine="630"/>
        <w:spacing w:after="0" w:line="241" w:lineRule="auto"/>
        <w:rPr>
          <w:sz w:val="20"/>
          <w:szCs w:val="20"/>
          <w:color w:val="auto"/>
        </w:rPr>
      </w:pPr>
      <w:r>
        <w:rPr>
          <w:rFonts w:ascii="Arial" w:cs="Arial" w:eastAsia="Arial" w:hAnsi="Arial"/>
          <w:sz w:val="21"/>
          <w:szCs w:val="21"/>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88" w:lineRule="exact"/>
        <w:rPr>
          <w:sz w:val="20"/>
          <w:szCs w:val="20"/>
          <w:color w:val="auto"/>
        </w:rPr>
      </w:pPr>
    </w:p>
    <w:p>
      <w:pPr>
        <w:ind w:left="1260" w:hanging="625"/>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annualized base salary of such employee at the beginning of the year;</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560" w:hanging="88"/>
        <w:spacing w:after="0"/>
        <w:tabs>
          <w:tab w:leader="none" w:pos="5560" w:val="left"/>
        </w:tabs>
        <w:numPr>
          <w:ilvl w:val="1"/>
          <w:numId w:val="60"/>
        </w:numPr>
        <w:rPr>
          <w:rFonts w:ascii="Arial" w:cs="Arial" w:eastAsia="Arial" w:hAnsi="Arial"/>
          <w:sz w:val="14"/>
          <w:szCs w:val="14"/>
          <w:color w:val="auto"/>
        </w:rPr>
      </w:pPr>
      <w:r>
        <w:rPr>
          <w:rFonts w:ascii="Arial" w:cs="Arial" w:eastAsia="Arial" w:hAnsi="Arial"/>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1260" w:hanging="625"/>
        <w:spacing w:after="0" w:line="323" w:lineRule="auto"/>
        <w:tabs>
          <w:tab w:leader="none" w:pos="1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344" w:lineRule="exact"/>
        <w:rPr>
          <w:rFonts w:ascii="Arial" w:cs="Arial" w:eastAsia="Arial" w:hAnsi="Arial"/>
          <w:sz w:val="16"/>
          <w:szCs w:val="16"/>
          <w:color w:val="auto"/>
        </w:rPr>
      </w:pPr>
    </w:p>
    <w:p>
      <w:pPr>
        <w:ind w:left="1260" w:right="40" w:hanging="625"/>
        <w:spacing w:after="0" w:line="249"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Contran’s portion of the social security and medicare taxes on such base salary and an estimated overhead factor (25% for each of 2020, 2019 and 2018)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w:t>
      </w:r>
    </w:p>
    <w:p>
      <w:pPr>
        <w:spacing w:after="0" w:line="392" w:lineRule="exact"/>
        <w:rPr>
          <w:sz w:val="20"/>
          <w:szCs w:val="20"/>
          <w:color w:val="auto"/>
        </w:rPr>
      </w:pPr>
    </w:p>
    <w:p>
      <w:pPr>
        <w:ind w:right="720"/>
        <w:spacing w:after="0" w:line="260" w:lineRule="auto"/>
        <w:rPr>
          <w:sz w:val="20"/>
          <w:szCs w:val="20"/>
          <w:color w:val="auto"/>
        </w:rPr>
      </w:pPr>
      <w:r>
        <w:rPr>
          <w:rFonts w:ascii="Arial" w:cs="Arial" w:eastAsia="Arial" w:hAnsi="Arial"/>
          <w:sz w:val="21"/>
          <w:szCs w:val="21"/>
          <w:color w:val="auto"/>
        </w:rPr>
        <w:t>Contran’s senior management subsequently made such adjustments to the details of the proposed ISA charge as they deemed necessary for accuracy, overall reasonableness and fairness to us.</w:t>
      </w:r>
    </w:p>
    <w:p>
      <w:pPr>
        <w:spacing w:after="0" w:line="159" w:lineRule="exact"/>
        <w:rPr>
          <w:sz w:val="20"/>
          <w:szCs w:val="20"/>
          <w:color w:val="auto"/>
        </w:rPr>
      </w:pPr>
    </w:p>
    <w:p>
      <w:pPr>
        <w:ind w:right="420" w:firstLine="630"/>
        <w:spacing w:after="0" w:line="286" w:lineRule="auto"/>
        <w:rPr>
          <w:sz w:val="20"/>
          <w:szCs w:val="20"/>
          <w:color w:val="auto"/>
        </w:rPr>
      </w:pPr>
      <w:r>
        <w:rPr>
          <w:rFonts w:ascii="Arial" w:cs="Arial" w:eastAsia="Arial" w:hAnsi="Arial"/>
          <w:sz w:val="19"/>
          <w:szCs w:val="19"/>
          <w:color w:val="auto"/>
        </w:rPr>
        <w:t>In the first quarter of each year,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47" w:lineRule="exact"/>
        <w:rPr>
          <w:sz w:val="20"/>
          <w:szCs w:val="20"/>
          <w:color w:val="auto"/>
        </w:rPr>
      </w:pPr>
    </w:p>
    <w:p>
      <w:pPr>
        <w:ind w:left="1260" w:hanging="625"/>
        <w:spacing w:after="0"/>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quality of the services Contran provides to us, including the quality of the services certain of our executive officers provide to us;</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1260" w:right="140" w:hanging="625"/>
        <w:spacing w:after="0" w:line="260"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comparison of the ISA charge and number of full-time equivalent employees reflected in the charge by department for the prior year and proposed for the current year;</w:t>
      </w:r>
    </w:p>
    <w:p>
      <w:pPr>
        <w:spacing w:after="0" w:line="391" w:lineRule="exact"/>
        <w:rPr>
          <w:rFonts w:ascii="Arial" w:cs="Arial" w:eastAsia="Arial" w:hAnsi="Arial"/>
          <w:sz w:val="18"/>
          <w:szCs w:val="18"/>
          <w:color w:val="auto"/>
        </w:rPr>
      </w:pPr>
    </w:p>
    <w:p>
      <w:pPr>
        <w:ind w:left="1260" w:right="60" w:hanging="625"/>
        <w:spacing w:after="0" w:line="260"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charges by department and in total and such amounts as a percentage of Contran’s similarly calculated costs for its departments and in total for those years;</w:t>
      </w:r>
    </w:p>
    <w:p>
      <w:pPr>
        <w:spacing w:after="0" w:line="391" w:lineRule="exact"/>
        <w:rPr>
          <w:rFonts w:ascii="Arial" w:cs="Arial" w:eastAsia="Arial" w:hAnsi="Arial"/>
          <w:sz w:val="18"/>
          <w:szCs w:val="18"/>
          <w:color w:val="auto"/>
        </w:rPr>
      </w:pPr>
    </w:p>
    <w:p>
      <w:pPr>
        <w:ind w:left="1260" w:hanging="625"/>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average hourly rate;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hanging="625"/>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concurrence of our chief financial officer as to the reasonableness of the proposed charge.</w:t>
      </w:r>
    </w:p>
    <w:p>
      <w:pPr>
        <w:spacing w:after="0" w:line="200" w:lineRule="exact"/>
        <w:rPr>
          <w:sz w:val="20"/>
          <w:szCs w:val="20"/>
          <w:color w:val="auto"/>
        </w:rPr>
      </w:pPr>
    </w:p>
    <w:p>
      <w:pPr>
        <w:spacing w:after="0" w:line="214" w:lineRule="exact"/>
        <w:rPr>
          <w:sz w:val="20"/>
          <w:szCs w:val="20"/>
          <w:color w:val="auto"/>
        </w:rPr>
      </w:pPr>
    </w:p>
    <w:p>
      <w:pPr>
        <w:ind w:right="120" w:firstLine="630"/>
        <w:spacing w:after="0" w:line="239" w:lineRule="auto"/>
        <w:rPr>
          <w:sz w:val="20"/>
          <w:szCs w:val="20"/>
          <w:color w:val="auto"/>
        </w:rPr>
      </w:pPr>
      <w:r>
        <w:rPr>
          <w:rFonts w:ascii="Arial" w:cs="Arial" w:eastAsia="Arial" w:hAnsi="Arial"/>
          <w:sz w:val="21"/>
          <w:szCs w:val="21"/>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as discussed above,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based on their collective business judgment and experience without performing any independent market research, that:</w:t>
      </w:r>
    </w:p>
    <w:p>
      <w:pPr>
        <w:spacing w:after="0" w:line="190" w:lineRule="exact"/>
        <w:rPr>
          <w:sz w:val="20"/>
          <w:szCs w:val="20"/>
          <w:color w:val="auto"/>
        </w:rPr>
      </w:pPr>
    </w:p>
    <w:p>
      <w:pPr>
        <w:ind w:left="1260" w:right="180" w:hanging="625"/>
        <w:spacing w:after="0" w:line="260" w:lineRule="auto"/>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 to employ the additional personnel necessary to provide the quality of the services provided by Contran would exceed the proposed aggregate fee to be charged by Contran to us under our ISA with Contran; and</w:t>
      </w:r>
    </w:p>
    <w:p>
      <w:pPr>
        <w:spacing w:after="0" w:line="391" w:lineRule="exact"/>
        <w:rPr>
          <w:rFonts w:ascii="Arial" w:cs="Arial" w:eastAsia="Arial" w:hAnsi="Arial"/>
          <w:sz w:val="18"/>
          <w:szCs w:val="18"/>
          <w:color w:val="auto"/>
        </w:rPr>
      </w:pPr>
    </w:p>
    <w:p>
      <w:pPr>
        <w:ind w:left="1260" w:hanging="625"/>
        <w:spacing w:after="0"/>
        <w:tabs>
          <w:tab w:leader="none" w:pos="12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cost for such services would be no less favorable than could otherwise be obtained from an unrelated third party for comparable services.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In reaching its recommendation, our management development and compensation committee did not review:</w:t>
      </w:r>
    </w:p>
    <w:p>
      <w:pPr>
        <w:spacing w:after="0" w:line="214" w:lineRule="exact"/>
        <w:rPr>
          <w:sz w:val="20"/>
          <w:szCs w:val="20"/>
          <w:color w:val="auto"/>
        </w:rPr>
      </w:pPr>
    </w:p>
    <w:p>
      <w:pPr>
        <w:ind w:left="1260" w:right="480" w:hanging="625"/>
        <w:spacing w:after="0" w:line="260"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ISA charge from Contran to any other publicly held parent or sister company, although such charge was separately reviewed by the management development and compensation committee of the applicable company; and</w:t>
      </w:r>
    </w:p>
    <w:p>
      <w:pPr>
        <w:spacing w:after="0" w:line="391" w:lineRule="exact"/>
        <w:rPr>
          <w:rFonts w:ascii="Arial" w:cs="Arial" w:eastAsia="Arial" w:hAnsi="Arial"/>
          <w:sz w:val="18"/>
          <w:szCs w:val="18"/>
          <w:color w:val="auto"/>
        </w:rPr>
      </w:pPr>
    </w:p>
    <w:p>
      <w:pPr>
        <w:ind w:left="1260" w:right="160" w:hanging="625"/>
        <w:spacing w:after="0" w:line="260"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policies of Contran or the amount of time our named executive officers employed by Contran are expected to devote to us because:</w:t>
      </w:r>
    </w:p>
    <w:p>
      <w:pPr>
        <w:spacing w:after="0" w:line="385" w:lineRule="exact"/>
        <w:rPr>
          <w:rFonts w:ascii="Arial" w:cs="Arial" w:eastAsia="Arial" w:hAnsi="Arial"/>
          <w:sz w:val="18"/>
          <w:szCs w:val="18"/>
          <w:color w:val="auto"/>
        </w:rPr>
      </w:pPr>
    </w:p>
    <w:p>
      <w:pPr>
        <w:ind w:left="5560" w:hanging="88"/>
        <w:spacing w:after="0"/>
        <w:tabs>
          <w:tab w:leader="none" w:pos="5560" w:val="left"/>
        </w:tabs>
        <w:numPr>
          <w:ilvl w:val="1"/>
          <w:numId w:val="64"/>
        </w:numPr>
        <w:rPr>
          <w:rFonts w:ascii="Arial" w:cs="Arial" w:eastAsia="Arial" w:hAnsi="Arial"/>
          <w:sz w:val="14"/>
          <w:szCs w:val="14"/>
          <w:color w:val="auto"/>
        </w:rPr>
      </w:pPr>
      <w:r>
        <w:rPr>
          <w:rFonts w:ascii="Arial" w:cs="Arial" w:eastAsia="Arial" w:hAnsi="Arial"/>
          <w:sz w:val="14"/>
          <w:szCs w:val="14"/>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24" w:name="page25"/>
    <w:bookmarkEnd w:id="24"/>
    <w:p>
      <w:pPr>
        <w:ind w:left="1900" w:right="480" w:hanging="635"/>
        <w:spacing w:after="0" w:line="323" w:lineRule="auto"/>
        <w:tabs>
          <w:tab w:leader="none" w:pos="1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of our named executive officers employed by Contran provides services to many companies related to Contran, including Contran itself, and the percentage of time devoted to each company by such named executive officers varies;</w:t>
      </w:r>
    </w:p>
    <w:p>
      <w:pPr>
        <w:spacing w:after="0" w:line="344" w:lineRule="exact"/>
        <w:rPr>
          <w:rFonts w:ascii="Arial" w:cs="Arial" w:eastAsia="Arial" w:hAnsi="Arial"/>
          <w:sz w:val="16"/>
          <w:szCs w:val="16"/>
          <w:color w:val="auto"/>
        </w:rPr>
      </w:pPr>
    </w:p>
    <w:p>
      <w:pPr>
        <w:ind w:left="1900" w:right="160" w:hanging="635"/>
        <w:spacing w:after="0" w:line="260" w:lineRule="auto"/>
        <w:tabs>
          <w:tab w:leader="none" w:pos="1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fee we pay to Contran under our ISA with Contran each year does not represent all of Contran’s cost of employing each of such named executive officers;</w:t>
      </w:r>
    </w:p>
    <w:p>
      <w:pPr>
        <w:spacing w:after="0" w:line="391" w:lineRule="exact"/>
        <w:rPr>
          <w:rFonts w:ascii="Arial" w:cs="Arial" w:eastAsia="Arial" w:hAnsi="Arial"/>
          <w:sz w:val="18"/>
          <w:szCs w:val="18"/>
          <w:color w:val="auto"/>
        </w:rPr>
      </w:pPr>
    </w:p>
    <w:p>
      <w:pPr>
        <w:ind w:left="1900" w:right="360" w:hanging="635"/>
        <w:spacing w:after="0" w:line="260" w:lineRule="auto"/>
        <w:tabs>
          <w:tab w:leader="none" w:pos="1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Contran and these other companies related to Contran absorb the remaining amount of Contran’s cost of employing each of such named executive officers; and</w:t>
      </w:r>
    </w:p>
    <w:p>
      <w:pPr>
        <w:spacing w:after="0" w:line="391" w:lineRule="exact"/>
        <w:rPr>
          <w:rFonts w:ascii="Arial" w:cs="Arial" w:eastAsia="Arial" w:hAnsi="Arial"/>
          <w:sz w:val="18"/>
          <w:szCs w:val="18"/>
          <w:color w:val="auto"/>
        </w:rPr>
      </w:pPr>
    </w:p>
    <w:p>
      <w:pPr>
        <w:ind w:left="1900" w:right="340" w:hanging="635"/>
        <w:spacing w:after="0" w:line="252" w:lineRule="auto"/>
        <w:tabs>
          <w:tab w:leader="none" w:pos="1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members of our management development and compensation committee consider the factors discussed above, applying their collective business judgment and experience, in determining whether to recommend that the proposed ISA fee for each year be approved by the full board of directors.</w:t>
      </w:r>
    </w:p>
    <w:p>
      <w:pPr>
        <w:spacing w:after="0" w:line="389" w:lineRule="exact"/>
        <w:rPr>
          <w:sz w:val="20"/>
          <w:szCs w:val="20"/>
          <w:color w:val="auto"/>
        </w:rPr>
      </w:pPr>
    </w:p>
    <w:p>
      <w:pPr>
        <w:jc w:val="both"/>
        <w:ind w:right="240" w:firstLine="630"/>
        <w:spacing w:after="0" w:line="247" w:lineRule="auto"/>
        <w:rPr>
          <w:sz w:val="20"/>
          <w:szCs w:val="20"/>
          <w:color w:val="auto"/>
        </w:rPr>
      </w:pPr>
      <w:r>
        <w:rPr>
          <w:rFonts w:ascii="Arial" w:cs="Arial" w:eastAsia="Arial" w:hAnsi="Arial"/>
          <w:sz w:val="21"/>
          <w:szCs w:val="21"/>
          <w:color w:val="auto"/>
        </w:rPr>
        <w:t>Based on the recommendation of our management development and compensation committee as well as the concurrence of our chief financial officer, our independent directors approved the proposed annual ISA charge effective January 1, 2020, with our other directors abstaining.</w:t>
      </w:r>
    </w:p>
    <w:p>
      <w:pPr>
        <w:spacing w:after="0" w:line="173" w:lineRule="exact"/>
        <w:rPr>
          <w:sz w:val="20"/>
          <w:szCs w:val="20"/>
          <w:color w:val="auto"/>
        </w:rPr>
      </w:pPr>
    </w:p>
    <w:p>
      <w:pPr>
        <w:ind w:right="60" w:firstLine="630"/>
        <w:spacing w:after="0" w:line="251" w:lineRule="auto"/>
        <w:rPr>
          <w:sz w:val="20"/>
          <w:szCs w:val="20"/>
          <w:color w:val="auto"/>
        </w:rPr>
      </w:pPr>
      <w:r>
        <w:rPr>
          <w:rFonts w:ascii="Arial" w:cs="Arial" w:eastAsia="Arial" w:hAnsi="Arial"/>
          <w:sz w:val="20"/>
          <w:szCs w:val="20"/>
          <w:color w:val="auto"/>
        </w:rPr>
        <w:t>For financial reporting and income tax purposes, the ISA fee is expensed as incurred on a quarterly basis. Section 162(m) of the Code generally disallows an income tax deduction to publicly held companies for compensation over $1.0 million paid to the company’s chief executive officer, chief financial officer and three other most highly compensated executive officers. To the extent any individual’s charge to a publicly held company under the ISA was in excess of $1.0 million, the deductibility by the company of the charge for income tax purposes would be limited under Section 162(m), if such section were to be deemed applicable as it relates to the ISA. In 2018, 2019 and 2020 the ISA did not include, and in 2021 the ISA will not include, charges in excess of $1.0 million for any individual. In the event the fee we would pay to Contran under our ISA with Contran were ever to include the services for any individual with an ISA charge in excess of $1.0 million, Contran has agreed to absorb the impact of any such income tax deduction disallowance.</w:t>
      </w:r>
    </w:p>
    <w:p>
      <w:pPr>
        <w:spacing w:after="0" w:line="172" w:lineRule="exact"/>
        <w:rPr>
          <w:sz w:val="20"/>
          <w:szCs w:val="20"/>
          <w:color w:val="auto"/>
        </w:rPr>
      </w:pPr>
    </w:p>
    <w:p>
      <w:pPr>
        <w:ind w:right="80" w:firstLine="630"/>
        <w:spacing w:after="0" w:line="243" w:lineRule="auto"/>
        <w:rPr>
          <w:sz w:val="20"/>
          <w:szCs w:val="20"/>
          <w:color w:val="auto"/>
        </w:rPr>
      </w:pPr>
      <w:r>
        <w:rPr>
          <w:rFonts w:ascii="Arial" w:cs="Arial" w:eastAsia="Arial" w:hAnsi="Arial"/>
          <w:sz w:val="21"/>
          <w:szCs w:val="21"/>
          <w:i w:val="1"/>
          <w:iCs w:val="1"/>
          <w:color w:val="auto"/>
        </w:rPr>
        <w:t xml:space="preserve">No Director Fees or Equity-Based Compensation for Executive Officers. </w:t>
      </w:r>
      <w:r>
        <w:rPr>
          <w:rFonts w:ascii="Arial" w:cs="Arial" w:eastAsia="Arial" w:hAnsi="Arial"/>
          <w:sz w:val="21"/>
          <w:szCs w:val="21"/>
          <w:color w:val="auto"/>
        </w:rPr>
        <w:t>Our executive officers, including our named</w:t>
      </w:r>
      <w:r>
        <w:rPr>
          <w:rFonts w:ascii="Arial" w:cs="Arial" w:eastAsia="Arial" w:hAnsi="Arial"/>
          <w:sz w:val="21"/>
          <w:szCs w:val="21"/>
          <w:i w:val="1"/>
          <w:iCs w:val="1"/>
          <w:color w:val="auto"/>
        </w:rPr>
        <w:t xml:space="preserve"> </w:t>
      </w:r>
      <w:r>
        <w:rPr>
          <w:rFonts w:ascii="Arial" w:cs="Arial" w:eastAsia="Arial" w:hAnsi="Arial"/>
          <w:sz w:val="21"/>
          <w:szCs w:val="21"/>
          <w:color w:val="auto"/>
        </w:rPr>
        <w:t>executive officers, are not eligible to receive cash or equity-based compensation for their service on our board of directors. For the years reflected in the 2020 Summary Compensation Table, we did not pay any compensation to Mr. Graham for his service as one of our directors.</w:t>
      </w:r>
    </w:p>
    <w:p>
      <w:pPr>
        <w:spacing w:after="0" w:line="177" w:lineRule="exact"/>
        <w:rPr>
          <w:sz w:val="20"/>
          <w:szCs w:val="20"/>
          <w:color w:val="auto"/>
        </w:rPr>
      </w:pPr>
    </w:p>
    <w:p>
      <w:pPr>
        <w:ind w:right="40" w:firstLine="630"/>
        <w:spacing w:after="0" w:line="241" w:lineRule="auto"/>
        <w:rPr>
          <w:sz w:val="20"/>
          <w:szCs w:val="20"/>
          <w:color w:val="auto"/>
        </w:rPr>
      </w:pPr>
      <w:r>
        <w:rPr>
          <w:rFonts w:ascii="Arial" w:cs="Arial" w:eastAsia="Arial" w:hAnsi="Arial"/>
          <w:sz w:val="21"/>
          <w:szCs w:val="21"/>
          <w:color w:val="auto"/>
        </w:rPr>
        <w:t>Prior to 2018, we decided to forgo the grant of any equity compensation other than annual awards of stock to our directors, as discussed above. We also do not have any security ownership requirements or guidelines for our management, although we do have stock ownership guidelines for our non-employee directors. We do not currently anticipate any equity-based compensation will be granted in 2021, other than the annual grants of stock to our directors who are not employees of Contran or one of its subsidiaries or affiliates.</w:t>
      </w:r>
    </w:p>
    <w:p>
      <w:pPr>
        <w:spacing w:after="0" w:line="179" w:lineRule="exact"/>
        <w:rPr>
          <w:sz w:val="20"/>
          <w:szCs w:val="20"/>
          <w:color w:val="auto"/>
        </w:rPr>
      </w:pPr>
    </w:p>
    <w:p>
      <w:pPr>
        <w:ind w:firstLine="630"/>
        <w:spacing w:after="0" w:line="243" w:lineRule="auto"/>
        <w:rPr>
          <w:sz w:val="20"/>
          <w:szCs w:val="20"/>
          <w:color w:val="auto"/>
        </w:rPr>
      </w:pPr>
      <w:r>
        <w:rPr>
          <w:rFonts w:ascii="Arial" w:cs="Arial" w:eastAsia="Arial" w:hAnsi="Arial"/>
          <w:sz w:val="21"/>
          <w:szCs w:val="21"/>
          <w:b w:val="1"/>
          <w:bCs w:val="1"/>
          <w:i w:val="1"/>
          <w:iCs w:val="1"/>
          <w:color w:val="auto"/>
        </w:rPr>
        <w:t>Compensation Committee Report</w:t>
      </w:r>
      <w:r>
        <w:rPr>
          <w:rFonts w:ascii="Arial" w:cs="Arial" w:eastAsia="Arial" w:hAnsi="Arial"/>
          <w:sz w:val="21"/>
          <w:szCs w:val="21"/>
          <w:color w:val="auto"/>
        </w:rPr>
        <w:t>. The management development and compensation committee has reviewed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management the Compensation Discussion and Analysis section in this proxy statement. Based on the committee’s review and a discussion with management, the committee recommended to the board of directors that our compensation discussion and analysis be included in this proxy statement.</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members of our management development and compensation committee submit the foregoing report as of March 3,</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2021.</w:t>
      </w:r>
    </w:p>
    <w:p>
      <w:pPr>
        <w:sectPr>
          <w:pgSz w:w="11900" w:h="16838" w:orient="portrait"/>
          <w:cols w:equalWidth="0" w:num="1">
            <w:col w:w="11240"/>
          </w:cols>
          <w:pgMar w:left="320" w:top="363" w:right="3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 Manix</w:t>
      </w:r>
    </w:p>
    <w:p>
      <w:pPr>
        <w:spacing w:after="0" w:line="21" w:lineRule="exact"/>
        <w:rPr>
          <w:sz w:val="20"/>
          <w:szCs w:val="20"/>
          <w:color w:val="auto"/>
        </w:rPr>
      </w:pPr>
    </w:p>
    <w:p>
      <w:pPr>
        <w:ind w:right="2040"/>
        <w:spacing w:after="0" w:line="308" w:lineRule="auto"/>
        <w:rPr>
          <w:sz w:val="20"/>
          <w:szCs w:val="20"/>
          <w:color w:val="auto"/>
        </w:rPr>
      </w:pPr>
      <w:r>
        <w:rPr>
          <w:rFonts w:ascii="Arial" w:cs="Arial" w:eastAsia="Arial" w:hAnsi="Arial"/>
          <w:sz w:val="16"/>
          <w:szCs w:val="16"/>
          <w:i w:val="1"/>
          <w:iCs w:val="1"/>
          <w:color w:val="auto"/>
        </w:rPr>
        <w:t>Chair of our Management Development and Compensation Committee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Barry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Member of our Management Development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55" w:lineRule="exact"/>
        <w:rPr>
          <w:sz w:val="20"/>
          <w:szCs w:val="20"/>
          <w:color w:val="auto"/>
        </w:rPr>
      </w:pPr>
    </w:p>
    <w:p>
      <w:pPr>
        <w:sectPr>
          <w:pgSz w:w="11900" w:h="16838" w:orient="portrait"/>
          <w:cols w:equalWidth="0" w:num="2">
            <w:col w:w="5160" w:space="720"/>
            <w:col w:w="5360"/>
          </w:cols>
          <w:pgMar w:left="320" w:top="36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361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25" w:name="page26"/>
    <w:bookmarkEnd w:id="25"/>
    <w:p>
      <w:pPr>
        <w:ind w:right="100" w:firstLine="630"/>
        <w:spacing w:after="0" w:line="253" w:lineRule="auto"/>
        <w:rPr>
          <w:sz w:val="20"/>
          <w:szCs w:val="20"/>
          <w:color w:val="auto"/>
        </w:rPr>
      </w:pPr>
      <w:r>
        <w:rPr>
          <w:rFonts w:ascii="Arial" w:cs="Arial" w:eastAsia="Arial" w:hAnsi="Arial"/>
          <w:sz w:val="20"/>
          <w:szCs w:val="20"/>
          <w:b w:val="1"/>
          <w:bCs w:val="1"/>
          <w:i w:val="1"/>
          <w:iCs w:val="1"/>
          <w:color w:val="auto"/>
        </w:rPr>
        <w:t>Summary of Cash and Certain Other Compensation of Executive Officers</w:t>
      </w:r>
      <w:r>
        <w:rPr>
          <w:rFonts w:ascii="Arial" w:cs="Arial" w:eastAsia="Arial" w:hAnsi="Arial"/>
          <w:sz w:val="20"/>
          <w:szCs w:val="20"/>
          <w:color w:val="auto"/>
        </w:rPr>
        <w:t>. The 2020 Summary Compensation Table below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provides information concerning compensation we and our subsidiaries paid or accrued for services rendered during the last three years by our chief executive officer, our chief financial officer, and each of the three other most highly compensated individuals (in certain instances, based on ISA charges to us) who were our executive officers at December 31, 2020. Messrs. Graham and Nace and Mses. Ruf and Samford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40"/>
        <w:spacing w:after="0"/>
        <w:rPr>
          <w:sz w:val="20"/>
          <w:szCs w:val="20"/>
          <w:color w:val="auto"/>
        </w:rPr>
      </w:pPr>
      <w:r>
        <w:rPr>
          <w:rFonts w:ascii="Arial" w:cs="Arial" w:eastAsia="Arial" w:hAnsi="Arial"/>
          <w:sz w:val="21"/>
          <w:szCs w:val="21"/>
          <w:b w:val="1"/>
          <w:bCs w:val="1"/>
          <w:color w:val="auto"/>
        </w:rPr>
        <w:t xml:space="preserve">2020 SUMMARY COMPENSATION TABLE </w:t>
      </w:r>
      <w:r>
        <w:rPr>
          <w:rFonts w:ascii="Arial" w:cs="Arial" w:eastAsia="Arial" w:hAnsi="Arial"/>
          <w:sz w:val="21"/>
          <w:szCs w:val="21"/>
          <w:color w:val="auto"/>
        </w:rPr>
        <w:t>(1)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ind w:left="920"/>
              <w:spacing w:after="0"/>
              <w:rPr>
                <w:sz w:val="20"/>
                <w:szCs w:val="20"/>
                <w:color w:val="auto"/>
              </w:rPr>
            </w:pPr>
            <w:r>
              <w:rPr>
                <w:rFonts w:ascii="Arial" w:cs="Arial" w:eastAsia="Arial" w:hAnsi="Arial"/>
                <w:sz w:val="18"/>
                <w:szCs w:val="18"/>
                <w:b w:val="1"/>
                <w:bCs w:val="1"/>
                <w:color w:val="auto"/>
              </w:rPr>
              <w:t>Name and</w:t>
            </w:r>
          </w:p>
        </w:tc>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5"/>
        </w:trPr>
        <w:tc>
          <w:tcPr>
            <w:tcW w:w="22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Principal Position</w:t>
            </w: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Year</w:t>
            </w: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Salary</w:t>
            </w:r>
          </w:p>
        </w:tc>
        <w:tc>
          <w:tcPr>
            <w:tcW w:w="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Bonus</w:t>
            </w:r>
          </w:p>
        </w:tc>
        <w:tc>
          <w:tcPr>
            <w:tcW w:w="1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Stock Awards</w:t>
            </w:r>
          </w:p>
        </w:tc>
        <w:tc>
          <w:tcPr>
            <w:tcW w:w="1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Compensation</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0"/>
        </w:trPr>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8"/>
        </w:trPr>
        <w:tc>
          <w:tcPr>
            <w:tcW w:w="2280" w:type="dxa"/>
            <w:vAlign w:val="bottom"/>
            <w:shd w:val="clear" w:color="auto" w:fill="CCEEFF"/>
          </w:tcPr>
          <w:p>
            <w:pPr>
              <w:ind w:left="640"/>
              <w:spacing w:after="0" w:line="198" w:lineRule="exact"/>
              <w:rPr>
                <w:sz w:val="20"/>
                <w:szCs w:val="20"/>
                <w:color w:val="auto"/>
              </w:rPr>
            </w:pPr>
            <w:r>
              <w:rPr>
                <w:rFonts w:ascii="Arial" w:cs="Arial" w:eastAsia="Arial" w:hAnsi="Arial"/>
                <w:sz w:val="18"/>
                <w:szCs w:val="18"/>
                <w:color w:val="auto"/>
              </w:rPr>
              <w:t>Robert D. Graham</w:t>
            </w:r>
          </w:p>
        </w:tc>
        <w:tc>
          <w:tcPr>
            <w:tcW w:w="980" w:type="dxa"/>
            <w:vAlign w:val="bottom"/>
            <w:shd w:val="clear" w:color="auto" w:fill="CCEEFF"/>
          </w:tcPr>
          <w:p>
            <w:pPr>
              <w:ind w:left="320"/>
              <w:spacing w:after="0" w:line="198" w:lineRule="exact"/>
              <w:rPr>
                <w:sz w:val="20"/>
                <w:szCs w:val="20"/>
                <w:color w:val="auto"/>
              </w:rPr>
            </w:pPr>
            <w:r>
              <w:rPr>
                <w:rFonts w:ascii="Arial" w:cs="Arial" w:eastAsia="Arial" w:hAnsi="Arial"/>
                <w:sz w:val="18"/>
                <w:szCs w:val="18"/>
                <w:color w:val="auto"/>
              </w:rPr>
              <w:t>2020</w:t>
            </w:r>
          </w:p>
        </w:tc>
        <w:tc>
          <w:tcPr>
            <w:tcW w:w="1460" w:type="dxa"/>
            <w:vAlign w:val="bottom"/>
            <w:shd w:val="clear" w:color="auto" w:fill="CCEEFF"/>
          </w:tcPr>
          <w:p>
            <w:pPr>
              <w:jc w:val="right"/>
              <w:ind w:right="392"/>
              <w:spacing w:after="0" w:line="198" w:lineRule="exact"/>
              <w:rPr>
                <w:sz w:val="20"/>
                <w:szCs w:val="20"/>
                <w:color w:val="auto"/>
              </w:rPr>
            </w:pPr>
            <w:r>
              <w:rPr>
                <w:rFonts w:ascii="Arial" w:cs="Arial" w:eastAsia="Arial" w:hAnsi="Arial"/>
                <w:sz w:val="18"/>
                <w:szCs w:val="18"/>
                <w:color w:val="auto"/>
              </w:rPr>
              <w:t>$659,000</w:t>
            </w:r>
          </w:p>
        </w:tc>
        <w:tc>
          <w:tcPr>
            <w:tcW w:w="700" w:type="dxa"/>
            <w:vAlign w:val="bottom"/>
            <w:shd w:val="clear" w:color="auto" w:fill="CCEEFF"/>
          </w:tcPr>
          <w:p>
            <w:pPr>
              <w:jc w:val="right"/>
              <w:ind w:right="272"/>
              <w:spacing w:after="0" w:line="198" w:lineRule="exact"/>
              <w:rPr>
                <w:sz w:val="20"/>
                <w:szCs w:val="20"/>
                <w:color w:val="auto"/>
              </w:rPr>
            </w:pPr>
            <w:r>
              <w:rPr>
                <w:rFonts w:ascii="Arial" w:cs="Arial" w:eastAsia="Arial" w:hAnsi="Arial"/>
                <w:sz w:val="18"/>
                <w:szCs w:val="18"/>
                <w:color w:val="auto"/>
              </w:rPr>
              <w:t>(3)</w:t>
            </w:r>
          </w:p>
        </w:tc>
        <w:tc>
          <w:tcPr>
            <w:tcW w:w="1300" w:type="dxa"/>
            <w:vAlign w:val="bottom"/>
            <w:shd w:val="clear" w:color="auto" w:fill="CCEEFF"/>
          </w:tcPr>
          <w:p>
            <w:pPr>
              <w:jc w:val="right"/>
              <w:ind w:right="672"/>
              <w:spacing w:after="0" w:line="198"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92"/>
              <w:spacing w:after="0" w:line="198"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92"/>
              <w:spacing w:after="0" w:line="198" w:lineRule="exact"/>
              <w:rPr>
                <w:sz w:val="20"/>
                <w:szCs w:val="20"/>
                <w:color w:val="auto"/>
              </w:rPr>
            </w:pPr>
            <w:r>
              <w:rPr>
                <w:rFonts w:ascii="Arial" w:cs="Arial" w:eastAsia="Arial" w:hAnsi="Arial"/>
                <w:sz w:val="18"/>
                <w:szCs w:val="18"/>
                <w:color w:val="auto"/>
              </w:rPr>
              <w:t>$  -0-</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2"/>
              <w:spacing w:after="0" w:line="198" w:lineRule="exact"/>
              <w:rPr>
                <w:sz w:val="20"/>
                <w:szCs w:val="20"/>
                <w:color w:val="auto"/>
              </w:rPr>
            </w:pPr>
            <w:r>
              <w:rPr>
                <w:rFonts w:ascii="Arial" w:cs="Arial" w:eastAsia="Arial" w:hAnsi="Arial"/>
                <w:sz w:val="18"/>
                <w:szCs w:val="18"/>
                <w:color w:val="auto"/>
              </w:rPr>
              <w:t>$</w:t>
            </w:r>
          </w:p>
        </w:tc>
      </w:tr>
      <w:tr>
        <w:trPr>
          <w:trHeight w:val="222"/>
        </w:trPr>
        <w:tc>
          <w:tcPr>
            <w:tcW w:w="2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659,000</w:t>
            </w:r>
          </w:p>
        </w:tc>
      </w:tr>
      <w:tr>
        <w:trPr>
          <w:trHeight w:val="210"/>
        </w:trPr>
        <w:tc>
          <w:tcPr>
            <w:tcW w:w="2280" w:type="dxa"/>
            <w:vAlign w:val="bottom"/>
          </w:tcPr>
          <w:p>
            <w:pPr>
              <w:spacing w:after="0"/>
              <w:rPr>
                <w:sz w:val="20"/>
                <w:szCs w:val="20"/>
                <w:color w:val="auto"/>
              </w:rPr>
            </w:pPr>
            <w:r>
              <w:rPr>
                <w:rFonts w:ascii="Arial" w:cs="Arial" w:eastAsia="Arial" w:hAnsi="Arial"/>
                <w:sz w:val="18"/>
                <w:szCs w:val="18"/>
                <w:i w:val="1"/>
                <w:iCs w:val="1"/>
                <w:color w:val="auto"/>
              </w:rPr>
              <w:t>Vice Chairman of the</w:t>
            </w:r>
          </w:p>
        </w:tc>
        <w:tc>
          <w:tcPr>
            <w:tcW w:w="980" w:type="dxa"/>
            <w:vAlign w:val="bottom"/>
          </w:tcPr>
          <w:p>
            <w:pPr>
              <w:ind w:left="320"/>
              <w:spacing w:after="0"/>
              <w:rPr>
                <w:sz w:val="20"/>
                <w:szCs w:val="20"/>
                <w:color w:val="auto"/>
              </w:rPr>
            </w:pPr>
            <w:r>
              <w:rPr>
                <w:rFonts w:ascii="Arial" w:cs="Arial" w:eastAsia="Arial" w:hAnsi="Arial"/>
                <w:sz w:val="18"/>
                <w:szCs w:val="18"/>
                <w:color w:val="auto"/>
              </w:rPr>
              <w:t>2019</w:t>
            </w: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559,000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559,000</w:t>
            </w:r>
          </w:p>
        </w:tc>
      </w:tr>
      <w:tr>
        <w:trPr>
          <w:trHeight w:val="210"/>
        </w:trPr>
        <w:tc>
          <w:tcPr>
            <w:tcW w:w="2280" w:type="dxa"/>
            <w:vAlign w:val="bottom"/>
            <w:shd w:val="clear" w:color="auto" w:fill="CCEEFF"/>
          </w:tcPr>
          <w:p>
            <w:pPr>
              <w:ind w:left="840"/>
              <w:spacing w:after="0"/>
              <w:rPr>
                <w:sz w:val="20"/>
                <w:szCs w:val="20"/>
                <w:color w:val="auto"/>
              </w:rPr>
            </w:pPr>
            <w:r>
              <w:rPr>
                <w:rFonts w:ascii="Arial" w:cs="Arial" w:eastAsia="Arial" w:hAnsi="Arial"/>
                <w:sz w:val="18"/>
                <w:szCs w:val="18"/>
                <w:i w:val="1"/>
                <w:iCs w:val="1"/>
                <w:color w:val="auto"/>
              </w:rPr>
              <w:t>Board</w:t>
            </w: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14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409,000</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w:t>
            </w: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r>
      <w:tr>
        <w:trPr>
          <w:trHeight w:val="210"/>
        </w:trPr>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2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Scott C. James</w:t>
            </w: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14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499,358</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550,000</w:t>
            </w:r>
          </w:p>
        </w:tc>
        <w:tc>
          <w:tcPr>
            <w:tcW w:w="16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32,832</w:t>
            </w:r>
          </w:p>
        </w:tc>
        <w:tc>
          <w:tcPr>
            <w:tcW w:w="5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1,082,190</w:t>
            </w:r>
          </w:p>
        </w:tc>
      </w:tr>
      <w:tr>
        <w:trPr>
          <w:trHeight w:val="198"/>
        </w:trPr>
        <w:tc>
          <w:tcPr>
            <w:tcW w:w="2280" w:type="dxa"/>
            <w:vAlign w:val="bottom"/>
          </w:tcPr>
          <w:p>
            <w:pPr>
              <w:ind w:left="640"/>
              <w:spacing w:after="0" w:line="198" w:lineRule="exact"/>
              <w:rPr>
                <w:sz w:val="20"/>
                <w:szCs w:val="20"/>
                <w:color w:val="auto"/>
              </w:rPr>
            </w:pPr>
            <w:r>
              <w:rPr>
                <w:rFonts w:ascii="Arial" w:cs="Arial" w:eastAsia="Arial" w:hAnsi="Arial"/>
                <w:sz w:val="18"/>
                <w:szCs w:val="18"/>
                <w:i w:val="1"/>
                <w:iCs w:val="1"/>
                <w:color w:val="auto"/>
              </w:rPr>
              <w:t>President and</w:t>
            </w:r>
          </w:p>
        </w:tc>
        <w:tc>
          <w:tcPr>
            <w:tcW w:w="980" w:type="dxa"/>
            <w:vAlign w:val="bottom"/>
          </w:tcPr>
          <w:p>
            <w:pPr>
              <w:ind w:left="320"/>
              <w:spacing w:after="0" w:line="198" w:lineRule="exact"/>
              <w:rPr>
                <w:sz w:val="20"/>
                <w:szCs w:val="20"/>
                <w:color w:val="auto"/>
              </w:rPr>
            </w:pPr>
            <w:r>
              <w:rPr>
                <w:rFonts w:ascii="Arial" w:cs="Arial" w:eastAsia="Arial" w:hAnsi="Arial"/>
                <w:sz w:val="18"/>
                <w:szCs w:val="18"/>
                <w:color w:val="auto"/>
              </w:rPr>
              <w:t>2019</w:t>
            </w:r>
          </w:p>
        </w:tc>
        <w:tc>
          <w:tcPr>
            <w:tcW w:w="1460" w:type="dxa"/>
            <w:vAlign w:val="bottom"/>
          </w:tcPr>
          <w:p>
            <w:pPr>
              <w:jc w:val="right"/>
              <w:ind w:right="392"/>
              <w:spacing w:after="0" w:line="198" w:lineRule="exact"/>
              <w:rPr>
                <w:sz w:val="20"/>
                <w:szCs w:val="20"/>
                <w:color w:val="auto"/>
              </w:rPr>
            </w:pPr>
            <w:r>
              <w:rPr>
                <w:rFonts w:ascii="Arial" w:cs="Arial" w:eastAsia="Arial" w:hAnsi="Arial"/>
                <w:sz w:val="18"/>
                <w:szCs w:val="18"/>
                <w:color w:val="auto"/>
              </w:rPr>
              <w:t>473,846</w:t>
            </w:r>
          </w:p>
        </w:tc>
        <w:tc>
          <w:tcPr>
            <w:tcW w:w="700" w:type="dxa"/>
            <w:vAlign w:val="bottom"/>
          </w:tcPr>
          <w:p>
            <w:pPr>
              <w:spacing w:after="0"/>
              <w:rPr>
                <w:sz w:val="17"/>
                <w:szCs w:val="17"/>
                <w:color w:val="auto"/>
              </w:rPr>
            </w:pPr>
          </w:p>
        </w:tc>
        <w:tc>
          <w:tcPr>
            <w:tcW w:w="1300" w:type="dxa"/>
            <w:vAlign w:val="bottom"/>
          </w:tcPr>
          <w:p>
            <w:pPr>
              <w:jc w:val="right"/>
              <w:ind w:right="272"/>
              <w:spacing w:after="0" w:line="198" w:lineRule="exact"/>
              <w:rPr>
                <w:sz w:val="20"/>
                <w:szCs w:val="20"/>
                <w:color w:val="auto"/>
              </w:rPr>
            </w:pPr>
            <w:r>
              <w:rPr>
                <w:rFonts w:ascii="Arial" w:cs="Arial" w:eastAsia="Arial" w:hAnsi="Arial"/>
                <w:sz w:val="18"/>
                <w:szCs w:val="18"/>
                <w:color w:val="auto"/>
              </w:rPr>
              <w:t>550,000</w:t>
            </w:r>
          </w:p>
        </w:tc>
        <w:tc>
          <w:tcPr>
            <w:tcW w:w="1660" w:type="dxa"/>
            <w:vAlign w:val="bottom"/>
          </w:tcPr>
          <w:p>
            <w:pPr>
              <w:jc w:val="right"/>
              <w:ind w:right="792"/>
              <w:spacing w:after="0" w:line="198" w:lineRule="exact"/>
              <w:rPr>
                <w:sz w:val="20"/>
                <w:szCs w:val="20"/>
                <w:color w:val="auto"/>
              </w:rPr>
            </w:pPr>
            <w:r>
              <w:rPr>
                <w:rFonts w:ascii="Arial" w:cs="Arial" w:eastAsia="Arial" w:hAnsi="Arial"/>
                <w:sz w:val="18"/>
                <w:szCs w:val="18"/>
                <w:color w:val="auto"/>
              </w:rPr>
              <w:t>-0-</w:t>
            </w:r>
          </w:p>
        </w:tc>
        <w:tc>
          <w:tcPr>
            <w:tcW w:w="1500" w:type="dxa"/>
            <w:vAlign w:val="bottom"/>
          </w:tcPr>
          <w:p>
            <w:pPr>
              <w:jc w:val="right"/>
              <w:ind w:right="492"/>
              <w:spacing w:after="0" w:line="198" w:lineRule="exact"/>
              <w:rPr>
                <w:sz w:val="20"/>
                <w:szCs w:val="20"/>
                <w:color w:val="auto"/>
              </w:rPr>
            </w:pPr>
            <w:r>
              <w:rPr>
                <w:rFonts w:ascii="Arial" w:cs="Arial" w:eastAsia="Arial" w:hAnsi="Arial"/>
                <w:sz w:val="18"/>
                <w:szCs w:val="18"/>
                <w:color w:val="auto"/>
              </w:rPr>
              <w:t>40,519</w:t>
            </w:r>
          </w:p>
        </w:tc>
        <w:tc>
          <w:tcPr>
            <w:tcW w:w="520" w:type="dxa"/>
            <w:vAlign w:val="bottom"/>
          </w:tcPr>
          <w:p>
            <w:pPr>
              <w:jc w:val="right"/>
              <w:ind w:right="172"/>
              <w:spacing w:after="0" w:line="198" w:lineRule="exact"/>
              <w:rPr>
                <w:sz w:val="20"/>
                <w:szCs w:val="20"/>
                <w:color w:val="auto"/>
              </w:rPr>
            </w:pPr>
            <w:r>
              <w:rPr>
                <w:rFonts w:ascii="Arial" w:cs="Arial" w:eastAsia="Arial" w:hAnsi="Arial"/>
                <w:sz w:val="18"/>
                <w:szCs w:val="18"/>
                <w:color w:val="auto"/>
              </w:rPr>
              <w:t>(4)</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1,064,365</w:t>
            </w:r>
          </w:p>
        </w:tc>
      </w:tr>
      <w:tr>
        <w:trPr>
          <w:trHeight w:val="222"/>
        </w:trPr>
        <w:tc>
          <w:tcPr>
            <w:tcW w:w="2280" w:type="dxa"/>
            <w:vAlign w:val="bottom"/>
          </w:tcPr>
          <w:p>
            <w:pPr>
              <w:spacing w:after="0"/>
              <w:rPr>
                <w:sz w:val="20"/>
                <w:szCs w:val="20"/>
                <w:color w:val="auto"/>
              </w:rPr>
            </w:pPr>
            <w:r>
              <w:rPr>
                <w:rFonts w:ascii="Arial" w:cs="Arial" w:eastAsia="Arial" w:hAnsi="Arial"/>
                <w:sz w:val="18"/>
                <w:szCs w:val="18"/>
                <w:i w:val="1"/>
                <w:iCs w:val="1"/>
                <w:color w:val="auto"/>
              </w:rPr>
              <w:t>Chief</w:t>
            </w:r>
          </w:p>
        </w:tc>
        <w:tc>
          <w:tcPr>
            <w:tcW w:w="9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8"/>
        </w:trPr>
        <w:tc>
          <w:tcPr>
            <w:tcW w:w="2280" w:type="dxa"/>
            <w:vAlign w:val="bottom"/>
            <w:shd w:val="clear" w:color="auto" w:fill="CCEEFF"/>
          </w:tcPr>
          <w:p>
            <w:pPr>
              <w:ind w:left="840"/>
              <w:spacing w:after="0" w:line="198" w:lineRule="exact"/>
              <w:rPr>
                <w:sz w:val="20"/>
                <w:szCs w:val="20"/>
                <w:color w:val="auto"/>
              </w:rPr>
            </w:pPr>
            <w:r>
              <w:rPr>
                <w:rFonts w:ascii="Arial" w:cs="Arial" w:eastAsia="Arial" w:hAnsi="Arial"/>
                <w:sz w:val="18"/>
                <w:szCs w:val="18"/>
                <w:i w:val="1"/>
                <w:iCs w:val="1"/>
                <w:color w:val="auto"/>
              </w:rPr>
              <w:t>Executive</w:t>
            </w:r>
          </w:p>
        </w:tc>
        <w:tc>
          <w:tcPr>
            <w:tcW w:w="980" w:type="dxa"/>
            <w:vAlign w:val="bottom"/>
            <w:shd w:val="clear" w:color="auto" w:fill="CCEEFF"/>
          </w:tcPr>
          <w:p>
            <w:pPr>
              <w:ind w:left="320"/>
              <w:spacing w:after="0" w:line="198" w:lineRule="exact"/>
              <w:rPr>
                <w:sz w:val="20"/>
                <w:szCs w:val="20"/>
                <w:color w:val="auto"/>
              </w:rPr>
            </w:pPr>
            <w:r>
              <w:rPr>
                <w:rFonts w:ascii="Arial" w:cs="Arial" w:eastAsia="Arial" w:hAnsi="Arial"/>
                <w:sz w:val="18"/>
                <w:szCs w:val="18"/>
                <w:color w:val="auto"/>
              </w:rPr>
              <w:t>2018</w:t>
            </w:r>
          </w:p>
        </w:tc>
        <w:tc>
          <w:tcPr>
            <w:tcW w:w="1460" w:type="dxa"/>
            <w:vAlign w:val="bottom"/>
            <w:shd w:val="clear" w:color="auto" w:fill="CCEEFF"/>
          </w:tcPr>
          <w:p>
            <w:pPr>
              <w:jc w:val="right"/>
              <w:ind w:right="392"/>
              <w:spacing w:after="0" w:line="198" w:lineRule="exact"/>
              <w:rPr>
                <w:sz w:val="20"/>
                <w:szCs w:val="20"/>
                <w:color w:val="auto"/>
              </w:rPr>
            </w:pPr>
            <w:r>
              <w:rPr>
                <w:rFonts w:ascii="Arial" w:cs="Arial" w:eastAsia="Arial" w:hAnsi="Arial"/>
                <w:sz w:val="18"/>
                <w:szCs w:val="18"/>
                <w:color w:val="auto"/>
              </w:rPr>
              <w:t>424,327</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72"/>
              <w:spacing w:after="0" w:line="198" w:lineRule="exact"/>
              <w:rPr>
                <w:sz w:val="20"/>
                <w:szCs w:val="20"/>
                <w:color w:val="auto"/>
              </w:rPr>
            </w:pPr>
            <w:r>
              <w:rPr>
                <w:rFonts w:ascii="Arial" w:cs="Arial" w:eastAsia="Arial" w:hAnsi="Arial"/>
                <w:sz w:val="18"/>
                <w:szCs w:val="18"/>
                <w:color w:val="auto"/>
              </w:rPr>
              <w:t>550,000</w:t>
            </w:r>
          </w:p>
        </w:tc>
        <w:tc>
          <w:tcPr>
            <w:tcW w:w="1660" w:type="dxa"/>
            <w:vAlign w:val="bottom"/>
            <w:shd w:val="clear" w:color="auto" w:fill="CCEEFF"/>
          </w:tcPr>
          <w:p>
            <w:pPr>
              <w:jc w:val="right"/>
              <w:ind w:right="792"/>
              <w:spacing w:after="0" w:line="198" w:lineRule="exact"/>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492"/>
              <w:spacing w:after="0" w:line="198" w:lineRule="exact"/>
              <w:rPr>
                <w:sz w:val="20"/>
                <w:szCs w:val="20"/>
                <w:color w:val="auto"/>
              </w:rPr>
            </w:pPr>
            <w:r>
              <w:rPr>
                <w:rFonts w:ascii="Arial" w:cs="Arial" w:eastAsia="Arial" w:hAnsi="Arial"/>
                <w:sz w:val="18"/>
                <w:szCs w:val="18"/>
                <w:color w:val="auto"/>
              </w:rPr>
              <w:t>40,238</w:t>
            </w:r>
          </w:p>
        </w:tc>
        <w:tc>
          <w:tcPr>
            <w:tcW w:w="520" w:type="dxa"/>
            <w:vAlign w:val="bottom"/>
            <w:shd w:val="clear" w:color="auto" w:fill="CCEEFF"/>
          </w:tcPr>
          <w:p>
            <w:pPr>
              <w:jc w:val="right"/>
              <w:ind w:right="172"/>
              <w:spacing w:after="0" w:line="198" w:lineRule="exact"/>
              <w:rPr>
                <w:sz w:val="20"/>
                <w:szCs w:val="20"/>
                <w:color w:val="auto"/>
              </w:rPr>
            </w:pPr>
            <w:r>
              <w:rPr>
                <w:rFonts w:ascii="Arial" w:cs="Arial" w:eastAsia="Arial" w:hAnsi="Arial"/>
                <w:sz w:val="18"/>
                <w:szCs w:val="18"/>
                <w:color w:val="auto"/>
              </w:rPr>
              <w:t>(4)</w:t>
            </w:r>
          </w:p>
        </w:tc>
        <w:tc>
          <w:tcPr>
            <w:tcW w:w="9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1,014,565</w:t>
            </w:r>
          </w:p>
        </w:tc>
      </w:tr>
      <w:tr>
        <w:trPr>
          <w:trHeight w:val="222"/>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Officer</w:t>
            </w:r>
          </w:p>
        </w:tc>
        <w:tc>
          <w:tcPr>
            <w:tcW w:w="9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3"/>
        </w:trPr>
        <w:tc>
          <w:tcPr>
            <w:tcW w:w="2280" w:type="dxa"/>
            <w:vAlign w:val="bottom"/>
          </w:tcPr>
          <w:p>
            <w:pPr>
              <w:ind w:left="640"/>
              <w:spacing w:after="0"/>
              <w:rPr>
                <w:sz w:val="20"/>
                <w:szCs w:val="20"/>
                <w:color w:val="auto"/>
              </w:rPr>
            </w:pPr>
            <w:r>
              <w:rPr>
                <w:rFonts w:ascii="Arial" w:cs="Arial" w:eastAsia="Arial" w:hAnsi="Arial"/>
                <w:sz w:val="18"/>
                <w:szCs w:val="18"/>
                <w:color w:val="auto"/>
              </w:rPr>
              <w:t>Andrew B. Nace</w:t>
            </w:r>
          </w:p>
        </w:tc>
        <w:tc>
          <w:tcPr>
            <w:tcW w:w="980" w:type="dxa"/>
            <w:vAlign w:val="bottom"/>
          </w:tcPr>
          <w:p>
            <w:pPr>
              <w:ind w:left="320"/>
              <w:spacing w:after="0"/>
              <w:rPr>
                <w:sz w:val="20"/>
                <w:szCs w:val="20"/>
                <w:color w:val="auto"/>
              </w:rPr>
            </w:pPr>
            <w:r>
              <w:rPr>
                <w:rFonts w:ascii="Arial" w:cs="Arial" w:eastAsia="Arial" w:hAnsi="Arial"/>
                <w:sz w:val="18"/>
                <w:szCs w:val="18"/>
                <w:color w:val="auto"/>
              </w:rPr>
              <w:t>2020</w:t>
            </w: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370,000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370,000</w:t>
            </w:r>
          </w:p>
        </w:tc>
      </w:tr>
      <w:tr>
        <w:trPr>
          <w:trHeight w:val="198"/>
        </w:trPr>
        <w:tc>
          <w:tcPr>
            <w:tcW w:w="2280" w:type="dxa"/>
            <w:vAlign w:val="bottom"/>
            <w:shd w:val="clear" w:color="auto" w:fill="CCEEFF"/>
          </w:tcPr>
          <w:p>
            <w:pPr>
              <w:ind w:left="640"/>
              <w:spacing w:after="0" w:line="198" w:lineRule="exact"/>
              <w:rPr>
                <w:sz w:val="20"/>
                <w:szCs w:val="20"/>
                <w:color w:val="auto"/>
              </w:rPr>
            </w:pPr>
            <w:r>
              <w:rPr>
                <w:rFonts w:ascii="Arial" w:cs="Arial" w:eastAsia="Arial" w:hAnsi="Arial"/>
                <w:sz w:val="18"/>
                <w:szCs w:val="18"/>
                <w:i w:val="1"/>
                <w:iCs w:val="1"/>
                <w:color w:val="auto"/>
              </w:rPr>
              <w:t>Executive Vice</w:t>
            </w:r>
          </w:p>
        </w:tc>
        <w:tc>
          <w:tcPr>
            <w:tcW w:w="980" w:type="dxa"/>
            <w:vAlign w:val="bottom"/>
            <w:shd w:val="clear" w:color="auto" w:fill="CCEEFF"/>
          </w:tcPr>
          <w:p>
            <w:pPr>
              <w:ind w:left="320"/>
              <w:spacing w:after="0" w:line="198" w:lineRule="exact"/>
              <w:rPr>
                <w:sz w:val="20"/>
                <w:szCs w:val="20"/>
                <w:color w:val="auto"/>
              </w:rPr>
            </w:pPr>
            <w:r>
              <w:rPr>
                <w:rFonts w:ascii="Arial" w:cs="Arial" w:eastAsia="Arial" w:hAnsi="Arial"/>
                <w:sz w:val="18"/>
                <w:szCs w:val="18"/>
                <w:color w:val="auto"/>
              </w:rPr>
              <w:t>2019</w:t>
            </w:r>
          </w:p>
        </w:tc>
        <w:tc>
          <w:tcPr>
            <w:tcW w:w="1460" w:type="dxa"/>
            <w:vAlign w:val="bottom"/>
            <w:shd w:val="clear" w:color="auto" w:fill="CCEEFF"/>
          </w:tcPr>
          <w:p>
            <w:pPr>
              <w:jc w:val="right"/>
              <w:ind w:right="392"/>
              <w:spacing w:after="0" w:line="198" w:lineRule="exact"/>
              <w:rPr>
                <w:sz w:val="20"/>
                <w:szCs w:val="20"/>
                <w:color w:val="auto"/>
              </w:rPr>
            </w:pPr>
            <w:r>
              <w:rPr>
                <w:rFonts w:ascii="Arial" w:cs="Arial" w:eastAsia="Arial" w:hAnsi="Arial"/>
                <w:sz w:val="18"/>
                <w:szCs w:val="18"/>
                <w:color w:val="auto"/>
              </w:rPr>
              <w:t>350,000</w:t>
            </w:r>
          </w:p>
        </w:tc>
        <w:tc>
          <w:tcPr>
            <w:tcW w:w="700" w:type="dxa"/>
            <w:vAlign w:val="bottom"/>
            <w:shd w:val="clear" w:color="auto" w:fill="CCEEFF"/>
          </w:tcPr>
          <w:p>
            <w:pPr>
              <w:jc w:val="right"/>
              <w:ind w:right="272"/>
              <w:spacing w:after="0" w:line="198" w:lineRule="exact"/>
              <w:rPr>
                <w:sz w:val="20"/>
                <w:szCs w:val="20"/>
                <w:color w:val="auto"/>
              </w:rPr>
            </w:pPr>
            <w:r>
              <w:rPr>
                <w:rFonts w:ascii="Arial" w:cs="Arial" w:eastAsia="Arial" w:hAnsi="Arial"/>
                <w:sz w:val="18"/>
                <w:szCs w:val="18"/>
                <w:color w:val="auto"/>
              </w:rPr>
              <w:t>(3)</w:t>
            </w:r>
          </w:p>
        </w:tc>
        <w:tc>
          <w:tcPr>
            <w:tcW w:w="1300" w:type="dxa"/>
            <w:vAlign w:val="bottom"/>
            <w:shd w:val="clear" w:color="auto" w:fill="CCEEFF"/>
          </w:tcPr>
          <w:p>
            <w:pPr>
              <w:jc w:val="right"/>
              <w:ind w:right="272"/>
              <w:spacing w:after="0" w:line="198" w:lineRule="exact"/>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ind w:right="792"/>
              <w:spacing w:after="0" w:line="198" w:lineRule="exact"/>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492"/>
              <w:spacing w:after="0" w:line="198" w:lineRule="exact"/>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350,000</w:t>
            </w:r>
          </w:p>
        </w:tc>
      </w:tr>
      <w:tr>
        <w:trPr>
          <w:trHeight w:val="222"/>
        </w:trPr>
        <w:tc>
          <w:tcPr>
            <w:tcW w:w="2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w:t>
            </w:r>
          </w:p>
        </w:tc>
        <w:tc>
          <w:tcPr>
            <w:tcW w:w="9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2280" w:type="dxa"/>
            <w:vAlign w:val="bottom"/>
          </w:tcPr>
          <w:p>
            <w:pPr>
              <w:spacing w:after="0"/>
              <w:rPr>
                <w:sz w:val="18"/>
                <w:szCs w:val="18"/>
                <w:color w:val="auto"/>
              </w:rPr>
            </w:pPr>
          </w:p>
        </w:tc>
        <w:tc>
          <w:tcPr>
            <w:tcW w:w="980" w:type="dxa"/>
            <w:vAlign w:val="bottom"/>
          </w:tcPr>
          <w:p>
            <w:pPr>
              <w:ind w:left="320"/>
              <w:spacing w:after="0"/>
              <w:rPr>
                <w:sz w:val="20"/>
                <w:szCs w:val="20"/>
                <w:color w:val="auto"/>
              </w:rPr>
            </w:pPr>
            <w:r>
              <w:rPr>
                <w:rFonts w:ascii="Arial" w:cs="Arial" w:eastAsia="Arial" w:hAnsi="Arial"/>
                <w:sz w:val="18"/>
                <w:szCs w:val="18"/>
                <w:color w:val="auto"/>
              </w:rPr>
              <w:t>2018</w:t>
            </w: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306,000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306,000</w:t>
            </w:r>
          </w:p>
        </w:tc>
      </w:tr>
      <w:tr>
        <w:trPr>
          <w:trHeight w:val="210"/>
        </w:trPr>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8"/>
        </w:trPr>
        <w:tc>
          <w:tcPr>
            <w:tcW w:w="2280" w:type="dxa"/>
            <w:vAlign w:val="bottom"/>
          </w:tcPr>
          <w:p>
            <w:pPr>
              <w:ind w:left="640"/>
              <w:spacing w:after="0" w:line="198" w:lineRule="exact"/>
              <w:rPr>
                <w:sz w:val="20"/>
                <w:szCs w:val="20"/>
                <w:color w:val="auto"/>
              </w:rPr>
            </w:pPr>
            <w:r>
              <w:rPr>
                <w:rFonts w:ascii="Arial" w:cs="Arial" w:eastAsia="Arial" w:hAnsi="Arial"/>
                <w:sz w:val="18"/>
                <w:szCs w:val="18"/>
                <w:color w:val="auto"/>
              </w:rPr>
              <w:t>Amy A. Samford</w:t>
            </w:r>
          </w:p>
        </w:tc>
        <w:tc>
          <w:tcPr>
            <w:tcW w:w="980" w:type="dxa"/>
            <w:vAlign w:val="bottom"/>
          </w:tcPr>
          <w:p>
            <w:pPr>
              <w:ind w:left="320"/>
              <w:spacing w:after="0" w:line="198" w:lineRule="exact"/>
              <w:rPr>
                <w:sz w:val="20"/>
                <w:szCs w:val="20"/>
                <w:color w:val="auto"/>
              </w:rPr>
            </w:pPr>
            <w:r>
              <w:rPr>
                <w:rFonts w:ascii="Arial" w:cs="Arial" w:eastAsia="Arial" w:hAnsi="Arial"/>
                <w:sz w:val="18"/>
                <w:szCs w:val="18"/>
                <w:color w:val="auto"/>
              </w:rPr>
              <w:t>2020</w:t>
            </w:r>
          </w:p>
        </w:tc>
        <w:tc>
          <w:tcPr>
            <w:tcW w:w="1460" w:type="dxa"/>
            <w:vAlign w:val="bottom"/>
          </w:tcPr>
          <w:p>
            <w:pPr>
              <w:jc w:val="right"/>
              <w:ind w:right="392"/>
              <w:spacing w:after="0" w:line="198" w:lineRule="exact"/>
              <w:rPr>
                <w:sz w:val="20"/>
                <w:szCs w:val="20"/>
                <w:color w:val="auto"/>
              </w:rPr>
            </w:pPr>
            <w:r>
              <w:rPr>
                <w:rFonts w:ascii="Arial" w:cs="Arial" w:eastAsia="Arial" w:hAnsi="Arial"/>
                <w:sz w:val="18"/>
                <w:szCs w:val="18"/>
                <w:color w:val="auto"/>
              </w:rPr>
              <w:t>287,000</w:t>
            </w:r>
          </w:p>
        </w:tc>
        <w:tc>
          <w:tcPr>
            <w:tcW w:w="700" w:type="dxa"/>
            <w:vAlign w:val="bottom"/>
          </w:tcPr>
          <w:p>
            <w:pPr>
              <w:jc w:val="right"/>
              <w:ind w:right="272"/>
              <w:spacing w:after="0" w:line="198" w:lineRule="exact"/>
              <w:rPr>
                <w:sz w:val="20"/>
                <w:szCs w:val="20"/>
                <w:color w:val="auto"/>
              </w:rPr>
            </w:pPr>
            <w:r>
              <w:rPr>
                <w:rFonts w:ascii="Arial" w:cs="Arial" w:eastAsia="Arial" w:hAnsi="Arial"/>
                <w:sz w:val="18"/>
                <w:szCs w:val="18"/>
                <w:color w:val="auto"/>
              </w:rPr>
              <w:t>(3)</w:t>
            </w:r>
          </w:p>
        </w:tc>
        <w:tc>
          <w:tcPr>
            <w:tcW w:w="1300" w:type="dxa"/>
            <w:vAlign w:val="bottom"/>
          </w:tcPr>
          <w:p>
            <w:pPr>
              <w:jc w:val="right"/>
              <w:ind w:right="272"/>
              <w:spacing w:after="0" w:line="198" w:lineRule="exact"/>
              <w:rPr>
                <w:sz w:val="20"/>
                <w:szCs w:val="20"/>
                <w:color w:val="auto"/>
              </w:rPr>
            </w:pPr>
            <w:r>
              <w:rPr>
                <w:rFonts w:ascii="Arial" w:cs="Arial" w:eastAsia="Arial" w:hAnsi="Arial"/>
                <w:sz w:val="18"/>
                <w:szCs w:val="18"/>
                <w:color w:val="auto"/>
              </w:rPr>
              <w:t>-0-</w:t>
            </w:r>
          </w:p>
        </w:tc>
        <w:tc>
          <w:tcPr>
            <w:tcW w:w="1660" w:type="dxa"/>
            <w:vAlign w:val="bottom"/>
          </w:tcPr>
          <w:p>
            <w:pPr>
              <w:jc w:val="right"/>
              <w:ind w:right="792"/>
              <w:spacing w:after="0" w:line="198" w:lineRule="exact"/>
              <w:rPr>
                <w:sz w:val="20"/>
                <w:szCs w:val="20"/>
                <w:color w:val="auto"/>
              </w:rPr>
            </w:pPr>
            <w:r>
              <w:rPr>
                <w:rFonts w:ascii="Arial" w:cs="Arial" w:eastAsia="Arial" w:hAnsi="Arial"/>
                <w:sz w:val="18"/>
                <w:szCs w:val="18"/>
                <w:color w:val="auto"/>
              </w:rPr>
              <w:t>-0-</w:t>
            </w:r>
          </w:p>
        </w:tc>
        <w:tc>
          <w:tcPr>
            <w:tcW w:w="1500" w:type="dxa"/>
            <w:vAlign w:val="bottom"/>
          </w:tcPr>
          <w:p>
            <w:pPr>
              <w:jc w:val="right"/>
              <w:ind w:right="492"/>
              <w:spacing w:after="0" w:line="198" w:lineRule="exact"/>
              <w:rPr>
                <w:sz w:val="20"/>
                <w:szCs w:val="20"/>
                <w:color w:val="auto"/>
              </w:rPr>
            </w:pPr>
            <w:r>
              <w:rPr>
                <w:rFonts w:ascii="Arial" w:cs="Arial" w:eastAsia="Arial" w:hAnsi="Arial"/>
                <w:sz w:val="18"/>
                <w:szCs w:val="18"/>
                <w:color w:val="auto"/>
              </w:rPr>
              <w:t>-0-</w:t>
            </w:r>
          </w:p>
        </w:tc>
        <w:tc>
          <w:tcPr>
            <w:tcW w:w="52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287,000</w:t>
            </w: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4"/>
        </w:trPr>
        <w:tc>
          <w:tcPr>
            <w:tcW w:w="2280" w:type="dxa"/>
            <w:vAlign w:val="bottom"/>
            <w:shd w:val="clear" w:color="auto" w:fill="CCEEFF"/>
          </w:tcPr>
          <w:p>
            <w:pPr>
              <w:ind w:left="640"/>
              <w:spacing w:after="0" w:line="205" w:lineRule="exact"/>
              <w:rPr>
                <w:sz w:val="20"/>
                <w:szCs w:val="20"/>
                <w:color w:val="auto"/>
              </w:rPr>
            </w:pPr>
            <w:r>
              <w:rPr>
                <w:rFonts w:ascii="Arial" w:cs="Arial" w:eastAsia="Arial" w:hAnsi="Arial"/>
                <w:sz w:val="18"/>
                <w:szCs w:val="18"/>
                <w:i w:val="1"/>
                <w:iCs w:val="1"/>
                <w:color w:val="auto"/>
              </w:rPr>
              <w:t>Vice President and</w:t>
            </w:r>
          </w:p>
        </w:tc>
        <w:tc>
          <w:tcPr>
            <w:tcW w:w="98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2019</w:t>
            </w:r>
          </w:p>
        </w:tc>
        <w:tc>
          <w:tcPr>
            <w:tcW w:w="1460" w:type="dxa"/>
            <w:vAlign w:val="bottom"/>
            <w:shd w:val="clear" w:color="auto" w:fill="CCEEFF"/>
          </w:tcPr>
          <w:p>
            <w:pPr>
              <w:jc w:val="right"/>
              <w:ind w:right="392"/>
              <w:spacing w:after="0" w:line="205" w:lineRule="exact"/>
              <w:rPr>
                <w:sz w:val="20"/>
                <w:szCs w:val="20"/>
                <w:color w:val="auto"/>
              </w:rPr>
            </w:pPr>
            <w:r>
              <w:rPr>
                <w:rFonts w:ascii="Arial" w:cs="Arial" w:eastAsia="Arial" w:hAnsi="Arial"/>
                <w:sz w:val="18"/>
                <w:szCs w:val="18"/>
                <w:color w:val="auto"/>
              </w:rPr>
              <w:t>284,000</w:t>
            </w:r>
          </w:p>
        </w:tc>
        <w:tc>
          <w:tcPr>
            <w:tcW w:w="700" w:type="dxa"/>
            <w:vAlign w:val="bottom"/>
            <w:shd w:val="clear" w:color="auto" w:fill="CCEEFF"/>
          </w:tcPr>
          <w:p>
            <w:pPr>
              <w:jc w:val="right"/>
              <w:ind w:right="272"/>
              <w:spacing w:after="0" w:line="205" w:lineRule="exact"/>
              <w:rPr>
                <w:sz w:val="20"/>
                <w:szCs w:val="20"/>
                <w:color w:val="auto"/>
              </w:rPr>
            </w:pPr>
            <w:r>
              <w:rPr>
                <w:rFonts w:ascii="Arial" w:cs="Arial" w:eastAsia="Arial" w:hAnsi="Arial"/>
                <w:sz w:val="18"/>
                <w:szCs w:val="18"/>
                <w:color w:val="auto"/>
              </w:rPr>
              <w:t>(3)</w:t>
            </w:r>
          </w:p>
        </w:tc>
        <w:tc>
          <w:tcPr>
            <w:tcW w:w="1300" w:type="dxa"/>
            <w:vAlign w:val="bottom"/>
            <w:shd w:val="clear" w:color="auto" w:fill="CCEEFF"/>
          </w:tcPr>
          <w:p>
            <w:pPr>
              <w:jc w:val="right"/>
              <w:ind w:right="272"/>
              <w:spacing w:after="0" w:line="205" w:lineRule="exact"/>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ind w:right="792"/>
              <w:spacing w:after="0" w:line="205" w:lineRule="exact"/>
              <w:rPr>
                <w:sz w:val="20"/>
                <w:szCs w:val="20"/>
                <w:color w:val="auto"/>
              </w:rPr>
            </w:pPr>
            <w:r>
              <w:rPr>
                <w:rFonts w:ascii="Arial" w:cs="Arial" w:eastAsia="Arial" w:hAnsi="Arial"/>
                <w:sz w:val="18"/>
                <w:szCs w:val="18"/>
                <w:color w:val="auto"/>
              </w:rPr>
              <w:t>-0-</w:t>
            </w:r>
          </w:p>
        </w:tc>
        <w:tc>
          <w:tcPr>
            <w:tcW w:w="1500" w:type="dxa"/>
            <w:vAlign w:val="bottom"/>
            <w:shd w:val="clear" w:color="auto" w:fill="CCEEFF"/>
          </w:tcPr>
          <w:p>
            <w:pPr>
              <w:jc w:val="right"/>
              <w:ind w:right="492"/>
              <w:spacing w:after="0" w:line="205" w:lineRule="exact"/>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284,000</w:t>
            </w:r>
          </w:p>
        </w:tc>
      </w:tr>
      <w:tr>
        <w:trPr>
          <w:trHeight w:val="222"/>
        </w:trPr>
        <w:tc>
          <w:tcPr>
            <w:tcW w:w="2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w:t>
            </w:r>
          </w:p>
        </w:tc>
        <w:tc>
          <w:tcPr>
            <w:tcW w:w="9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8"/>
                <w:szCs w:val="18"/>
                <w:i w:val="1"/>
                <w:iCs w:val="1"/>
                <w:color w:val="auto"/>
              </w:rPr>
              <w:t>Financial Officer</w:t>
            </w:r>
          </w:p>
        </w:tc>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3"/>
        </w:trPr>
        <w:tc>
          <w:tcPr>
            <w:tcW w:w="2280" w:type="dxa"/>
            <w:vAlign w:val="bottom"/>
          </w:tcPr>
          <w:p>
            <w:pPr>
              <w:ind w:left="640"/>
              <w:spacing w:after="0"/>
              <w:rPr>
                <w:sz w:val="20"/>
                <w:szCs w:val="20"/>
                <w:color w:val="auto"/>
              </w:rPr>
            </w:pPr>
            <w:r>
              <w:rPr>
                <w:rFonts w:ascii="Arial" w:cs="Arial" w:eastAsia="Arial" w:hAnsi="Arial"/>
                <w:sz w:val="18"/>
                <w:szCs w:val="18"/>
                <w:color w:val="auto"/>
              </w:rPr>
              <w:t>Amy E. Ruf (2)</w:t>
            </w:r>
          </w:p>
        </w:tc>
        <w:tc>
          <w:tcPr>
            <w:tcW w:w="980" w:type="dxa"/>
            <w:vAlign w:val="bottom"/>
          </w:tcPr>
          <w:p>
            <w:pPr>
              <w:ind w:left="320"/>
              <w:spacing w:after="0"/>
              <w:rPr>
                <w:sz w:val="20"/>
                <w:szCs w:val="20"/>
                <w:color w:val="auto"/>
              </w:rPr>
            </w:pPr>
            <w:r>
              <w:rPr>
                <w:rFonts w:ascii="Arial" w:cs="Arial" w:eastAsia="Arial" w:hAnsi="Arial"/>
                <w:sz w:val="18"/>
                <w:szCs w:val="18"/>
                <w:color w:val="auto"/>
              </w:rPr>
              <w:t>2020</w:t>
            </w: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286,000</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286,000</w:t>
            </w:r>
          </w:p>
        </w:tc>
      </w:tr>
      <w:tr>
        <w:trPr>
          <w:trHeight w:val="198"/>
        </w:trPr>
        <w:tc>
          <w:tcPr>
            <w:tcW w:w="2280" w:type="dxa"/>
            <w:vAlign w:val="bottom"/>
            <w:shd w:val="clear" w:color="auto" w:fill="CCEEFF"/>
          </w:tcPr>
          <w:p>
            <w:pPr>
              <w:ind w:left="640"/>
              <w:spacing w:after="0" w:line="198" w:lineRule="exact"/>
              <w:rPr>
                <w:sz w:val="20"/>
                <w:szCs w:val="20"/>
                <w:color w:val="auto"/>
              </w:rPr>
            </w:pPr>
            <w:r>
              <w:rPr>
                <w:rFonts w:ascii="Arial" w:cs="Arial" w:eastAsia="Arial" w:hAnsi="Arial"/>
                <w:sz w:val="18"/>
                <w:szCs w:val="18"/>
                <w:i w:val="1"/>
                <w:iCs w:val="1"/>
                <w:color w:val="auto"/>
              </w:rPr>
              <w:t>Vice President and</w:t>
            </w:r>
          </w:p>
        </w:tc>
        <w:tc>
          <w:tcPr>
            <w:tcW w:w="9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2"/>
        </w:trPr>
        <w:tc>
          <w:tcPr>
            <w:tcW w:w="2280" w:type="dxa"/>
            <w:vAlign w:val="bottom"/>
            <w:shd w:val="clear" w:color="auto" w:fill="CCEEFF"/>
          </w:tcPr>
          <w:p>
            <w:pPr>
              <w:ind w:left="860"/>
              <w:spacing w:after="0"/>
              <w:rPr>
                <w:sz w:val="20"/>
                <w:szCs w:val="20"/>
                <w:color w:val="auto"/>
              </w:rPr>
            </w:pPr>
            <w:r>
              <w:rPr>
                <w:rFonts w:ascii="Arial" w:cs="Arial" w:eastAsia="Arial" w:hAnsi="Arial"/>
                <w:sz w:val="18"/>
                <w:szCs w:val="18"/>
                <w:i w:val="1"/>
                <w:iCs w:val="1"/>
                <w:color w:val="auto"/>
              </w:rPr>
              <w:t>Controller</w:t>
            </w:r>
          </w:p>
        </w:tc>
        <w:tc>
          <w:tcPr>
            <w:tcW w:w="9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333375</wp:posOffset>
            </wp:positionV>
            <wp:extent cx="20008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0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80" w:hanging="845"/>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13" w:lineRule="exact"/>
        <w:rPr>
          <w:rFonts w:ascii="Arial" w:cs="Arial" w:eastAsia="Arial" w:hAnsi="Arial"/>
          <w:sz w:val="18"/>
          <w:szCs w:val="18"/>
          <w:color w:val="auto"/>
        </w:rPr>
      </w:pPr>
    </w:p>
    <w:p>
      <w:pPr>
        <w:ind w:left="840" w:right="100" w:hanging="205"/>
        <w:spacing w:after="0" w:line="260" w:lineRule="auto"/>
        <w:tabs>
          <w:tab w:leader="none" w:pos="14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Ms. Samford was elected as our vice president and chief financial officer effective as of June 1, 2019 and is a named executive officer only for 2019 and 2020. Ms. Ruf is one of our named executive officers only for 2020.</w:t>
      </w:r>
    </w:p>
    <w:p>
      <w:pPr>
        <w:spacing w:after="0" w:line="181" w:lineRule="exact"/>
        <w:rPr>
          <w:rFonts w:ascii="Arial" w:cs="Arial" w:eastAsia="Arial" w:hAnsi="Arial"/>
          <w:sz w:val="18"/>
          <w:szCs w:val="18"/>
          <w:color w:val="auto"/>
        </w:rPr>
      </w:pPr>
    </w:p>
    <w:p>
      <w:pPr>
        <w:ind w:left="840" w:right="140" w:hanging="205"/>
        <w:spacing w:after="0" w:line="279" w:lineRule="auto"/>
        <w:tabs>
          <w:tab w:leader="none" w:pos="147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amounts shown in the table as salary compensation for Messrs. Graham and Nace and Mses. Ruf and Samford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 As an employee of Contran, Mr. Graham is not eligible to receive cash or stock compensation for service as one of our directors.</w:t>
      </w:r>
    </w:p>
    <w:p>
      <w:pPr>
        <w:sectPr>
          <w:pgSz w:w="11900" w:h="16838" w:orient="portrait"/>
          <w:cols w:equalWidth="0" w:num="1">
            <w:col w:w="11340"/>
          </w:cols>
          <w:pgMar w:left="320" w:top="564" w:right="239" w:bottom="1440" w:gutter="0" w:footer="0" w:header="0"/>
        </w:sectPr>
      </w:pPr>
    </w:p>
    <w:p>
      <w:pPr>
        <w:spacing w:after="0" w:line="231" w:lineRule="exact"/>
        <w:rPr>
          <w:sz w:val="20"/>
          <w:szCs w:val="20"/>
          <w:color w:val="auto"/>
        </w:rPr>
      </w:pPr>
    </w:p>
    <w:p>
      <w:pPr>
        <w:jc w:val="center"/>
        <w:ind w:left="620"/>
        <w:spacing w:after="0"/>
        <w:rPr>
          <w:sz w:val="20"/>
          <w:szCs w:val="20"/>
          <w:color w:val="auto"/>
        </w:rPr>
      </w:pPr>
      <w:r>
        <w:rPr>
          <w:rFonts w:ascii="Arial" w:cs="Arial" w:eastAsia="Arial" w:hAnsi="Arial"/>
          <w:sz w:val="13"/>
          <w:szCs w:val="13"/>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361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564" w:right="239" w:bottom="1440" w:gutter="0" w:footer="0" w:header="0"/>
          <w:type w:val="continuous"/>
        </w:sectPr>
      </w:pPr>
    </w:p>
    <w:bookmarkStart w:id="26" w:name="page27"/>
    <w:bookmarkEnd w:id="26"/>
    <w:p>
      <w:pPr>
        <w:ind w:left="840" w:right="400" w:hanging="205"/>
        <w:spacing w:after="0" w:line="323" w:lineRule="auto"/>
        <w:tabs>
          <w:tab w:leader="none" w:pos="147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other compensation for Mr. James for each of the last three years consisted of our matching contributions to his account under our 401(k) Plan and our contributions to his account under the CompX Capital Accumulation Plan, a defined contribution plan, as follows: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80" w:type="dxa"/>
            <w:vAlign w:val="bottom"/>
          </w:tcPr>
          <w:p>
            <w:pPr>
              <w:jc w:val="center"/>
              <w:ind w:right="412"/>
              <w:spacing w:after="0"/>
              <w:rPr>
                <w:sz w:val="20"/>
                <w:szCs w:val="20"/>
                <w:color w:val="auto"/>
              </w:rPr>
            </w:pPr>
            <w:r>
              <w:rPr>
                <w:rFonts w:ascii="Arial" w:cs="Arial" w:eastAsia="Arial" w:hAnsi="Arial"/>
                <w:sz w:val="18"/>
                <w:szCs w:val="18"/>
                <w:color w:val="auto"/>
                <w:w w:val="92"/>
              </w:rPr>
              <w:t>Employer’s</w:t>
            </w:r>
          </w:p>
        </w:tc>
        <w:tc>
          <w:tcPr>
            <w:tcW w:w="2440" w:type="dxa"/>
            <w:vAlign w:val="bottom"/>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3440" w:type="dxa"/>
            <w:vAlign w:val="bottom"/>
          </w:tcPr>
          <w:p>
            <w:pPr>
              <w:jc w:val="right"/>
              <w:ind w:right="252"/>
              <w:spacing w:after="0"/>
              <w:rPr>
                <w:sz w:val="20"/>
                <w:szCs w:val="20"/>
                <w:color w:val="auto"/>
              </w:rPr>
            </w:pPr>
            <w:r>
              <w:rPr>
                <w:rFonts w:ascii="Arial" w:cs="Arial" w:eastAsia="Arial" w:hAnsi="Arial"/>
                <w:sz w:val="18"/>
                <w:szCs w:val="18"/>
                <w:color w:val="auto"/>
              </w:rPr>
              <w:t>Employer’s 401(k) Plan Matching</w:t>
            </w:r>
          </w:p>
        </w:tc>
        <w:tc>
          <w:tcPr>
            <w:tcW w:w="3080" w:type="dxa"/>
            <w:vAlign w:val="bottom"/>
          </w:tcPr>
          <w:p>
            <w:pPr>
              <w:jc w:val="center"/>
              <w:ind w:right="412"/>
              <w:spacing w:after="0"/>
              <w:rPr>
                <w:sz w:val="20"/>
                <w:szCs w:val="20"/>
                <w:color w:val="auto"/>
              </w:rPr>
            </w:pPr>
            <w:r>
              <w:rPr>
                <w:rFonts w:ascii="Arial" w:cs="Arial" w:eastAsia="Arial" w:hAnsi="Arial"/>
                <w:sz w:val="18"/>
                <w:szCs w:val="18"/>
                <w:color w:val="auto"/>
                <w:w w:val="90"/>
              </w:rPr>
              <w:t>Capital Accumulation Plan</w:t>
            </w:r>
          </w:p>
        </w:tc>
        <w:tc>
          <w:tcPr>
            <w:tcW w:w="2440" w:type="dxa"/>
            <w:vAlign w:val="bottom"/>
          </w:tcPr>
          <w:p>
            <w:pPr>
              <w:spacing w:after="0"/>
              <w:rPr>
                <w:sz w:val="18"/>
                <w:szCs w:val="18"/>
                <w:color w:val="auto"/>
              </w:rPr>
            </w:pPr>
          </w:p>
        </w:tc>
      </w:tr>
      <w:tr>
        <w:trPr>
          <w:trHeight w:val="229"/>
        </w:trPr>
        <w:tc>
          <w:tcPr>
            <w:tcW w:w="22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Year</w:t>
            </w:r>
          </w:p>
        </w:tc>
        <w:tc>
          <w:tcPr>
            <w:tcW w:w="344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Contributions</w:t>
            </w:r>
          </w:p>
        </w:tc>
        <w:tc>
          <w:tcPr>
            <w:tcW w:w="3080" w:type="dxa"/>
            <w:vAlign w:val="bottom"/>
            <w:tcBorders>
              <w:bottom w:val="single" w:sz="8" w:color="auto"/>
            </w:tcBorders>
          </w:tcPr>
          <w:p>
            <w:pPr>
              <w:jc w:val="center"/>
              <w:ind w:right="412"/>
              <w:spacing w:after="0"/>
              <w:rPr>
                <w:sz w:val="20"/>
                <w:szCs w:val="20"/>
                <w:color w:val="auto"/>
              </w:rPr>
            </w:pPr>
            <w:r>
              <w:rPr>
                <w:rFonts w:ascii="Arial" w:cs="Arial" w:eastAsia="Arial" w:hAnsi="Arial"/>
                <w:sz w:val="18"/>
                <w:szCs w:val="18"/>
                <w:color w:val="auto"/>
                <w:w w:val="92"/>
              </w:rPr>
              <w:t>Contributions</w:t>
            </w:r>
          </w:p>
        </w:tc>
        <w:tc>
          <w:tcPr>
            <w:tcW w:w="2440" w:type="dxa"/>
            <w:vAlign w:val="bottom"/>
            <w:tcBorders>
              <w:bottom w:val="single" w:sz="8" w:color="auto"/>
            </w:tcBorders>
          </w:tcPr>
          <w:p>
            <w:pPr>
              <w:jc w:val="right"/>
              <w:ind w:right="1132"/>
              <w:spacing w:after="0"/>
              <w:rPr>
                <w:sz w:val="20"/>
                <w:szCs w:val="20"/>
                <w:color w:val="auto"/>
              </w:rPr>
            </w:pPr>
            <w:r>
              <w:rPr>
                <w:rFonts w:ascii="Arial" w:cs="Arial" w:eastAsia="Arial" w:hAnsi="Arial"/>
                <w:sz w:val="18"/>
                <w:szCs w:val="18"/>
                <w:color w:val="auto"/>
              </w:rPr>
              <w:t>Total</w:t>
            </w:r>
          </w:p>
        </w:tc>
      </w:tr>
      <w:tr>
        <w:trPr>
          <w:trHeight w:val="210"/>
        </w:trPr>
        <w:tc>
          <w:tcPr>
            <w:tcW w:w="2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0"/>
        </w:trPr>
        <w:tc>
          <w:tcPr>
            <w:tcW w:w="22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2020</w:t>
            </w:r>
          </w:p>
        </w:tc>
        <w:tc>
          <w:tcPr>
            <w:tcW w:w="34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$17,100</w:t>
            </w:r>
          </w:p>
        </w:tc>
        <w:tc>
          <w:tcPr>
            <w:tcW w:w="3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$15,732</w:t>
            </w:r>
          </w:p>
        </w:tc>
        <w:tc>
          <w:tcPr>
            <w:tcW w:w="2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$32,832</w:t>
            </w:r>
          </w:p>
        </w:tc>
      </w:tr>
      <w:tr>
        <w:trPr>
          <w:trHeight w:val="210"/>
        </w:trPr>
        <w:tc>
          <w:tcPr>
            <w:tcW w:w="2280" w:type="dxa"/>
            <w:vAlign w:val="bottom"/>
          </w:tcPr>
          <w:p>
            <w:pPr>
              <w:ind w:left="1220"/>
              <w:spacing w:after="0"/>
              <w:rPr>
                <w:sz w:val="20"/>
                <w:szCs w:val="20"/>
                <w:color w:val="auto"/>
              </w:rPr>
            </w:pPr>
            <w:r>
              <w:rPr>
                <w:rFonts w:ascii="Arial" w:cs="Arial" w:eastAsia="Arial" w:hAnsi="Arial"/>
                <w:sz w:val="18"/>
                <w:szCs w:val="18"/>
                <w:color w:val="auto"/>
              </w:rPr>
              <w:t>2019</w:t>
            </w:r>
          </w:p>
        </w:tc>
        <w:tc>
          <w:tcPr>
            <w:tcW w:w="3440" w:type="dxa"/>
            <w:vAlign w:val="bottom"/>
          </w:tcPr>
          <w:p>
            <w:pPr>
              <w:jc w:val="right"/>
              <w:ind w:right="572"/>
              <w:spacing w:after="0"/>
              <w:rPr>
                <w:sz w:val="20"/>
                <w:szCs w:val="20"/>
                <w:color w:val="auto"/>
              </w:rPr>
            </w:pPr>
            <w:r>
              <w:rPr>
                <w:rFonts w:ascii="Arial" w:cs="Arial" w:eastAsia="Arial" w:hAnsi="Arial"/>
                <w:sz w:val="18"/>
                <w:szCs w:val="18"/>
                <w:color w:val="auto"/>
              </w:rPr>
              <w:t>16,800</w:t>
            </w:r>
          </w:p>
        </w:tc>
        <w:tc>
          <w:tcPr>
            <w:tcW w:w="3080" w:type="dxa"/>
            <w:vAlign w:val="bottom"/>
          </w:tcPr>
          <w:p>
            <w:pPr>
              <w:jc w:val="right"/>
              <w:ind w:right="872"/>
              <w:spacing w:after="0"/>
              <w:rPr>
                <w:sz w:val="20"/>
                <w:szCs w:val="20"/>
                <w:color w:val="auto"/>
              </w:rPr>
            </w:pPr>
            <w:r>
              <w:rPr>
                <w:rFonts w:ascii="Arial" w:cs="Arial" w:eastAsia="Arial" w:hAnsi="Arial"/>
                <w:sz w:val="18"/>
                <w:szCs w:val="18"/>
                <w:color w:val="auto"/>
              </w:rPr>
              <w:t>23,719</w:t>
            </w:r>
          </w:p>
        </w:tc>
        <w:tc>
          <w:tcPr>
            <w:tcW w:w="2440" w:type="dxa"/>
            <w:vAlign w:val="bottom"/>
          </w:tcPr>
          <w:p>
            <w:pPr>
              <w:jc w:val="right"/>
              <w:ind w:right="452"/>
              <w:spacing w:after="0"/>
              <w:rPr>
                <w:sz w:val="20"/>
                <w:szCs w:val="20"/>
                <w:color w:val="auto"/>
              </w:rPr>
            </w:pPr>
            <w:r>
              <w:rPr>
                <w:rFonts w:ascii="Arial" w:cs="Arial" w:eastAsia="Arial" w:hAnsi="Arial"/>
                <w:sz w:val="18"/>
                <w:szCs w:val="18"/>
                <w:color w:val="auto"/>
              </w:rPr>
              <w:t>40,519</w:t>
            </w:r>
          </w:p>
        </w:tc>
      </w:tr>
      <w:tr>
        <w:trPr>
          <w:trHeight w:val="210"/>
        </w:trPr>
        <w:tc>
          <w:tcPr>
            <w:tcW w:w="22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2018</w:t>
            </w:r>
          </w:p>
        </w:tc>
        <w:tc>
          <w:tcPr>
            <w:tcW w:w="34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16,500</w:t>
            </w:r>
          </w:p>
        </w:tc>
        <w:tc>
          <w:tcPr>
            <w:tcW w:w="30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23,738</w:t>
            </w:r>
          </w:p>
        </w:tc>
        <w:tc>
          <w:tcPr>
            <w:tcW w:w="24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40,238</w:t>
            </w:r>
          </w:p>
        </w:tc>
      </w:tr>
    </w:tbl>
    <w:p>
      <w:pPr>
        <w:spacing w:after="0" w:line="84" w:lineRule="exact"/>
        <w:rPr>
          <w:sz w:val="20"/>
          <w:szCs w:val="20"/>
          <w:color w:val="auto"/>
        </w:rPr>
      </w:pPr>
    </w:p>
    <w:p>
      <w:pPr>
        <w:ind w:left="640" w:right="340"/>
        <w:spacing w:after="0" w:line="260" w:lineRule="auto"/>
        <w:rPr>
          <w:sz w:val="20"/>
          <w:szCs w:val="20"/>
          <w:color w:val="auto"/>
        </w:rPr>
      </w:pPr>
      <w:r>
        <w:rPr>
          <w:rFonts w:ascii="Arial" w:cs="Arial" w:eastAsia="Arial" w:hAnsi="Arial"/>
          <w:sz w:val="21"/>
          <w:szCs w:val="21"/>
          <w:color w:val="auto"/>
        </w:rPr>
        <w:t>See the discussion of our retirement plan contributions in the Compensation Discussion and Analysis section of this proxy statement.</w:t>
      </w:r>
    </w:p>
    <w:p>
      <w:pPr>
        <w:spacing w:after="0" w:line="159" w:lineRule="exact"/>
        <w:rPr>
          <w:sz w:val="20"/>
          <w:szCs w:val="20"/>
          <w:color w:val="auto"/>
        </w:rPr>
      </w:pPr>
    </w:p>
    <w:p>
      <w:pPr>
        <w:ind w:right="120" w:firstLine="630"/>
        <w:spacing w:after="0" w:line="260" w:lineRule="auto"/>
        <w:rPr>
          <w:sz w:val="20"/>
          <w:szCs w:val="20"/>
          <w:color w:val="auto"/>
        </w:rPr>
      </w:pPr>
      <w:r>
        <w:rPr>
          <w:rFonts w:ascii="Arial" w:cs="Arial" w:eastAsia="Arial" w:hAnsi="Arial"/>
          <w:sz w:val="21"/>
          <w:szCs w:val="21"/>
          <w:b w:val="1"/>
          <w:bCs w:val="1"/>
          <w:i w:val="1"/>
          <w:iCs w:val="1"/>
          <w:color w:val="auto"/>
        </w:rPr>
        <w:t>No Grants of Plan-Based Awards</w:t>
      </w:r>
      <w:r>
        <w:rPr>
          <w:rFonts w:ascii="Arial" w:cs="Arial" w:eastAsia="Arial" w:hAnsi="Arial"/>
          <w:sz w:val="21"/>
          <w:szCs w:val="21"/>
          <w:color w:val="auto"/>
        </w:rPr>
        <w:t>. During 2020, no named executive officer received any plan-based awards from us or our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subsidiaries.</w:t>
      </w:r>
    </w:p>
    <w:p>
      <w:pPr>
        <w:spacing w:after="0" w:line="159" w:lineRule="exact"/>
        <w:rPr>
          <w:sz w:val="20"/>
          <w:szCs w:val="20"/>
          <w:color w:val="auto"/>
        </w:rPr>
      </w:pPr>
    </w:p>
    <w:p>
      <w:pPr>
        <w:jc w:val="both"/>
        <w:ind w:right="200" w:firstLine="630"/>
        <w:spacing w:after="0" w:line="247" w:lineRule="auto"/>
        <w:rPr>
          <w:sz w:val="20"/>
          <w:szCs w:val="20"/>
          <w:color w:val="auto"/>
        </w:rPr>
      </w:pPr>
      <w:r>
        <w:rPr>
          <w:rFonts w:ascii="Arial" w:cs="Arial" w:eastAsia="Arial" w:hAnsi="Arial"/>
          <w:sz w:val="21"/>
          <w:szCs w:val="21"/>
          <w:b w:val="1"/>
          <w:bCs w:val="1"/>
          <w:i w:val="1"/>
          <w:iCs w:val="1"/>
          <w:color w:val="auto"/>
        </w:rPr>
        <w:t>No Outstanding Equity Awards at December 31, 2020</w:t>
      </w:r>
      <w:r>
        <w:rPr>
          <w:rFonts w:ascii="Arial" w:cs="Arial" w:eastAsia="Arial" w:hAnsi="Arial"/>
          <w:sz w:val="21"/>
          <w:szCs w:val="21"/>
          <w:color w:val="auto"/>
        </w:rPr>
        <w:t>. At December 31, 2020, none of our named executive officers held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outstanding stock options to purchase shares of our class A common stock (or common stock of our parent companies), or held any equity incentive awards for such shares.</w:t>
      </w:r>
    </w:p>
    <w:p>
      <w:pPr>
        <w:spacing w:after="0" w:line="173" w:lineRule="exact"/>
        <w:rPr>
          <w:sz w:val="20"/>
          <w:szCs w:val="20"/>
          <w:color w:val="auto"/>
        </w:rPr>
      </w:pPr>
    </w:p>
    <w:p>
      <w:pPr>
        <w:ind w:right="460" w:firstLine="630"/>
        <w:spacing w:after="0" w:line="260" w:lineRule="auto"/>
        <w:rPr>
          <w:sz w:val="20"/>
          <w:szCs w:val="20"/>
          <w:color w:val="auto"/>
        </w:rPr>
      </w:pPr>
      <w:r>
        <w:rPr>
          <w:rFonts w:ascii="Arial" w:cs="Arial" w:eastAsia="Arial" w:hAnsi="Arial"/>
          <w:sz w:val="21"/>
          <w:szCs w:val="21"/>
          <w:b w:val="1"/>
          <w:bCs w:val="1"/>
          <w:i w:val="1"/>
          <w:iCs w:val="1"/>
          <w:color w:val="auto"/>
        </w:rPr>
        <w:t>No Option Exercises or Stock Vested</w:t>
      </w:r>
      <w:r>
        <w:rPr>
          <w:rFonts w:ascii="Arial" w:cs="Arial" w:eastAsia="Arial" w:hAnsi="Arial"/>
          <w:sz w:val="21"/>
          <w:szCs w:val="21"/>
          <w:color w:val="auto"/>
        </w:rPr>
        <w:t>. During 2020, no named executive officer exercised any stock options or held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stock subject to vesting restrictions.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color w:val="auto"/>
        </w:rPr>
        <w:t>Pension Benefits</w:t>
      </w:r>
      <w:r>
        <w:rPr>
          <w:rFonts w:ascii="Arial" w:cs="Arial" w:eastAsia="Arial" w:hAnsi="Arial"/>
          <w:sz w:val="20"/>
          <w:szCs w:val="20"/>
          <w:color w:val="auto"/>
        </w:rPr>
        <w:t>. We do not have any defined benefit pension plans in which our named executive officers participate.</w:t>
      </w:r>
    </w:p>
    <w:p>
      <w:pPr>
        <w:spacing w:after="0" w:line="216" w:lineRule="exact"/>
        <w:rPr>
          <w:sz w:val="20"/>
          <w:szCs w:val="20"/>
          <w:color w:val="auto"/>
        </w:rPr>
      </w:pPr>
    </w:p>
    <w:p>
      <w:pPr>
        <w:ind w:right="460" w:firstLine="630"/>
        <w:spacing w:after="0" w:line="260" w:lineRule="auto"/>
        <w:rPr>
          <w:sz w:val="20"/>
          <w:szCs w:val="20"/>
          <w:color w:val="auto"/>
        </w:rPr>
      </w:pPr>
      <w:r>
        <w:rPr>
          <w:rFonts w:ascii="Arial" w:cs="Arial" w:eastAsia="Arial" w:hAnsi="Arial"/>
          <w:sz w:val="21"/>
          <w:szCs w:val="21"/>
          <w:b w:val="1"/>
          <w:bCs w:val="1"/>
          <w:i w:val="1"/>
          <w:iCs w:val="1"/>
          <w:color w:val="auto"/>
        </w:rPr>
        <w:t>Nonqualified Deferred Compensation</w:t>
      </w:r>
      <w:r>
        <w:rPr>
          <w:rFonts w:ascii="Arial" w:cs="Arial" w:eastAsia="Arial" w:hAnsi="Arial"/>
          <w:sz w:val="21"/>
          <w:szCs w:val="21"/>
          <w:color w:val="auto"/>
        </w:rPr>
        <w:t>. We do not owe any nonqualified deferred compensation to our named executive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officers.</w:t>
      </w:r>
    </w:p>
    <w:p>
      <w:pPr>
        <w:spacing w:after="0" w:line="159" w:lineRule="exact"/>
        <w:rPr>
          <w:sz w:val="20"/>
          <w:szCs w:val="20"/>
          <w:color w:val="auto"/>
        </w:rPr>
      </w:pPr>
    </w:p>
    <w:p>
      <w:pPr>
        <w:ind w:right="180" w:firstLine="630"/>
        <w:spacing w:after="0" w:line="272" w:lineRule="auto"/>
        <w:rPr>
          <w:sz w:val="20"/>
          <w:szCs w:val="20"/>
          <w:color w:val="auto"/>
        </w:rPr>
      </w:pPr>
      <w:r>
        <w:rPr>
          <w:rFonts w:ascii="Arial" w:cs="Arial" w:eastAsia="Arial" w:hAnsi="Arial"/>
          <w:sz w:val="19"/>
          <w:szCs w:val="19"/>
          <w:b w:val="1"/>
          <w:bCs w:val="1"/>
          <w:i w:val="1"/>
          <w:iCs w:val="1"/>
          <w:color w:val="auto"/>
        </w:rPr>
        <w:t>Pay Ratio Disclosure</w:t>
      </w:r>
      <w:r>
        <w:rPr>
          <w:rFonts w:ascii="Arial" w:cs="Arial" w:eastAsia="Arial" w:hAnsi="Arial"/>
          <w:sz w:val="19"/>
          <w:szCs w:val="19"/>
          <w:color w:val="auto"/>
        </w:rPr>
        <w:t>. SEC rules require annual disclosure of the ratio of a registrant’s median employee’s annual total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compensation to the total annual compensation of its chief executive officer. For 2020, the total annual compensation (as disclosed in the 2020 Summary Compensation Table) of Scott C. James, our chief executive officer, is $1,082,190; the reasonable estimate of the median of the annual total compensation of all of our employees except our chief executive officer, calculated in a manner consistent with Item 402(u) of Regulation S-K, is $53,904; and the ratio of such two amounts is 20 to 1.</w:t>
      </w:r>
    </w:p>
    <w:p>
      <w:pPr>
        <w:spacing w:after="0" w:line="154" w:lineRule="exact"/>
        <w:rPr>
          <w:sz w:val="20"/>
          <w:szCs w:val="20"/>
          <w:color w:val="auto"/>
        </w:rPr>
      </w:pPr>
    </w:p>
    <w:p>
      <w:pPr>
        <w:ind w:right="60" w:firstLine="630"/>
        <w:spacing w:after="0" w:line="239" w:lineRule="auto"/>
        <w:rPr>
          <w:sz w:val="20"/>
          <w:szCs w:val="20"/>
          <w:color w:val="auto"/>
        </w:rPr>
      </w:pPr>
      <w:r>
        <w:rPr>
          <w:rFonts w:ascii="Arial" w:cs="Arial" w:eastAsia="Arial" w:hAnsi="Arial"/>
          <w:sz w:val="21"/>
          <w:szCs w:val="21"/>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2020. Based on such random sample of our employees, and using the 2020 base salary (or equivalent for hourly employees) for each employee in such random sample as reflected in our payroll records, the median employee was estimated by determining the employee in such random sample who had the median 2020 base salary (or equivalent for hourly employees). Base salary (or equivalent) amounts were annualized for any employee who had less than a full year of service during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7" w:name="page28"/>
    <w:bookmarkEnd w:id="27"/>
    <w:p>
      <w:pPr>
        <w:ind w:right="20" w:firstLine="630"/>
        <w:spacing w:after="0" w:line="313" w:lineRule="auto"/>
        <w:rPr>
          <w:sz w:val="20"/>
          <w:szCs w:val="20"/>
          <w:color w:val="auto"/>
        </w:rPr>
      </w:pPr>
      <w:r>
        <w:rPr>
          <w:rFonts w:ascii="Arial" w:cs="Arial" w:eastAsia="Arial" w:hAnsi="Arial"/>
          <w:sz w:val="19"/>
          <w:szCs w:val="19"/>
          <w:b w:val="1"/>
          <w:bCs w:val="1"/>
          <w:i w:val="1"/>
          <w:iCs w:val="1"/>
          <w:color w:val="auto"/>
        </w:rPr>
        <w:t>Director Compensation</w:t>
      </w:r>
      <w:r>
        <w:rPr>
          <w:rFonts w:ascii="Arial" w:cs="Arial" w:eastAsia="Arial" w:hAnsi="Arial"/>
          <w:sz w:val="19"/>
          <w:szCs w:val="19"/>
          <w:color w:val="auto"/>
        </w:rPr>
        <w:t>. Our directors who are not employees of Contran or one of its subsidiaries or affiliates (including 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eligible to receive compensation for service as directors. The table below reflects the annual rates of their retainers for 2020.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2020 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Retainers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Each director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Chair of the board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6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Chairman of our audit committee and any member of our audit committee whom the board identified as an “audit committee financial</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expert” (provided that if one person served in both capacities only one such retainer was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members of our audit committee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Members of our other committees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360"/>
        <w:spacing w:after="0" w:line="239" w:lineRule="auto"/>
        <w:rPr>
          <w:sz w:val="20"/>
          <w:szCs w:val="20"/>
          <w:color w:val="auto"/>
        </w:rPr>
      </w:pPr>
      <w:r>
        <w:rPr>
          <w:rFonts w:ascii="Arial" w:cs="Arial" w:eastAsia="Arial" w:hAnsi="Arial"/>
          <w:sz w:val="21"/>
          <w:szCs w:val="21"/>
          <w:color w:val="auto"/>
        </w:rPr>
        <w:t>Additionally, our eligible directors receive a fee of $1,000 per day for attendance at meetings of the board of directors or its committees and an hourly rate (not to exceed $1,000 per day) for other services rendered on behalf of our board of directors or its committees. If an eligible director dies while serving on our board of directors, his or her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85" w:lineRule="exact"/>
        <w:rPr>
          <w:sz w:val="20"/>
          <w:szCs w:val="20"/>
          <w:color w:val="auto"/>
        </w:rPr>
      </w:pPr>
    </w:p>
    <w:p>
      <w:pPr>
        <w:ind w:right="20" w:firstLine="630"/>
        <w:spacing w:after="0" w:line="291" w:lineRule="auto"/>
        <w:rPr>
          <w:sz w:val="20"/>
          <w:szCs w:val="20"/>
          <w:color w:val="auto"/>
        </w:rPr>
      </w:pPr>
      <w:r>
        <w:rPr>
          <w:rFonts w:ascii="Arial" w:cs="Arial" w:eastAsia="Arial" w:hAnsi="Arial"/>
          <w:sz w:val="18"/>
          <w:szCs w:val="18"/>
          <w:color w:val="auto"/>
        </w:rPr>
        <w:t>As preapproved by our management development and compensation committee, on the day of each of our annual stockholder meetings, each of our eligible directors elected on that day receives a grant of shares of our common stock under our 2012 Director Stock Plan, with the number of shares received by each eligible director equal in value to $20,000 (rounded up or down to the nearest 50 shares), based on the closing price of a share of our common stock on the date of grant, but not more than 10,000 shares. These shares are fully vested and tradable immediately on their date of grant, other than restrictions under applicable securities laws.</w:t>
      </w:r>
    </w:p>
    <w:p>
      <w:pPr>
        <w:spacing w:after="0" w:line="137" w:lineRule="exact"/>
        <w:rPr>
          <w:sz w:val="20"/>
          <w:szCs w:val="20"/>
          <w:color w:val="auto"/>
        </w:rPr>
      </w:pPr>
    </w:p>
    <w:p>
      <w:pPr>
        <w:ind w:firstLine="630"/>
        <w:spacing w:after="0" w:line="239" w:lineRule="auto"/>
        <w:rPr>
          <w:sz w:val="20"/>
          <w:szCs w:val="20"/>
          <w:color w:val="auto"/>
        </w:rPr>
      </w:pPr>
      <w:r>
        <w:rPr>
          <w:rFonts w:ascii="Arial" w:cs="Arial" w:eastAsia="Arial" w:hAnsi="Arial"/>
          <w:sz w:val="21"/>
          <w:szCs w:val="21"/>
          <w:color w:val="auto"/>
        </w:rPr>
        <w:t>In 2019, we amended our corporate governance guidelines to add stock ownership guidelines for our non-employee directors (that is, directors who are not employed by us or one of our affiliates). Subject to a phase in period, non-employee directors are required to hold a number of shares of our common stock, including shares owned by their immediate family members residing in the same household, having a value of at least three times our base annual cash retainer for service as a director. Prior to meeting the minimum threshold, shares of our common stock acquired as part of the annual stock awards grant to non-employee directors may not be sold.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8" w:name="page29"/>
    <w:bookmarkEnd w:id="28"/>
    <w:p>
      <w:pPr>
        <w:ind w:right="340" w:firstLine="630"/>
        <w:spacing w:after="0" w:line="260" w:lineRule="auto"/>
        <w:rPr>
          <w:sz w:val="20"/>
          <w:szCs w:val="20"/>
          <w:color w:val="auto"/>
        </w:rPr>
      </w:pPr>
      <w:r>
        <w:rPr>
          <w:rFonts w:ascii="Arial" w:cs="Arial" w:eastAsia="Arial" w:hAnsi="Arial"/>
          <w:sz w:val="21"/>
          <w:szCs w:val="21"/>
          <w:color w:val="auto"/>
        </w:rPr>
        <w:t>The following table provides information with respect to compensation each of our eligible directors earned for their 2020 director services provided to 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2020 DIRECTOR COMPENSATION </w:t>
      </w:r>
      <w:r>
        <w:rPr>
          <w:rFonts w:ascii="Arial" w:cs="Arial" w:eastAsia="Arial" w:hAnsi="Arial"/>
          <w:sz w:val="21"/>
          <w:szCs w:val="21"/>
          <w:color w:val="auto"/>
        </w:rPr>
        <w:t>(1)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6"/>
              </w:rPr>
              <w:t>Fees Earned or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vMerge w:val="restart"/>
          </w:tcPr>
          <w:p>
            <w:pPr>
              <w:ind w:left="336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Paid in Cash</w:t>
            </w:r>
          </w:p>
        </w:tc>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Stock Awards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David A. Bowers</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Terri L. Herrington</w:t>
            </w: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Ann Manix</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Mary A. Tidlund</w:t>
            </w:r>
          </w:p>
        </w:tc>
        <w:tc>
          <w:tcPr>
            <w:tcW w:w="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267335</wp:posOffset>
            </wp:positionV>
            <wp:extent cx="19672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40" w:hanging="635"/>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13" w:lineRule="exact"/>
        <w:rPr>
          <w:rFonts w:ascii="Arial" w:cs="Arial" w:eastAsia="Arial" w:hAnsi="Arial"/>
          <w:sz w:val="18"/>
          <w:szCs w:val="18"/>
          <w:color w:val="auto"/>
        </w:rPr>
      </w:pPr>
    </w:p>
    <w:p>
      <w:pPr>
        <w:ind w:left="640" w:hanging="635"/>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cash retainers and meeting fees the director earned for director services he or she provided to us in 2020.</w:t>
      </w:r>
    </w:p>
    <w:p>
      <w:pPr>
        <w:spacing w:after="0" w:line="213" w:lineRule="exact"/>
        <w:rPr>
          <w:rFonts w:ascii="Arial" w:cs="Arial" w:eastAsia="Arial" w:hAnsi="Arial"/>
          <w:sz w:val="18"/>
          <w:szCs w:val="18"/>
          <w:color w:val="auto"/>
        </w:rPr>
      </w:pPr>
    </w:p>
    <w:p>
      <w:pPr>
        <w:jc w:val="both"/>
        <w:ind w:left="640" w:hanging="635"/>
        <w:spacing w:after="0" w:line="252"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value of 1,350 shares of our class A common stock we granted to each of the eligible directors on May 27, 2020. For the purposes of this table, we valued these stock awards at the $14.62 closing price per share of such shares on their date of grant, consistent with the requirements of Financial Accounting Standards Board Accounting Standards Codification Topic 718.</w:t>
      </w:r>
    </w:p>
    <w:p>
      <w:pPr>
        <w:spacing w:after="0" w:line="284" w:lineRule="exact"/>
        <w:rPr>
          <w:sz w:val="20"/>
          <w:szCs w:val="20"/>
          <w:color w:val="auto"/>
        </w:rPr>
      </w:pPr>
    </w:p>
    <w:p>
      <w:pPr>
        <w:ind w:right="40" w:firstLine="630"/>
        <w:spacing w:after="0" w:line="247" w:lineRule="auto"/>
        <w:rPr>
          <w:sz w:val="20"/>
          <w:szCs w:val="20"/>
          <w:color w:val="auto"/>
        </w:rPr>
      </w:pPr>
      <w:r>
        <w:rPr>
          <w:rFonts w:ascii="Arial" w:cs="Arial" w:eastAsia="Arial" w:hAnsi="Arial"/>
          <w:sz w:val="21"/>
          <w:szCs w:val="21"/>
          <w:b w:val="1"/>
          <w:bCs w:val="1"/>
          <w:i w:val="1"/>
          <w:iCs w:val="1"/>
          <w:color w:val="auto"/>
        </w:rPr>
        <w:t>Compensation Policies and Practices as They Relate to Risk Management</w:t>
      </w:r>
      <w:r>
        <w:rPr>
          <w:rFonts w:ascii="Arial" w:cs="Arial" w:eastAsia="Arial" w:hAnsi="Arial"/>
          <w:sz w:val="21"/>
          <w:szCs w:val="21"/>
          <w:color w:val="auto"/>
        </w:rPr>
        <w:t>. We believe that the risks arising from our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compensation policies and practices are not reasonably likely to have a material adverse effect on us. In reaching this conclusion, we considered the following:</w:t>
      </w:r>
    </w:p>
    <w:p>
      <w:pPr>
        <w:spacing w:after="0" w:line="182" w:lineRule="exact"/>
        <w:rPr>
          <w:sz w:val="20"/>
          <w:szCs w:val="20"/>
          <w:color w:val="auto"/>
        </w:rPr>
      </w:pPr>
    </w:p>
    <w:p>
      <w:pPr>
        <w:ind w:left="1260" w:right="400" w:hanging="625"/>
        <w:spacing w:after="0" w:line="323" w:lineRule="auto"/>
        <w:tabs>
          <w:tab w:leader="none" w:pos="12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344" w:lineRule="exact"/>
        <w:rPr>
          <w:rFonts w:ascii="Arial" w:cs="Arial" w:eastAsia="Arial" w:hAnsi="Arial"/>
          <w:sz w:val="16"/>
          <w:szCs w:val="16"/>
          <w:color w:val="auto"/>
        </w:rPr>
      </w:pPr>
    </w:p>
    <w:p>
      <w:pPr>
        <w:ind w:left="1260" w:right="20" w:hanging="625"/>
        <w:spacing w:after="0" w:line="252" w:lineRule="auto"/>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p>
    <w:p>
      <w:pPr>
        <w:spacing w:after="0" w:line="398" w:lineRule="exact"/>
        <w:rPr>
          <w:rFonts w:ascii="Arial" w:cs="Arial" w:eastAsia="Arial" w:hAnsi="Arial"/>
          <w:sz w:val="18"/>
          <w:szCs w:val="18"/>
          <w:color w:val="auto"/>
        </w:rPr>
      </w:pPr>
    </w:p>
    <w:p>
      <w:pPr>
        <w:ind w:left="1260" w:right="100" w:hanging="625"/>
        <w:spacing w:after="0" w:line="252" w:lineRule="auto"/>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398" w:lineRule="exact"/>
        <w:rPr>
          <w:rFonts w:ascii="Arial" w:cs="Arial" w:eastAsia="Arial" w:hAnsi="Arial"/>
          <w:sz w:val="18"/>
          <w:szCs w:val="18"/>
          <w:color w:val="auto"/>
        </w:rPr>
      </w:pPr>
    </w:p>
    <w:p>
      <w:pPr>
        <w:ind w:left="1900" w:right="360" w:hanging="630"/>
        <w:spacing w:after="0" w:line="323"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executive officers, who are responsible for establishing and executing such business plan, are not eligible to receive bonuses based on the business plan, but instead are only eligible for the discretionary-based bonuses described above; and</w:t>
      </w:r>
    </w:p>
    <w:p>
      <w:pPr>
        <w:spacing w:after="0" w:line="344" w:lineRule="exact"/>
        <w:rPr>
          <w:rFonts w:ascii="Arial" w:cs="Arial" w:eastAsia="Arial" w:hAnsi="Arial"/>
          <w:sz w:val="18"/>
          <w:szCs w:val="18"/>
          <w:color w:val="auto"/>
        </w:rPr>
      </w:pPr>
    </w:p>
    <w:p>
      <w:pPr>
        <w:ind w:left="1900" w:right="340" w:hanging="630"/>
        <w:spacing w:after="0" w:line="260" w:lineRule="auto"/>
        <w:rPr>
          <w:rFonts w:ascii="Arial" w:cs="Arial" w:eastAsia="Arial" w:hAnsi="Arial"/>
          <w:sz w:val="18"/>
          <w:szCs w:val="18"/>
          <w:color w:val="auto"/>
        </w:rPr>
      </w:pPr>
      <w:r>
        <w:rPr>
          <w:rFonts w:ascii="Arial" w:cs="Arial" w:eastAsia="Arial" w:hAnsi="Arial"/>
          <w:sz w:val="18"/>
          <w:szCs w:val="18"/>
          <w:color w:val="auto"/>
        </w:rPr>
        <w:t>othere exist ceilings for our other key employee bonuses (which are not a significant part of their compensation) regardless of the actual level of our financial performance achieved;</w:t>
      </w:r>
    </w:p>
    <w:p>
      <w:pPr>
        <w:spacing w:after="0" w:line="385" w:lineRule="exact"/>
        <w:rPr>
          <w:rFonts w:ascii="Arial" w:cs="Arial" w:eastAsia="Arial" w:hAnsi="Arial"/>
          <w:sz w:val="18"/>
          <w:szCs w:val="18"/>
          <w:color w:val="auto"/>
        </w:rPr>
      </w:pPr>
    </w:p>
    <w:p>
      <w:pPr>
        <w:ind w:left="5560" w:hanging="88"/>
        <w:spacing w:after="0"/>
        <w:tabs>
          <w:tab w:leader="none" w:pos="5560" w:val="left"/>
        </w:tabs>
        <w:numPr>
          <w:ilvl w:val="1"/>
          <w:numId w:val="69"/>
        </w:numPr>
        <w:rPr>
          <w:rFonts w:ascii="Arial" w:cs="Arial" w:eastAsia="Arial" w:hAnsi="Arial"/>
          <w:sz w:val="14"/>
          <w:szCs w:val="14"/>
          <w:color w:val="auto"/>
        </w:rPr>
      </w:pPr>
      <w:r>
        <w:rPr>
          <w:rFonts w:ascii="Arial" w:cs="Arial" w:eastAsia="Arial" w:hAnsi="Arial"/>
          <w:sz w:val="14"/>
          <w:szCs w:val="14"/>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9" w:name="page30"/>
    <w:bookmarkEnd w:id="29"/>
    <w:p>
      <w:pPr>
        <w:ind w:left="1260" w:hanging="625"/>
        <w:spacing w:after="0" w:line="361" w:lineRule="auto"/>
        <w:tabs>
          <w:tab w:leader="none" w:pos="12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p>
    <w:p>
      <w:pPr>
        <w:spacing w:after="0" w:line="321" w:lineRule="exact"/>
        <w:rPr>
          <w:rFonts w:ascii="Arial" w:cs="Arial" w:eastAsia="Arial" w:hAnsi="Arial"/>
          <w:sz w:val="15"/>
          <w:szCs w:val="15"/>
          <w:color w:val="auto"/>
        </w:rPr>
      </w:pPr>
    </w:p>
    <w:p>
      <w:pPr>
        <w:ind w:left="1260" w:right="180" w:hanging="625"/>
        <w:spacing w:after="0" w:line="260" w:lineRule="auto"/>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since we are a controlled company, as previously discussed, management has a strong incentive to understand and perform in the long-term interests of our stockholders; and</w:t>
      </w:r>
    </w:p>
    <w:p>
      <w:pPr>
        <w:spacing w:after="0" w:line="391" w:lineRule="exact"/>
        <w:rPr>
          <w:rFonts w:ascii="Arial" w:cs="Arial" w:eastAsia="Arial" w:hAnsi="Arial"/>
          <w:sz w:val="18"/>
          <w:szCs w:val="18"/>
          <w:color w:val="auto"/>
        </w:rPr>
      </w:pPr>
    </w:p>
    <w:p>
      <w:pPr>
        <w:ind w:left="1260" w:right="360" w:hanging="625"/>
        <w:spacing w:after="0" w:line="260" w:lineRule="auto"/>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experience is that our employees are appropriately motivated by our compensation policies and practices to achieve profits and other business objectives in compliance with our oversight of material short and long-term risks.</w:t>
      </w:r>
    </w:p>
    <w:p>
      <w:pPr>
        <w:spacing w:after="0" w:line="383" w:lineRule="exact"/>
        <w:rPr>
          <w:sz w:val="20"/>
          <w:szCs w:val="20"/>
          <w:color w:val="auto"/>
        </w:rPr>
      </w:pPr>
    </w:p>
    <w:p>
      <w:pPr>
        <w:ind w:right="160"/>
        <w:spacing w:after="0" w:line="260" w:lineRule="auto"/>
        <w:rPr>
          <w:sz w:val="20"/>
          <w:szCs w:val="20"/>
          <w:color w:val="auto"/>
        </w:rPr>
      </w:pPr>
      <w:r>
        <w:rPr>
          <w:rFonts w:ascii="Arial" w:cs="Arial" w:eastAsia="Arial" w:hAnsi="Arial"/>
          <w:sz w:val="21"/>
          <w:szCs w:val="21"/>
          <w:color w:val="auto"/>
        </w:rPr>
        <w:t>For a discussion of our compensation policies and practices for our executive officers, please see the Compensation Discussion and Analysis section of this proxy statement.</w:t>
      </w:r>
    </w:p>
    <w:p>
      <w:pPr>
        <w:spacing w:after="0" w:line="159" w:lineRule="exact"/>
        <w:rPr>
          <w:sz w:val="20"/>
          <w:szCs w:val="20"/>
          <w:color w:val="auto"/>
        </w:rPr>
      </w:pPr>
    </w:p>
    <w:p>
      <w:pPr>
        <w:ind w:right="400" w:firstLine="630"/>
        <w:spacing w:after="0" w:line="260" w:lineRule="auto"/>
        <w:rPr>
          <w:sz w:val="20"/>
          <w:szCs w:val="20"/>
          <w:color w:val="auto"/>
        </w:rPr>
      </w:pPr>
      <w:r>
        <w:rPr>
          <w:rFonts w:ascii="Arial" w:cs="Arial" w:eastAsia="Arial" w:hAnsi="Arial"/>
          <w:sz w:val="21"/>
          <w:szCs w:val="21"/>
          <w:b w:val="1"/>
          <w:bCs w:val="1"/>
          <w:i w:val="1"/>
          <w:iCs w:val="1"/>
          <w:color w:val="auto"/>
        </w:rPr>
        <w:t>Compensation Consultants</w:t>
      </w:r>
      <w:r>
        <w:rPr>
          <w:rFonts w:ascii="Arial" w:cs="Arial" w:eastAsia="Arial" w:hAnsi="Arial"/>
          <w:sz w:val="21"/>
          <w:szCs w:val="21"/>
          <w:color w:val="auto"/>
        </w:rPr>
        <w:t>. Neither our board of directors, management development and compensation committee nor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management has engaged any compensation consultants.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SECTION 16(a) BENEFICIAL OWNERSHIP REPORTING COMPLIANCE</w:t>
      </w:r>
    </w:p>
    <w:p>
      <w:pPr>
        <w:spacing w:after="0" w:line="211" w:lineRule="exact"/>
        <w:rPr>
          <w:sz w:val="20"/>
          <w:szCs w:val="20"/>
          <w:color w:val="auto"/>
        </w:rPr>
      </w:pPr>
    </w:p>
    <w:p>
      <w:pPr>
        <w:ind w:right="120" w:firstLine="630"/>
        <w:spacing w:after="0" w:line="277" w:lineRule="auto"/>
        <w:rPr>
          <w:sz w:val="20"/>
          <w:szCs w:val="20"/>
          <w:color w:val="auto"/>
        </w:rPr>
      </w:pPr>
      <w:r>
        <w:rPr>
          <w:rFonts w:ascii="Arial" w:cs="Arial" w:eastAsia="Arial" w:hAnsi="Arial"/>
          <w:sz w:val="19"/>
          <w:szCs w:val="19"/>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2020 our executive officers, directors and 10% stockholders complied with all applicable filing requirements under section 16(a).</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810" w:right="3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1"/>
          <w:szCs w:val="21"/>
          <w:b w:val="1"/>
          <w:bCs w:val="1"/>
          <w:color w:val="auto"/>
        </w:rPr>
        <w:t>CERTAIN RELATIONSHIPS AND TRANSACTIONS</w:t>
      </w:r>
    </w:p>
    <w:p>
      <w:pPr>
        <w:spacing w:after="0" w:line="211" w:lineRule="exact"/>
        <w:rPr>
          <w:sz w:val="20"/>
          <w:szCs w:val="20"/>
          <w:color w:val="auto"/>
        </w:rPr>
      </w:pPr>
    </w:p>
    <w:p>
      <w:pPr>
        <w:ind w:firstLine="630"/>
        <w:spacing w:after="0" w:line="268" w:lineRule="auto"/>
        <w:rPr>
          <w:sz w:val="20"/>
          <w:szCs w:val="20"/>
          <w:color w:val="auto"/>
        </w:rPr>
      </w:pPr>
      <w:r>
        <w:rPr>
          <w:rFonts w:ascii="Arial" w:cs="Arial" w:eastAsia="Arial" w:hAnsi="Arial"/>
          <w:sz w:val="19"/>
          <w:szCs w:val="19"/>
          <w:b w:val="1"/>
          <w:bCs w:val="1"/>
          <w:i w:val="1"/>
          <w:iCs w:val="1"/>
          <w:color w:val="auto"/>
        </w:rPr>
        <w:t>Related Party Transaction Policy</w:t>
      </w:r>
      <w:r>
        <w:rPr>
          <w:rFonts w:ascii="Arial" w:cs="Arial" w:eastAsia="Arial" w:hAnsi="Arial"/>
          <w:sz w:val="19"/>
          <w:szCs w:val="19"/>
          <w:color w:val="auto"/>
        </w:rPr>
        <w:t>. From time to time, we engage in transactions with affiliated companies. Pursuant to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Policy Regarding Related Party Transactions, or RPT Policy, all related party transactions (as defined in the RPT Policy) to which we are or are proposed to be a party are approved or ratified by our audit committee (unless another committee of our board of directors composed solely of independent directors, or all of the independent directors of our board, shall have approved or ratified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Arial" w:cs="Arial" w:eastAsia="Arial" w:hAnsi="Arial"/>
          <w:sz w:val="19"/>
          <w:szCs w:val="19"/>
          <w:b w:val="1"/>
          <w:bCs w:val="1"/>
          <w:i w:val="1"/>
          <w:iCs w:val="1"/>
          <w:color w:val="auto"/>
        </w:rPr>
        <w:t>www.compxinternational.com</w:t>
      </w:r>
      <w:r>
        <w:rPr>
          <w:rFonts w:ascii="Arial" w:cs="Arial" w:eastAsia="Arial" w:hAnsi="Arial"/>
          <w:sz w:val="19"/>
          <w:szCs w:val="19"/>
          <w:color w:val="auto"/>
        </w:rPr>
        <w:t xml:space="preserve"> under the governance section.</w:t>
      </w:r>
    </w:p>
    <w:p>
      <w:pPr>
        <w:spacing w:after="0" w:line="156" w:lineRule="exact"/>
        <w:rPr>
          <w:sz w:val="20"/>
          <w:szCs w:val="20"/>
          <w:color w:val="auto"/>
        </w:rPr>
      </w:pPr>
    </w:p>
    <w:p>
      <w:pPr>
        <w:ind w:firstLine="487"/>
        <w:spacing w:after="0" w:line="260" w:lineRule="auto"/>
        <w:rPr>
          <w:sz w:val="20"/>
          <w:szCs w:val="20"/>
          <w:color w:val="auto"/>
        </w:rPr>
      </w:pPr>
      <w:r>
        <w:rPr>
          <w:rFonts w:ascii="Arial" w:cs="Arial" w:eastAsia="Arial" w:hAnsi="Arial"/>
          <w:sz w:val="21"/>
          <w:szCs w:val="21"/>
          <w:color w:val="auto"/>
        </w:rPr>
        <w:t>During 2020 our audit committee reviewed, adopted and ratified the following ordinary course of business related party transactions to which we are a party in accordance with the terms of such RPT Policy:</w:t>
      </w:r>
    </w:p>
    <w:p>
      <w:pPr>
        <w:spacing w:after="0" w:line="378" w:lineRule="exact"/>
        <w:rPr>
          <w:sz w:val="20"/>
          <w:szCs w:val="20"/>
          <w:color w:val="auto"/>
        </w:rPr>
      </w:pPr>
    </w:p>
    <w:p>
      <w:pPr>
        <w:ind w:left="1260" w:right="80" w:hanging="625"/>
        <w:spacing w:after="0" w:line="323" w:lineRule="auto"/>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Risk management program – a program pursuant to which Contran and certain of its subsidiaries and related entities, including us, as a group purchase insurance coverage and risk management services, with the costs thereof apportioned among the participating companies;</w:t>
      </w:r>
    </w:p>
    <w:p>
      <w:pPr>
        <w:spacing w:after="0" w:line="344" w:lineRule="exact"/>
        <w:rPr>
          <w:rFonts w:ascii="Arial" w:cs="Arial" w:eastAsia="Arial" w:hAnsi="Arial"/>
          <w:sz w:val="16"/>
          <w:szCs w:val="16"/>
          <w:color w:val="auto"/>
        </w:rPr>
      </w:pPr>
    </w:p>
    <w:p>
      <w:pPr>
        <w:ind w:left="1260" w:right="60" w:hanging="625"/>
        <w:spacing w:after="0" w:line="249" w:lineRule="auto"/>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Tax sharing agreement– our tax sharing agreement with NL pursuant to which cash payments for income taxes are periodically paid by us to NL or received by us from NL, as applicable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1260" w:hanging="625"/>
        <w:spacing w:after="0"/>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Cash management loans – our unsecured revolving credit facility with Valhi, which provides for loans by us to Valhi of up to $40 million.</w:t>
      </w:r>
    </w:p>
    <w:p>
      <w:pPr>
        <w:spacing w:after="0" w:line="200" w:lineRule="exact"/>
        <w:rPr>
          <w:sz w:val="20"/>
          <w:szCs w:val="20"/>
          <w:color w:val="auto"/>
        </w:rPr>
      </w:pPr>
    </w:p>
    <w:p>
      <w:pPr>
        <w:spacing w:after="0" w:line="237" w:lineRule="exact"/>
        <w:rPr>
          <w:sz w:val="20"/>
          <w:szCs w:val="20"/>
          <w:color w:val="auto"/>
        </w:rPr>
      </w:pPr>
    </w:p>
    <w:p>
      <w:pPr>
        <w:ind w:right="80" w:firstLine="492"/>
        <w:spacing w:after="0" w:line="239" w:lineRule="auto"/>
        <w:rPr>
          <w:sz w:val="20"/>
          <w:szCs w:val="20"/>
          <w:color w:val="auto"/>
        </w:rPr>
      </w:pPr>
      <w:r>
        <w:rPr>
          <w:rFonts w:ascii="Arial" w:cs="Arial" w:eastAsia="Arial" w:hAnsi="Arial"/>
          <w:sz w:val="21"/>
          <w:szCs w:val="21"/>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and ratify the fee we paid to Contran in 2020 under our intercorporate services agreement with Contran, because such intercorporate services fee is approved by all of the independent directors of our board, as more fully described below. During 2020, we were not a party to any other related party transactions (ordinary course of business related party transactions or otherwise) requiring approval or ratification under the RPT Policy.</w:t>
      </w:r>
    </w:p>
    <w:p>
      <w:pPr>
        <w:spacing w:after="0" w:line="185" w:lineRule="exact"/>
        <w:rPr>
          <w:sz w:val="20"/>
          <w:szCs w:val="20"/>
          <w:color w:val="auto"/>
        </w:rPr>
      </w:pPr>
    </w:p>
    <w:p>
      <w:pPr>
        <w:ind w:right="20" w:firstLine="630"/>
        <w:spacing w:after="0" w:line="247" w:lineRule="auto"/>
        <w:rPr>
          <w:sz w:val="20"/>
          <w:szCs w:val="20"/>
          <w:color w:val="auto"/>
        </w:rPr>
      </w:pPr>
      <w:r>
        <w:rPr>
          <w:rFonts w:ascii="Arial" w:cs="Arial" w:eastAsia="Arial" w:hAnsi="Arial"/>
          <w:sz w:val="21"/>
          <w:szCs w:val="21"/>
          <w:b w:val="1"/>
          <w:bCs w:val="1"/>
          <w:i w:val="1"/>
          <w:iCs w:val="1"/>
          <w:color w:val="auto"/>
        </w:rPr>
        <w:t>Relationships with Related Parties</w:t>
      </w:r>
      <w:r>
        <w:rPr>
          <w:rFonts w:ascii="Arial" w:cs="Arial" w:eastAsia="Arial" w:hAnsi="Arial"/>
          <w:sz w:val="21"/>
          <w:szCs w:val="21"/>
          <w:color w:val="auto"/>
        </w:rPr>
        <w:t>. As set forth under the Security Ownership section of this proxy statement, Lisa 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Simmons and the Family Trust may be deemed to control us. We and other entities that may be deemed to be controlled by or related to Ms. Simmons and the Family Trust sometimes engage in the following:</w:t>
      </w:r>
    </w:p>
    <w:p>
      <w:pPr>
        <w:spacing w:after="0" w:line="182" w:lineRule="exact"/>
        <w:rPr>
          <w:sz w:val="20"/>
          <w:szCs w:val="20"/>
          <w:color w:val="auto"/>
        </w:rPr>
      </w:pPr>
    </w:p>
    <w:p>
      <w:pPr>
        <w:ind w:left="1260" w:hanging="625"/>
        <w:spacing w:after="0" w:line="252"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398" w:lineRule="exact"/>
        <w:rPr>
          <w:rFonts w:ascii="Arial" w:cs="Arial" w:eastAsia="Arial" w:hAnsi="Arial"/>
          <w:sz w:val="18"/>
          <w:szCs w:val="18"/>
          <w:color w:val="auto"/>
        </w:rPr>
      </w:pPr>
    </w:p>
    <w:p>
      <w:pPr>
        <w:ind w:left="1260" w:right="20" w:hanging="625"/>
        <w:spacing w:after="0" w:line="249" w:lineRule="auto"/>
        <w:tabs>
          <w:tab w:leader="none" w:pos="1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392" w:lineRule="exact"/>
        <w:rPr>
          <w:sz w:val="20"/>
          <w:szCs w:val="20"/>
          <w:color w:val="auto"/>
        </w:rPr>
      </w:pPr>
    </w:p>
    <w:p>
      <w:pPr>
        <w:ind w:right="20" w:firstLine="630"/>
        <w:spacing w:after="0" w:line="254" w:lineRule="auto"/>
        <w:rPr>
          <w:sz w:val="20"/>
          <w:szCs w:val="20"/>
          <w:color w:val="auto"/>
        </w:rPr>
      </w:pPr>
      <w:r>
        <w:rPr>
          <w:rFonts w:ascii="Arial" w:cs="Arial" w:eastAsia="Arial" w:hAnsi="Arial"/>
          <w:sz w:val="20"/>
          <w:szCs w:val="20"/>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the Family Trust.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1" w:name="page32"/>
    <w:bookmarkEnd w:id="31"/>
    <w:p>
      <w:pPr>
        <w:ind w:right="220" w:firstLine="630"/>
        <w:spacing w:after="0" w:line="259" w:lineRule="auto"/>
        <w:rPr>
          <w:sz w:val="20"/>
          <w:szCs w:val="20"/>
          <w:color w:val="auto"/>
        </w:rPr>
      </w:pPr>
      <w:r>
        <w:rPr>
          <w:rFonts w:ascii="Arial" w:cs="Arial" w:eastAsia="Arial" w:hAnsi="Arial"/>
          <w:sz w:val="20"/>
          <w:szCs w:val="20"/>
          <w:color w:val="auto"/>
        </w:rPr>
        <w:t>Certain directors or executive officers of Contran, NL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as are consistent with the provisions of the RPT Policy.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Intercorporate Services Agreements</w:t>
      </w:r>
      <w:r>
        <w:rPr>
          <w:rFonts w:ascii="Arial" w:cs="Arial" w:eastAsia="Arial" w:hAnsi="Arial"/>
          <w:sz w:val="18"/>
          <w:szCs w:val="18"/>
          <w:color w:val="auto"/>
        </w:rPr>
        <w:t>. As discussed elsewhere in this proxy statement, we and certain related companies have</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entered into ISAs. Under the ISAs, employees of one company provide certain services, including executive officer services, to the</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other company on an annual fixed fee basis. The services rendered under the ISAs may include executive, management, financial,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internal audit, accounting, tax, legal, insurance, insurance claims management, risk management, real estate management,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management, treasury, human resources, technical, consulting, administrative, office, occupancy and other services as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required from time to time in the ordinary course of the recipient’s business. The fees paid pursuant to the ISAs are generally based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upon an estimated percentage of the time devoted by employees of the provider of the services to the business of the recipient and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employer’s cost related to such employees, which includes the expense for the employees’ compensation and an overhead component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that takes into account other employment related costs. Generally, each of the ISAs renews on a quarterly basis subject to</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termination by either party pursuant to a written notice delivered 30 days prior to the start of the next quarter. Because of the number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of companies related to Contran and us, we believe we benefit from cost savings and economies of scale gained by not having certain</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management, financial, legal, tax, real estate and administrative staffs duplicated at each company, thus allowing certain individuals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to provide services to multiple companies. With respect to a publicly held company that is a party to an ISA, the ISA and the related</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aggregate annual charge are approved by the independent directors of the company after receiving the recommendation from the</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company’s management development and compensation committee as well as the concurrence of the chief financial officer. See</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the Compensation of our Named Executive Officers Employed by Contran part of the Compensation Discussion and Analysis section</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in this proxy statement for a more detailed discussion on the procedures and considerations taken by our independent directors in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approving the aggregate 2020 fee charged to us under our ISA with Contran.</w:t>
      </w:r>
    </w:p>
    <w:p>
      <w:pPr>
        <w:spacing w:after="0" w:line="187" w:lineRule="exact"/>
        <w:rPr>
          <w:sz w:val="20"/>
          <w:szCs w:val="20"/>
          <w:color w:val="auto"/>
        </w:rPr>
      </w:pPr>
    </w:p>
    <w:p>
      <w:pPr>
        <w:ind w:right="140" w:firstLine="630"/>
        <w:spacing w:after="0" w:line="277" w:lineRule="auto"/>
        <w:rPr>
          <w:sz w:val="20"/>
          <w:szCs w:val="20"/>
          <w:color w:val="auto"/>
        </w:rPr>
      </w:pPr>
      <w:r>
        <w:rPr>
          <w:rFonts w:ascii="Arial" w:cs="Arial" w:eastAsia="Arial" w:hAnsi="Arial"/>
          <w:sz w:val="19"/>
          <w:szCs w:val="19"/>
          <w:color w:val="auto"/>
        </w:rPr>
        <w:t>In 2020, we paid Contran fees of approximately $3.4 million for its services under our ISA with Contran, including amounts for the services of certain of our named executive officers that are employees of Contran, as disclosed in the 2020 Summary Compensation Table in this proxy statement. In 2021, we expect to pay Contran fees of approximately $3.4 million for its services under this ISA, including the services of certain of our named executive officers that are employees of Contran.</w:t>
      </w:r>
    </w:p>
    <w:p>
      <w:pPr>
        <w:spacing w:after="0" w:line="147" w:lineRule="exact"/>
        <w:rPr>
          <w:sz w:val="20"/>
          <w:szCs w:val="20"/>
          <w:color w:val="auto"/>
        </w:rPr>
      </w:pPr>
    </w:p>
    <w:p>
      <w:pPr>
        <w:jc w:val="both"/>
        <w:ind w:right="20" w:firstLine="630"/>
        <w:spacing w:after="0" w:line="286" w:lineRule="auto"/>
        <w:rPr>
          <w:sz w:val="20"/>
          <w:szCs w:val="20"/>
          <w:color w:val="auto"/>
        </w:rPr>
      </w:pPr>
      <w:r>
        <w:rPr>
          <w:rFonts w:ascii="Arial" w:cs="Arial" w:eastAsia="Arial" w:hAnsi="Arial"/>
          <w:sz w:val="19"/>
          <w:szCs w:val="19"/>
          <w:b w:val="1"/>
          <w:bCs w:val="1"/>
          <w:i w:val="1"/>
          <w:iCs w:val="1"/>
          <w:color w:val="auto"/>
        </w:rPr>
        <w:t>Risk Management Program</w:t>
      </w:r>
      <w:r>
        <w:rPr>
          <w:rFonts w:ascii="Arial" w:cs="Arial" w:eastAsia="Arial" w:hAnsi="Arial"/>
          <w:sz w:val="19"/>
          <w:szCs w:val="19"/>
          <w:color w:val="auto"/>
        </w:rPr>
        <w:t>. We and Contran participate in a combined risk management program. Pursuant to the program,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Contran and certain of its subsidiaries and related entities, including us and certain of our subsidiaries and related entities, as a group purchase insurance coverage and risk management services. The program apportions its costs among the participating companies.</w:t>
      </w:r>
    </w:p>
    <w:p>
      <w:pPr>
        <w:spacing w:after="0" w:line="138" w:lineRule="exact"/>
        <w:rPr>
          <w:sz w:val="20"/>
          <w:szCs w:val="20"/>
          <w:color w:val="auto"/>
        </w:rPr>
      </w:pPr>
    </w:p>
    <w:p>
      <w:pPr>
        <w:ind w:right="100" w:firstLine="630"/>
        <w:spacing w:after="0" w:line="254" w:lineRule="auto"/>
        <w:rPr>
          <w:sz w:val="20"/>
          <w:szCs w:val="20"/>
          <w:color w:val="auto"/>
        </w:rPr>
      </w:pPr>
      <w:r>
        <w:rPr>
          <w:rFonts w:ascii="Arial" w:cs="Arial" w:eastAsia="Arial" w:hAnsi="Arial"/>
          <w:sz w:val="20"/>
          <w:szCs w:val="20"/>
          <w:color w:val="auto"/>
        </w:rPr>
        <w:t>Tall Pines is a captive insurance company wholly owned by Valhi that underwrites certain insurance policies to Contran and certain of its subsidiaries and related entities, including us. Tall Pines purchases reinsurance from third-party insurance carriers with an A.M. Best Company rating of generally at least an “A-” (excellent) for substantially all of the risks it underwrites. Consistent with insurance industry practices, Tall Pines receives commissions from reinsurance underwriters and/or assesses fees for certain of the policies that it underwrites. Insurance policies that are not underwritten by Tall Pines are purchased from third-party insurance carriers with an A.M. Best Company rating of generally at least an “A-” (excellent).</w:t>
      </w:r>
    </w:p>
    <w:p>
      <w:pPr>
        <w:spacing w:after="0" w:line="168" w:lineRule="exact"/>
        <w:rPr>
          <w:sz w:val="20"/>
          <w:szCs w:val="20"/>
          <w:color w:val="auto"/>
        </w:rPr>
      </w:pPr>
    </w:p>
    <w:p>
      <w:pPr>
        <w:ind w:right="80" w:firstLine="630"/>
        <w:spacing w:after="0" w:line="252" w:lineRule="auto"/>
        <w:rPr>
          <w:sz w:val="20"/>
          <w:szCs w:val="20"/>
          <w:color w:val="auto"/>
        </w:rPr>
      </w:pPr>
      <w:r>
        <w:rPr>
          <w:rFonts w:ascii="Arial" w:cs="Arial" w:eastAsia="Arial" w:hAnsi="Arial"/>
          <w:sz w:val="20"/>
          <w:szCs w:val="20"/>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by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firstLine="630"/>
        <w:spacing w:after="0" w:line="291" w:lineRule="auto"/>
        <w:rPr>
          <w:sz w:val="20"/>
          <w:szCs w:val="20"/>
          <w:color w:val="auto"/>
        </w:rPr>
      </w:pPr>
      <w:r>
        <w:rPr>
          <w:rFonts w:ascii="Arial" w:cs="Arial" w:eastAsia="Arial" w:hAnsi="Arial"/>
          <w:sz w:val="18"/>
          <w:szCs w:val="18"/>
          <w:color w:val="auto"/>
        </w:rPr>
        <w:t>Following NL’s sale of EWI’s insurance and risk management business to a third party in November 2019, the third-party brokerage and risk management company that purchased the business became the broker for Contran’s and our insurance policies and Tall Pines’ reinsurance policies and provides risk management services for Contran and its subsidiaries, including us. Accordingly, Contran and its subsidiaries and affiliates participating in the combined risk management program continue to have access to the experienced risk management personnel formerly with EWI, including in the areas of loss controls and claims management.</w:t>
      </w:r>
    </w:p>
    <w:p>
      <w:pPr>
        <w:spacing w:after="0" w:line="137" w:lineRule="exact"/>
        <w:rPr>
          <w:sz w:val="20"/>
          <w:szCs w:val="20"/>
          <w:color w:val="auto"/>
        </w:rPr>
      </w:pPr>
    </w:p>
    <w:p>
      <w:pPr>
        <w:ind w:firstLine="630"/>
        <w:spacing w:after="0" w:line="272" w:lineRule="auto"/>
        <w:rPr>
          <w:sz w:val="20"/>
          <w:szCs w:val="20"/>
          <w:color w:val="auto"/>
        </w:rPr>
      </w:pPr>
      <w:r>
        <w:rPr>
          <w:rFonts w:ascii="Arial" w:cs="Arial" w:eastAsia="Arial" w:hAnsi="Arial"/>
          <w:sz w:val="19"/>
          <w:szCs w:val="19"/>
          <w:color w:val="auto"/>
        </w:rPr>
        <w:t>During 2020, we paid approximately $2.8 million under the combined risk management program. This amount principally represents premiums and fees for insurance, including approximately $0.7 million for policies underwritten by Tall Pines. The full amount also includes reimbursements to insurers or reinsurers of claims within our applicable deductible or retention ranges that such insurers and reinsurers paid to third parties on our behalf, as well as amounts for claims and risk management services and various other third-party fees and expenses incurred by the program. We expect that these relationships will continue in 2021.</w:t>
      </w:r>
    </w:p>
    <w:p>
      <w:pPr>
        <w:spacing w:after="0" w:line="154" w:lineRule="exact"/>
        <w:rPr>
          <w:sz w:val="20"/>
          <w:szCs w:val="20"/>
          <w:color w:val="auto"/>
        </w:rPr>
      </w:pPr>
    </w:p>
    <w:p>
      <w:pPr>
        <w:jc w:val="both"/>
        <w:ind w:right="100" w:firstLine="630"/>
        <w:spacing w:after="0" w:line="247" w:lineRule="auto"/>
        <w:rPr>
          <w:sz w:val="20"/>
          <w:szCs w:val="20"/>
          <w:color w:val="auto"/>
        </w:rPr>
      </w:pPr>
      <w:r>
        <w:rPr>
          <w:rFonts w:ascii="Arial" w:cs="Arial" w:eastAsia="Arial" w:hAnsi="Arial"/>
          <w:sz w:val="21"/>
          <w:szCs w:val="21"/>
          <w:color w:val="auto"/>
        </w:rPr>
        <w:t>In November 2020,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82" w:lineRule="exact"/>
        <w:rPr>
          <w:sz w:val="20"/>
          <w:szCs w:val="20"/>
          <w:color w:val="auto"/>
        </w:rPr>
      </w:pPr>
    </w:p>
    <w:p>
      <w:pPr>
        <w:ind w:left="1260" w:right="80" w:hanging="625"/>
        <w:spacing w:after="0" w:line="252" w:lineRule="auto"/>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premiums for the insurance policies are set by the underwriters for the insurance or reinsurance carriers bearing the risk, which in almost all cases are third parties (and where Tall Pines retains risk, the premiums are based on quotes provided by third parties), without any markup by Tall Pines or the combined risk management program;</w:t>
      </w:r>
    </w:p>
    <w:p>
      <w:pPr>
        <w:spacing w:after="0" w:line="398" w:lineRule="exact"/>
        <w:rPr>
          <w:rFonts w:ascii="Arial" w:cs="Arial" w:eastAsia="Arial" w:hAnsi="Arial"/>
          <w:sz w:val="18"/>
          <w:szCs w:val="18"/>
          <w:color w:val="auto"/>
        </w:rPr>
      </w:pPr>
    </w:p>
    <w:p>
      <w:pPr>
        <w:ind w:left="1260" w:right="60" w:hanging="625"/>
        <w:spacing w:after="0" w:line="326" w:lineRule="auto"/>
        <w:tabs>
          <w:tab w:leader="none" w:pos="12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Arial" w:cs="Arial" w:eastAsia="Arial" w:hAnsi="Arial"/>
          <w:sz w:val="15"/>
          <w:szCs w:val="15"/>
          <w:i w:val="1"/>
          <w:iCs w:val="1"/>
          <w:color w:val="auto"/>
        </w:rPr>
        <w:t>i.e</w:t>
      </w:r>
      <w:r>
        <w:rPr>
          <w:rFonts w:ascii="Arial" w:cs="Arial" w:eastAsia="Arial" w:hAnsi="Arial"/>
          <w:sz w:val="15"/>
          <w:szCs w:val="15"/>
          <w:color w:val="auto"/>
        </w:rPr>
        <w:t>. the dominant premium factor, which is the factor that has the greatest impact on the premium, such as revenues, payroll or employee headcount);</w:t>
      </w:r>
    </w:p>
    <w:p>
      <w:pPr>
        <w:spacing w:after="0" w:line="347" w:lineRule="exact"/>
        <w:rPr>
          <w:rFonts w:ascii="Arial" w:cs="Arial" w:eastAsia="Arial" w:hAnsi="Arial"/>
          <w:sz w:val="15"/>
          <w:szCs w:val="15"/>
          <w:color w:val="auto"/>
        </w:rPr>
      </w:pPr>
    </w:p>
    <w:p>
      <w:pPr>
        <w:ind w:left="1260" w:right="620" w:hanging="625"/>
        <w:spacing w:after="0" w:line="323" w:lineRule="auto"/>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commissions received by Tall Pines from the reinsurance underwriters and the fees assessed by Tall Pines for certain policies it so underwrites are in amounts equal to the commissions or fees which would be received by third-party underwriters;</w:t>
      </w:r>
    </w:p>
    <w:p>
      <w:pPr>
        <w:spacing w:after="0" w:line="344" w:lineRule="exact"/>
        <w:rPr>
          <w:rFonts w:ascii="Arial" w:cs="Arial" w:eastAsia="Arial" w:hAnsi="Arial"/>
          <w:sz w:val="16"/>
          <w:szCs w:val="16"/>
          <w:color w:val="auto"/>
        </w:rPr>
      </w:pPr>
    </w:p>
    <w:p>
      <w:pPr>
        <w:ind w:left="1260" w:hanging="625"/>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insurance coverages provided to us by the risk management program are sufficient and adequate for our purposes;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right="220" w:hanging="625"/>
        <w:spacing w:after="0" w:line="286" w:lineRule="auto"/>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benefits of our participation in the risk management program include, among others, (a) greater spread of risk among the companies participating in the risk management program provides us with the ability to obtain broader coverage, with strong/solvent underwriters, at a reduced cost as compared to the coverage and cost that would be available if we were to purchase insurance on a stand-alone basis, (b) the ability to obtain centralized premium and claims reporting, and (c) the ability to have access to experienced risk management personnel, including in the areas of loss controls and claims processing; and</w:t>
      </w:r>
    </w:p>
    <w:p>
      <w:pPr>
        <w:spacing w:after="0" w:line="374" w:lineRule="exact"/>
        <w:rPr>
          <w:rFonts w:ascii="Arial" w:cs="Arial" w:eastAsia="Arial" w:hAnsi="Arial"/>
          <w:sz w:val="16"/>
          <w:szCs w:val="16"/>
          <w:color w:val="auto"/>
        </w:rPr>
      </w:pPr>
    </w:p>
    <w:p>
      <w:pPr>
        <w:ind w:left="1260" w:right="100" w:hanging="625"/>
        <w:spacing w:after="0" w:line="323" w:lineRule="auto"/>
        <w:tabs>
          <w:tab w:leader="none" w:pos="1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“cost of risk” metric, as defined by the Risk and Insurance Management Society, or RIMS, for the Contran group is lower as compared to the cost of risk as reflected in a recent RIMS benchmark survey for certain groups of companies comparable to the Contran group.</w:t>
      </w:r>
    </w:p>
    <w:p>
      <w:pPr>
        <w:spacing w:after="0" w:line="336" w:lineRule="exact"/>
        <w:rPr>
          <w:sz w:val="20"/>
          <w:szCs w:val="20"/>
          <w:color w:val="auto"/>
        </w:rPr>
      </w:pPr>
    </w:p>
    <w:p>
      <w:pPr>
        <w:ind w:right="20" w:firstLine="630"/>
        <w:spacing w:after="0" w:line="256" w:lineRule="auto"/>
        <w:rPr>
          <w:sz w:val="20"/>
          <w:szCs w:val="20"/>
          <w:color w:val="auto"/>
        </w:rPr>
      </w:pPr>
      <w:r>
        <w:rPr>
          <w:rFonts w:ascii="Arial" w:cs="Arial" w:eastAsia="Arial" w:hAnsi="Arial"/>
          <w:sz w:val="20"/>
          <w:szCs w:val="20"/>
          <w:color w:val="auto"/>
        </w:rPr>
        <w:t>As part of such presentations, our chief financial officer, after consultation with other members of our management, advised the committee of her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She then provided the committee with her recommendation that the committee approve, adopt and ratify our participation in the risk management program in all respects.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right="40" w:firstLine="630"/>
        <w:spacing w:after="0" w:line="273" w:lineRule="auto"/>
        <w:rPr>
          <w:sz w:val="20"/>
          <w:szCs w:val="20"/>
          <w:color w:val="auto"/>
        </w:rPr>
      </w:pPr>
      <w:r>
        <w:rPr>
          <w:rFonts w:ascii="Arial" w:cs="Arial" w:eastAsia="Arial" w:hAnsi="Arial"/>
          <w:sz w:val="19"/>
          <w:szCs w:val="19"/>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approved, adopted and ratified our participation in the risk management program in all respects.</w:t>
      </w:r>
    </w:p>
    <w:p>
      <w:pPr>
        <w:spacing w:after="0" w:line="150" w:lineRule="exact"/>
        <w:rPr>
          <w:sz w:val="20"/>
          <w:szCs w:val="20"/>
          <w:color w:val="auto"/>
        </w:rPr>
      </w:pPr>
    </w:p>
    <w:p>
      <w:pPr>
        <w:ind w:right="60" w:firstLine="630"/>
        <w:spacing w:after="0" w:line="266" w:lineRule="auto"/>
        <w:rPr>
          <w:sz w:val="20"/>
          <w:szCs w:val="20"/>
          <w:color w:val="auto"/>
        </w:rPr>
      </w:pPr>
      <w:r>
        <w:rPr>
          <w:rFonts w:ascii="Arial" w:cs="Arial" w:eastAsia="Arial" w:hAnsi="Arial"/>
          <w:sz w:val="19"/>
          <w:szCs w:val="19"/>
          <w:b w:val="1"/>
          <w:bCs w:val="1"/>
          <w:i w:val="1"/>
          <w:iCs w:val="1"/>
          <w:color w:val="auto"/>
        </w:rPr>
        <w:t>Tax Matters</w:t>
      </w:r>
      <w:r>
        <w:rPr>
          <w:rFonts w:ascii="Arial" w:cs="Arial" w:eastAsia="Arial" w:hAnsi="Arial"/>
          <w:sz w:val="19"/>
          <w:szCs w:val="19"/>
          <w:color w:val="auto"/>
        </w:rPr>
        <w:t>. We and our qualifying subsidiaries are members of the consolidated U.S. federal tax return of which Contran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parent company, which we refer to as 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 also a part of consolidated tax returns filed by Contran in certain U.S. state jurisdictions, and the terms of the tax sharing agreement also apply to state payments to these jurisdictions.</w:t>
      </w:r>
    </w:p>
    <w:p>
      <w:pPr>
        <w:spacing w:after="0" w:line="157" w:lineRule="exact"/>
        <w:rPr>
          <w:sz w:val="20"/>
          <w:szCs w:val="20"/>
          <w:color w:val="auto"/>
        </w:rPr>
      </w:pPr>
    </w:p>
    <w:p>
      <w:pPr>
        <w:ind w:right="20" w:firstLine="630"/>
        <w:spacing w:after="0" w:line="241" w:lineRule="auto"/>
        <w:rPr>
          <w:sz w:val="20"/>
          <w:szCs w:val="20"/>
          <w:color w:val="auto"/>
        </w:rPr>
      </w:pPr>
      <w:r>
        <w:rPr>
          <w:rFonts w:ascii="Arial" w:cs="Arial" w:eastAsia="Arial" w:hAnsi="Arial"/>
          <w:sz w:val="21"/>
          <w:szCs w:val="21"/>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spacing w:after="0" w:line="179" w:lineRule="exact"/>
        <w:rPr>
          <w:sz w:val="20"/>
          <w:szCs w:val="20"/>
          <w:color w:val="auto"/>
        </w:rPr>
      </w:pPr>
    </w:p>
    <w:p>
      <w:pPr>
        <w:ind w:firstLine="630"/>
        <w:spacing w:after="0" w:line="243" w:lineRule="auto"/>
        <w:rPr>
          <w:sz w:val="20"/>
          <w:szCs w:val="20"/>
          <w:color w:val="auto"/>
        </w:rPr>
      </w:pPr>
      <w:r>
        <w:rPr>
          <w:rFonts w:ascii="Arial" w:cs="Arial" w:eastAsia="Arial" w:hAnsi="Arial"/>
          <w:sz w:val="21"/>
          <w:szCs w:val="21"/>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2020, pursuant to our tax sharing agreement, we made net cash payments for income taxes to NL of approximately $3.2 million.</w:t>
      </w:r>
    </w:p>
    <w:p>
      <w:pPr>
        <w:spacing w:after="0" w:line="177" w:lineRule="exact"/>
        <w:rPr>
          <w:sz w:val="20"/>
          <w:szCs w:val="20"/>
          <w:color w:val="auto"/>
        </w:rPr>
      </w:pPr>
    </w:p>
    <w:p>
      <w:pPr>
        <w:jc w:val="both"/>
        <w:ind w:right="420" w:firstLine="630"/>
        <w:spacing w:after="0" w:line="247" w:lineRule="auto"/>
        <w:rPr>
          <w:sz w:val="20"/>
          <w:szCs w:val="20"/>
          <w:color w:val="auto"/>
        </w:rPr>
      </w:pPr>
      <w:r>
        <w:rPr>
          <w:rFonts w:ascii="Arial" w:cs="Arial" w:eastAsia="Arial" w:hAnsi="Arial"/>
          <w:sz w:val="21"/>
          <w:szCs w:val="21"/>
          <w:color w:val="auto"/>
        </w:rPr>
        <w:t>In February 2020,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77" w:lineRule="exact"/>
        <w:rPr>
          <w:sz w:val="20"/>
          <w:szCs w:val="20"/>
          <w:color w:val="auto"/>
        </w:rPr>
      </w:pPr>
    </w:p>
    <w:p>
      <w:pPr>
        <w:ind w:left="1260" w:right="320" w:hanging="625"/>
        <w:spacing w:after="0" w:line="260" w:lineRule="auto"/>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tax sharing agreement is consistent with accounting principles generally accepted in the United States of America, and consistent with applicable law and regulations; and</w:t>
      </w:r>
    </w:p>
    <w:p>
      <w:pPr>
        <w:spacing w:after="0" w:line="181" w:lineRule="exact"/>
        <w:rPr>
          <w:rFonts w:ascii="Arial" w:cs="Arial" w:eastAsia="Arial" w:hAnsi="Arial"/>
          <w:sz w:val="18"/>
          <w:szCs w:val="18"/>
          <w:color w:val="auto"/>
        </w:rPr>
      </w:pPr>
    </w:p>
    <w:p>
      <w:pPr>
        <w:ind w:left="1260" w:right="200" w:hanging="625"/>
        <w:spacing w:after="0" w:line="260" w:lineRule="auto"/>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73" w:lineRule="exact"/>
        <w:rPr>
          <w:sz w:val="20"/>
          <w:szCs w:val="20"/>
          <w:color w:val="auto"/>
        </w:rPr>
      </w:pPr>
    </w:p>
    <w:p>
      <w:pPr>
        <w:ind w:right="100" w:firstLine="630"/>
        <w:spacing w:after="0" w:line="277" w:lineRule="auto"/>
        <w:rPr>
          <w:sz w:val="20"/>
          <w:szCs w:val="20"/>
          <w:color w:val="auto"/>
        </w:rPr>
      </w:pPr>
      <w:r>
        <w:rPr>
          <w:rFonts w:ascii="Arial" w:cs="Arial" w:eastAsia="Arial" w:hAnsi="Arial"/>
          <w:sz w:val="19"/>
          <w:szCs w:val="19"/>
          <w:color w:val="auto"/>
        </w:rPr>
        <w:t>As part of such presentation, our chief financial officer and our chief tax officer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42" w:lineRule="exact"/>
        <w:rPr>
          <w:sz w:val="20"/>
          <w:szCs w:val="20"/>
          <w:color w:val="auto"/>
        </w:rPr>
      </w:pPr>
    </w:p>
    <w:p>
      <w:pPr>
        <w:ind w:right="120" w:firstLine="630"/>
        <w:spacing w:after="0" w:line="272" w:lineRule="auto"/>
        <w:rPr>
          <w:sz w:val="20"/>
          <w:szCs w:val="20"/>
          <w:color w:val="auto"/>
        </w:rPr>
      </w:pPr>
      <w:r>
        <w:rPr>
          <w:rFonts w:ascii="Arial" w:cs="Arial" w:eastAsia="Arial" w:hAnsi="Arial"/>
          <w:sz w:val="19"/>
          <w:szCs w:val="19"/>
          <w:color w:val="auto"/>
        </w:rPr>
        <w:t>After considering the information contained in the presentations, including the recommendation of our chief financial officer and our chief tax officer, and following further discussion and review by the audit committee, our audit committee determined that the terms of the tax sharing agreement are fair and reasonable to us and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54" w:lineRule="exact"/>
        <w:rPr>
          <w:sz w:val="20"/>
          <w:szCs w:val="20"/>
          <w:color w:val="auto"/>
        </w:rPr>
      </w:pPr>
    </w:p>
    <w:p>
      <w:pPr>
        <w:ind w:right="120" w:firstLine="630"/>
        <w:spacing w:after="0" w:line="250" w:lineRule="auto"/>
        <w:rPr>
          <w:sz w:val="20"/>
          <w:szCs w:val="20"/>
          <w:color w:val="auto"/>
        </w:rPr>
      </w:pPr>
      <w:r>
        <w:rPr>
          <w:rFonts w:ascii="Arial" w:cs="Arial" w:eastAsia="Arial" w:hAnsi="Arial"/>
          <w:sz w:val="20"/>
          <w:szCs w:val="20"/>
          <w:b w:val="1"/>
          <w:bCs w:val="1"/>
          <w:i w:val="1"/>
          <w:iCs w:val="1"/>
          <w:color w:val="auto"/>
        </w:rPr>
        <w:t>Related Party Loans for Cash Management Purposes</w:t>
      </w:r>
      <w:r>
        <w:rPr>
          <w:rFonts w:ascii="Arial" w:cs="Arial" w:eastAsia="Arial" w:hAnsi="Arial"/>
          <w:sz w:val="20"/>
          <w:szCs w:val="20"/>
          <w:color w:val="auto"/>
        </w:rPr>
        <w:t>. From time to time, loans and advances are made between us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various related parties pursuant to term and 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 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ectPr>
          <w:pgSz w:w="11900" w:h="16838" w:orient="portrait"/>
          <w:cols w:equalWidth="0" w:num="1">
            <w:col w:w="11240"/>
          </w:cols>
          <w:pgMar w:left="320" w:top="118"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3613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ind w:firstLine="630"/>
        <w:spacing w:after="0" w:line="250" w:lineRule="auto"/>
        <w:rPr>
          <w:sz w:val="20"/>
          <w:szCs w:val="20"/>
          <w:color w:val="auto"/>
        </w:rPr>
      </w:pPr>
      <w:r>
        <w:rPr>
          <w:rFonts w:ascii="Arial" w:cs="Arial" w:eastAsia="Arial" w:hAnsi="Arial"/>
          <w:sz w:val="20"/>
          <w:szCs w:val="20"/>
          <w:color w:val="auto"/>
        </w:rPr>
        <w:t>During 2020, we had an unsecured revolving promissory note with Valhi whereby we agreed to loan Valhi up to $40 million, bearing interest at the prime rate plus 1.00% (4.25% at December 31, 2020), payable quarterly, with all principal and unpaid interest due on demand, but in any event no earlier than December 31, 2021. At December 31, 2020, this unsecured revolving promissory note was amended to extend the demand period to no earlier than December 31, 2022. The agreement contains no financial covenants or other financial restrictions. Loans made to Valhi at any time under the agreement are at our discretion. During our fiscal year ended January 3, 2021, we made aggregate loans to Valhi of $34.8 million (including $5.7 million that we loaned to Valhi on December 31, 2019, two days after our 2019 fiscal year end but on the last day of the fiscal year for Valhi), Valhi repaid an aggregate of $33.4 million, and the largest amount of principal outstanding under the loan was $35.9 million. At December 31, 2020, the outstanding balance of such loan to Valhi was $29.5 million. During 2020, we earned aggregate interest under this note (including unused commitment fees) of $1.5 million.</w:t>
      </w:r>
    </w:p>
    <w:p>
      <w:pPr>
        <w:spacing w:after="0" w:line="204" w:lineRule="exact"/>
        <w:rPr>
          <w:sz w:val="20"/>
          <w:szCs w:val="20"/>
          <w:color w:val="auto"/>
        </w:rPr>
      </w:pPr>
    </w:p>
    <w:p>
      <w:pPr>
        <w:ind w:right="360" w:firstLine="630"/>
        <w:spacing w:after="0" w:line="313" w:lineRule="auto"/>
        <w:rPr>
          <w:sz w:val="20"/>
          <w:szCs w:val="20"/>
          <w:color w:val="auto"/>
        </w:rPr>
      </w:pPr>
      <w:r>
        <w:rPr>
          <w:rFonts w:ascii="Arial" w:cs="Arial" w:eastAsia="Arial" w:hAnsi="Arial"/>
          <w:sz w:val="19"/>
          <w:szCs w:val="19"/>
          <w:color w:val="auto"/>
        </w:rPr>
        <w:t>In February 2020, our management made a presentation to our audit committee regarding our loan to Valhi. Among other things during such presentation, the committee was informed of the following (in addition to the matters described above):</w:t>
      </w:r>
    </w:p>
    <w:p>
      <w:pPr>
        <w:spacing w:after="0" w:line="122" w:lineRule="exact"/>
        <w:rPr>
          <w:sz w:val="20"/>
          <w:szCs w:val="20"/>
          <w:color w:val="auto"/>
        </w:rPr>
      </w:pPr>
    </w:p>
    <w:p>
      <w:pPr>
        <w:ind w:left="1260" w:hanging="625"/>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have no outstanding indebtedness;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hanging="625"/>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receive an unused commitment fee of 50 basis points per annum, payable quarterly;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right="120" w:hanging="625"/>
        <w:spacing w:after="0" w:line="260" w:lineRule="auto"/>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interest rate we would earn on any outstanding borrowings by Valhi would be higher than the rate of return we would earn on any of our funds available for investment; and</w:t>
      </w:r>
    </w:p>
    <w:p>
      <w:pPr>
        <w:spacing w:after="0" w:line="391" w:lineRule="exact"/>
        <w:rPr>
          <w:rFonts w:ascii="Arial" w:cs="Arial" w:eastAsia="Arial" w:hAnsi="Arial"/>
          <w:sz w:val="18"/>
          <w:szCs w:val="18"/>
          <w:color w:val="auto"/>
        </w:rPr>
      </w:pPr>
    </w:p>
    <w:p>
      <w:pPr>
        <w:ind w:left="1260" w:right="40" w:hanging="625"/>
        <w:spacing w:after="0" w:line="323" w:lineRule="auto"/>
        <w:tabs>
          <w:tab w:leader="none" w:pos="1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336" w:lineRule="exact"/>
        <w:rPr>
          <w:sz w:val="20"/>
          <w:szCs w:val="20"/>
          <w:color w:val="auto"/>
        </w:rPr>
      </w:pPr>
    </w:p>
    <w:p>
      <w:pPr>
        <w:ind w:right="20" w:firstLine="630"/>
        <w:spacing w:after="0" w:line="243" w:lineRule="auto"/>
        <w:rPr>
          <w:sz w:val="20"/>
          <w:szCs w:val="20"/>
          <w:color w:val="auto"/>
        </w:rPr>
      </w:pPr>
      <w:r>
        <w:rPr>
          <w:rFonts w:ascii="Arial" w:cs="Arial" w:eastAsia="Arial" w:hAnsi="Arial"/>
          <w:sz w:val="21"/>
          <w:szCs w:val="21"/>
          <w:color w:val="auto"/>
        </w:rPr>
        <w:t>As part of such presentation, our chief financial officer, after consultation with our treasurer and other members of our management, advised the committee of her belief that the terms of our loan to Valhi are fair and reasonable to us, and are on terms no less favorable than we could otherwise obtain from unrelated parties, and provided the committee with her recommendation that the committee approve, adopt and ratify our loan to Valhi in all respects.</w:t>
      </w:r>
    </w:p>
    <w:p>
      <w:pPr>
        <w:spacing w:after="0" w:line="177" w:lineRule="exact"/>
        <w:rPr>
          <w:sz w:val="20"/>
          <w:szCs w:val="20"/>
          <w:color w:val="auto"/>
        </w:rPr>
      </w:pPr>
    </w:p>
    <w:p>
      <w:pPr>
        <w:ind w:right="120" w:firstLine="630"/>
        <w:spacing w:after="0" w:line="241" w:lineRule="auto"/>
        <w:rPr>
          <w:sz w:val="20"/>
          <w:szCs w:val="20"/>
          <w:color w:val="auto"/>
        </w:rPr>
      </w:pPr>
      <w:r>
        <w:rPr>
          <w:rFonts w:ascii="Arial" w:cs="Arial" w:eastAsia="Arial" w:hAnsi="Arial"/>
          <w:sz w:val="21"/>
          <w:szCs w:val="21"/>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1"/>
          <w:szCs w:val="21"/>
          <w:b w:val="1"/>
          <w:bCs w:val="1"/>
          <w:color w:val="auto"/>
        </w:rPr>
        <w:t>AUDIT COMMITTEE REPORT</w:t>
      </w:r>
    </w:p>
    <w:p>
      <w:pPr>
        <w:spacing w:after="0" w:line="211" w:lineRule="exact"/>
        <w:rPr>
          <w:sz w:val="20"/>
          <w:szCs w:val="20"/>
          <w:color w:val="auto"/>
        </w:rPr>
      </w:pPr>
    </w:p>
    <w:p>
      <w:pPr>
        <w:ind w:right="60" w:firstLine="630"/>
        <w:spacing w:after="0" w:line="256" w:lineRule="auto"/>
        <w:rPr>
          <w:sz w:val="20"/>
          <w:szCs w:val="20"/>
          <w:color w:val="auto"/>
        </w:rPr>
      </w:pPr>
      <w:r>
        <w:rPr>
          <w:rFonts w:ascii="Arial" w:cs="Arial" w:eastAsia="Arial" w:hAnsi="Arial"/>
          <w:sz w:val="20"/>
          <w:szCs w:val="20"/>
          <w:color w:val="auto"/>
        </w:rPr>
        <w:t xml:space="preserve">Our audit committee of the board of directors is composed of four directors and operates under a written charter adopted by the board of directors. All members of our audit committee meet the independence standards established by the board of directors and the NYSE American and promulgated by the SEC under the Sarbanes-Oxley Act of 2002. One member of our audit committee meets the audit committee financial expert requirements under the applicable SEC rules. The audit committee charter is available on our website at </w:t>
      </w:r>
      <w:r>
        <w:rPr>
          <w:rFonts w:ascii="Arial" w:cs="Arial" w:eastAsia="Arial" w:hAnsi="Arial"/>
          <w:sz w:val="20"/>
          <w:szCs w:val="20"/>
          <w:b w:val="1"/>
          <w:bCs w:val="1"/>
          <w:i w:val="1"/>
          <w:iCs w:val="1"/>
          <w:color w:val="auto"/>
        </w:rPr>
        <w:t>www.compxinternational.com</w:t>
      </w:r>
      <w:r>
        <w:rPr>
          <w:rFonts w:ascii="Arial" w:cs="Arial" w:eastAsia="Arial" w:hAnsi="Arial"/>
          <w:sz w:val="20"/>
          <w:szCs w:val="20"/>
          <w:color w:val="auto"/>
        </w:rPr>
        <w:t xml:space="preserve"> under the governance section.</w:t>
      </w:r>
    </w:p>
    <w:p>
      <w:pPr>
        <w:spacing w:after="0" w:line="165" w:lineRule="exact"/>
        <w:rPr>
          <w:sz w:val="20"/>
          <w:szCs w:val="20"/>
          <w:color w:val="auto"/>
        </w:rPr>
      </w:pPr>
    </w:p>
    <w:p>
      <w:pPr>
        <w:ind w:right="40" w:firstLine="630"/>
        <w:spacing w:after="0" w:line="239" w:lineRule="auto"/>
        <w:rPr>
          <w:sz w:val="20"/>
          <w:szCs w:val="20"/>
          <w:color w:val="auto"/>
        </w:rPr>
      </w:pPr>
      <w:r>
        <w:rPr>
          <w:rFonts w:ascii="Arial" w:cs="Arial" w:eastAsia="Arial" w:hAnsi="Arial"/>
          <w:sz w:val="21"/>
          <w:szCs w:val="21"/>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85" w:lineRule="exact"/>
        <w:rPr>
          <w:sz w:val="20"/>
          <w:szCs w:val="20"/>
          <w:color w:val="auto"/>
        </w:rPr>
      </w:pPr>
    </w:p>
    <w:p>
      <w:pPr>
        <w:ind w:firstLine="630"/>
        <w:spacing w:after="0" w:line="250" w:lineRule="auto"/>
        <w:rPr>
          <w:sz w:val="20"/>
          <w:szCs w:val="20"/>
          <w:color w:val="auto"/>
        </w:rPr>
      </w:pPr>
      <w:r>
        <w:rPr>
          <w:rFonts w:ascii="Arial" w:cs="Arial" w:eastAsia="Arial" w:hAnsi="Arial"/>
          <w:sz w:val="20"/>
          <w:szCs w:val="20"/>
          <w:color w:val="auto"/>
        </w:rPr>
        <w:t>Our audit committee assists the board of directors in fulfilling its responsibility to oversee management’s implementation of our financial reporting process and the audit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approval or ratification of certain related party transactions in accordance with the terms of our RPT Policy, as discussed above in the Certain Relationships and Transactions section in this proxy statement.</w:t>
      </w:r>
    </w:p>
    <w:p>
      <w:pPr>
        <w:spacing w:after="0" w:line="171" w:lineRule="exact"/>
        <w:rPr>
          <w:sz w:val="20"/>
          <w:szCs w:val="20"/>
          <w:color w:val="auto"/>
        </w:rPr>
      </w:pPr>
    </w:p>
    <w:p>
      <w:pPr>
        <w:ind w:right="80" w:firstLine="630"/>
        <w:spacing w:after="0" w:line="264" w:lineRule="auto"/>
        <w:rPr>
          <w:sz w:val="20"/>
          <w:szCs w:val="20"/>
          <w:color w:val="auto"/>
        </w:rPr>
      </w:pPr>
      <w:r>
        <w:rPr>
          <w:rFonts w:ascii="Arial" w:cs="Arial" w:eastAsia="Arial" w:hAnsi="Arial"/>
          <w:sz w:val="19"/>
          <w:szCs w:val="19"/>
          <w:color w:val="auto"/>
        </w:rPr>
        <w:t>In its oversight role, our audit committee reviewed and discussed our audited consolidated financial statements with management and with PwC, our independent registered public accounting firm for 2020. Our audit committee also reviewed and discussed our internal control over financial reporting with management and with PwC. Management and PwC indicated that our consolidated financial statements as of and for the year ended December 31, 2020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62" w:lineRule="exact"/>
        <w:rPr>
          <w:sz w:val="20"/>
          <w:szCs w:val="20"/>
          <w:color w:val="auto"/>
        </w:rPr>
      </w:pPr>
    </w:p>
    <w:p>
      <w:pPr>
        <w:ind w:right="700" w:firstLine="630"/>
        <w:spacing w:after="0" w:line="285" w:lineRule="auto"/>
        <w:rPr>
          <w:sz w:val="20"/>
          <w:szCs w:val="20"/>
          <w:color w:val="auto"/>
        </w:rPr>
      </w:pPr>
      <w:r>
        <w:rPr>
          <w:rFonts w:ascii="Arial" w:cs="Arial" w:eastAsia="Arial" w:hAnsi="Arial"/>
          <w:sz w:val="20"/>
          <w:szCs w:val="20"/>
          <w:color w:val="auto"/>
        </w:rPr>
        <w:t>Based upon the foregoing considerations, our audit committee recommended to the board of directors that our audited consolidated financial statements be included in our 2020 Annual Report on Form 10-K for filing with the SEC.</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members of our audit committee of the board of directors respectfully submit the foregoing report as of March 3, 2021.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auto"/>
              </w:rPr>
              <w:t>Thomas E. Barry</w:t>
            </w:r>
          </w:p>
        </w:tc>
        <w:tc>
          <w:tcPr>
            <w:tcW w:w="2660" w:type="dxa"/>
            <w:vAlign w:val="bottom"/>
          </w:tcPr>
          <w:p>
            <w:pPr>
              <w:ind w:left="200"/>
              <w:spacing w:after="0"/>
              <w:rPr>
                <w:sz w:val="20"/>
                <w:szCs w:val="20"/>
                <w:color w:val="auto"/>
              </w:rPr>
            </w:pPr>
            <w:r>
              <w:rPr>
                <w:rFonts w:ascii="Arial" w:cs="Arial" w:eastAsia="Arial" w:hAnsi="Arial"/>
                <w:sz w:val="18"/>
                <w:szCs w:val="18"/>
                <w:b w:val="1"/>
                <w:bCs w:val="1"/>
                <w:color w:val="auto"/>
              </w:rPr>
              <w:t>Terri L. Herrington</w:t>
            </w:r>
          </w:p>
        </w:tc>
        <w:tc>
          <w:tcPr>
            <w:tcW w:w="2880" w:type="dxa"/>
            <w:vAlign w:val="bottom"/>
          </w:tcPr>
          <w:p>
            <w:pPr>
              <w:ind w:left="340"/>
              <w:spacing w:after="0"/>
              <w:rPr>
                <w:sz w:val="20"/>
                <w:szCs w:val="20"/>
                <w:color w:val="auto"/>
              </w:rPr>
            </w:pPr>
            <w:r>
              <w:rPr>
                <w:rFonts w:ascii="Arial" w:cs="Arial" w:eastAsia="Arial" w:hAnsi="Arial"/>
                <w:sz w:val="18"/>
                <w:szCs w:val="18"/>
                <w:b w:val="1"/>
                <w:bCs w:val="1"/>
                <w:color w:val="auto"/>
              </w:rPr>
              <w:t>Ann Manix</w:t>
            </w:r>
          </w:p>
        </w:tc>
        <w:tc>
          <w:tcPr>
            <w:tcW w:w="3080" w:type="dxa"/>
            <w:vAlign w:val="bottom"/>
          </w:tcPr>
          <w:p>
            <w:pPr>
              <w:ind w:left="280"/>
              <w:spacing w:after="0"/>
              <w:rPr>
                <w:sz w:val="20"/>
                <w:szCs w:val="20"/>
                <w:color w:val="auto"/>
              </w:rPr>
            </w:pPr>
            <w:r>
              <w:rPr>
                <w:rFonts w:ascii="Arial" w:cs="Arial" w:eastAsia="Arial" w:hAnsi="Arial"/>
                <w:sz w:val="18"/>
                <w:szCs w:val="18"/>
                <w:b w:val="1"/>
                <w:bCs w:val="1"/>
                <w:color w:val="auto"/>
              </w:rPr>
              <w:t>Mary A. Tidlund</w:t>
            </w:r>
          </w:p>
        </w:tc>
      </w:tr>
      <w:tr>
        <w:trPr>
          <w:trHeight w:val="222"/>
        </w:trPr>
        <w:tc>
          <w:tcPr>
            <w:tcW w:w="2620" w:type="dxa"/>
            <w:vAlign w:val="bottom"/>
          </w:tcPr>
          <w:p>
            <w:pPr>
              <w:spacing w:after="0"/>
              <w:rPr>
                <w:sz w:val="20"/>
                <w:szCs w:val="20"/>
                <w:color w:val="auto"/>
              </w:rPr>
            </w:pPr>
            <w:r>
              <w:rPr>
                <w:rFonts w:ascii="Arial" w:cs="Arial" w:eastAsia="Arial" w:hAnsi="Arial"/>
                <w:sz w:val="18"/>
                <w:szCs w:val="18"/>
                <w:i w:val="1"/>
                <w:iCs w:val="1"/>
                <w:color w:val="auto"/>
                <w:w w:val="97"/>
              </w:rPr>
              <w:t>Chairman of our Audit Committee</w:t>
            </w:r>
          </w:p>
        </w:tc>
        <w:tc>
          <w:tcPr>
            <w:tcW w:w="2660" w:type="dxa"/>
            <w:vAlign w:val="bottom"/>
          </w:tcPr>
          <w:p>
            <w:pPr>
              <w:ind w:left="200"/>
              <w:spacing w:after="0"/>
              <w:rPr>
                <w:sz w:val="20"/>
                <w:szCs w:val="20"/>
                <w:color w:val="auto"/>
              </w:rPr>
            </w:pPr>
            <w:r>
              <w:rPr>
                <w:rFonts w:ascii="Arial" w:cs="Arial" w:eastAsia="Arial" w:hAnsi="Arial"/>
                <w:sz w:val="18"/>
                <w:szCs w:val="18"/>
                <w:i w:val="1"/>
                <w:iCs w:val="1"/>
                <w:color w:val="auto"/>
                <w:w w:val="95"/>
              </w:rPr>
              <w:t>Member of our Audit Committee</w:t>
            </w:r>
          </w:p>
        </w:tc>
        <w:tc>
          <w:tcPr>
            <w:tcW w:w="2880" w:type="dxa"/>
            <w:vAlign w:val="bottom"/>
          </w:tcPr>
          <w:p>
            <w:pPr>
              <w:ind w:left="340"/>
              <w:spacing w:after="0"/>
              <w:rPr>
                <w:sz w:val="20"/>
                <w:szCs w:val="20"/>
                <w:color w:val="auto"/>
              </w:rPr>
            </w:pPr>
            <w:r>
              <w:rPr>
                <w:rFonts w:ascii="Arial" w:cs="Arial" w:eastAsia="Arial" w:hAnsi="Arial"/>
                <w:sz w:val="18"/>
                <w:szCs w:val="18"/>
                <w:i w:val="1"/>
                <w:iCs w:val="1"/>
                <w:color w:val="auto"/>
                <w:w w:val="98"/>
              </w:rPr>
              <w:t>Member of our Audit Committee</w:t>
            </w:r>
          </w:p>
        </w:tc>
        <w:tc>
          <w:tcPr>
            <w:tcW w:w="3080" w:type="dxa"/>
            <w:vAlign w:val="bottom"/>
          </w:tcPr>
          <w:p>
            <w:pPr>
              <w:ind w:left="280"/>
              <w:spacing w:after="0"/>
              <w:rPr>
                <w:sz w:val="20"/>
                <w:szCs w:val="20"/>
                <w:color w:val="auto"/>
              </w:rPr>
            </w:pPr>
            <w:r>
              <w:rPr>
                <w:rFonts w:ascii="Arial" w:cs="Arial" w:eastAsia="Arial" w:hAnsi="Arial"/>
                <w:sz w:val="18"/>
                <w:szCs w:val="18"/>
                <w:i w:val="1"/>
                <w:iCs w:val="1"/>
                <w:color w:val="auto"/>
              </w:rPr>
              <w:t>Member of our Audit Committee</w:t>
            </w:r>
          </w:p>
        </w:tc>
      </w:tr>
      <w:tr>
        <w:trPr>
          <w:trHeight w:val="568"/>
        </w:trPr>
        <w:tc>
          <w:tcPr>
            <w:tcW w:w="2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80" w:type="dxa"/>
            <w:vAlign w:val="bottom"/>
          </w:tcPr>
          <w:p>
            <w:pPr>
              <w:jc w:val="right"/>
              <w:ind w:right="2298"/>
              <w:spacing w:after="0"/>
              <w:rPr>
                <w:sz w:val="20"/>
                <w:szCs w:val="20"/>
                <w:color w:val="auto"/>
              </w:rPr>
            </w:pPr>
            <w:r>
              <w:rPr>
                <w:rFonts w:ascii="Arial" w:cs="Arial" w:eastAsia="Arial" w:hAnsi="Arial"/>
                <w:sz w:val="14"/>
                <w:szCs w:val="14"/>
                <w:color w:val="auto"/>
              </w:rPr>
              <w:t>- 31 -</w:t>
            </w:r>
          </w:p>
        </w:tc>
        <w:tc>
          <w:tcPr>
            <w:tcW w:w="3080" w:type="dxa"/>
            <w:vAlign w:val="bottom"/>
          </w:tcPr>
          <w:p>
            <w:pPr>
              <w:spacing w:after="0"/>
              <w:rPr>
                <w:sz w:val="24"/>
                <w:szCs w:val="24"/>
                <w:color w:val="auto"/>
              </w:rPr>
            </w:pPr>
          </w:p>
        </w:tc>
      </w:tr>
      <w:tr>
        <w:trPr>
          <w:trHeight w:val="43"/>
        </w:trPr>
        <w:tc>
          <w:tcPr>
            <w:tcW w:w="26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4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1"/>
          <w:szCs w:val="21"/>
          <w:b w:val="1"/>
          <w:bCs w:val="1"/>
          <w:color w:val="auto"/>
        </w:rPr>
        <w:t>INDEPENDENT REGISTERED PUBLIC ACCOUNTING FIRM MATTERS</w:t>
      </w:r>
    </w:p>
    <w:p>
      <w:pPr>
        <w:spacing w:after="0" w:line="211" w:lineRule="exact"/>
        <w:rPr>
          <w:sz w:val="20"/>
          <w:szCs w:val="20"/>
          <w:color w:val="auto"/>
        </w:rPr>
      </w:pPr>
    </w:p>
    <w:p>
      <w:pPr>
        <w:ind w:right="120" w:firstLine="630"/>
        <w:spacing w:after="0" w:line="244" w:lineRule="exact"/>
        <w:rPr>
          <w:sz w:val="20"/>
          <w:szCs w:val="20"/>
          <w:color w:val="auto"/>
        </w:rPr>
      </w:pPr>
      <w:r>
        <w:rPr>
          <w:rFonts w:ascii="Arial" w:cs="Arial" w:eastAsia="Arial" w:hAnsi="Arial"/>
          <w:sz w:val="21"/>
          <w:szCs w:val="21"/>
          <w:b w:val="1"/>
          <w:bCs w:val="1"/>
          <w:i w:val="1"/>
          <w:iCs w:val="1"/>
          <w:color w:val="auto"/>
        </w:rPr>
        <w:t>Independent Registered Public Accounting Firm</w:t>
      </w:r>
      <w:r>
        <w:rPr>
          <w:rFonts w:ascii="Arial" w:cs="Arial" w:eastAsia="Arial" w:hAnsi="Arial"/>
          <w:sz w:val="21"/>
          <w:szCs w:val="21"/>
          <w:color w:val="auto"/>
        </w:rPr>
        <w:t>. PwC served as our independent registered public accounting firm for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year ended December 31, 2020. Our audit committee has appointed PwC to review our quarterly unaudited condensed consolidated financial statements to be included in our Quarterly Report on Form 10</w:t>
      </w:r>
      <w:r>
        <w:rPr>
          <w:rFonts w:ascii="MS PGothic" w:cs="MS PGothic" w:eastAsia="MS PGothic" w:hAnsi="MS PGothic"/>
          <w:sz w:val="21"/>
          <w:szCs w:val="21"/>
          <w:color w:val="auto"/>
        </w:rPr>
        <w:t>‑</w:t>
      </w:r>
      <w:r>
        <w:rPr>
          <w:rFonts w:ascii="Arial" w:cs="Arial" w:eastAsia="Arial" w:hAnsi="Arial"/>
          <w:sz w:val="21"/>
          <w:szCs w:val="21"/>
          <w:color w:val="auto"/>
        </w:rPr>
        <w:t>Q for the first quarter of 2021. We expect PwC will be considered for appointment to:</w:t>
      </w:r>
    </w:p>
    <w:p>
      <w:pPr>
        <w:spacing w:after="0" w:line="190" w:lineRule="exact"/>
        <w:rPr>
          <w:sz w:val="20"/>
          <w:szCs w:val="20"/>
          <w:color w:val="auto"/>
        </w:rPr>
      </w:pPr>
    </w:p>
    <w:p>
      <w:pPr>
        <w:ind w:left="1260" w:right="320" w:hanging="625"/>
        <w:spacing w:after="0" w:line="260" w:lineRule="auto"/>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 our quarterly unaudited condensed consolidated financial statements to be included in our Quarterly Reports on Form 10-Q for the second and third quarters of 2021 and the first quarter of 2022; and</w:t>
      </w:r>
    </w:p>
    <w:p>
      <w:pPr>
        <w:spacing w:after="0" w:line="391" w:lineRule="exact"/>
        <w:rPr>
          <w:rFonts w:ascii="Arial" w:cs="Arial" w:eastAsia="Arial" w:hAnsi="Arial"/>
          <w:sz w:val="18"/>
          <w:szCs w:val="18"/>
          <w:color w:val="auto"/>
        </w:rPr>
      </w:pPr>
    </w:p>
    <w:p>
      <w:pPr>
        <w:ind w:left="1260" w:hanging="625"/>
        <w:spacing w:after="0"/>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audit our annual consolidated financial statements for the year ending December 31,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Representatives of PwC are not expected to attend our 2021 annual stockholder meeting.</w:t>
      </w:r>
    </w:p>
    <w:p>
      <w:pPr>
        <w:spacing w:after="0" w:line="205" w:lineRule="exact"/>
        <w:rPr>
          <w:sz w:val="20"/>
          <w:szCs w:val="20"/>
          <w:color w:val="auto"/>
        </w:rPr>
      </w:pPr>
    </w:p>
    <w:p>
      <w:pPr>
        <w:ind w:right="60" w:firstLine="630"/>
        <w:spacing w:after="0" w:line="272" w:lineRule="auto"/>
        <w:rPr>
          <w:sz w:val="20"/>
          <w:szCs w:val="20"/>
          <w:color w:val="auto"/>
        </w:rPr>
      </w:pPr>
      <w:r>
        <w:rPr>
          <w:rFonts w:ascii="Arial" w:cs="Arial" w:eastAsia="Arial" w:hAnsi="Arial"/>
          <w:sz w:val="19"/>
          <w:szCs w:val="19"/>
          <w:b w:val="1"/>
          <w:bCs w:val="1"/>
          <w:i w:val="1"/>
          <w:iCs w:val="1"/>
          <w:color w:val="auto"/>
        </w:rPr>
        <w:t>Fees Paid to PricewaterhouseCoopers LLP</w:t>
      </w:r>
      <w:r>
        <w:rPr>
          <w:rFonts w:ascii="Arial" w:cs="Arial" w:eastAsia="Arial" w:hAnsi="Arial"/>
          <w:sz w:val="19"/>
          <w:szCs w:val="19"/>
          <w:color w:val="auto"/>
        </w:rPr>
        <w:t>. The following table shows the aggregate fees that our audit committee has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authorized and PwC has billed or is expected to bill to us for services rendered for 2019 and 2020. Additional fees for 2020 may subsequently be authorized and paid to PwC, in which case the amounts disclosed below for fees paid to PwC for 2020 would be adjusted to reflect such additional payments in our proxy statement relating to next year’s annual stockholder meeting. In this regard, we have similarly adjusted the audit fees shown for 2019 from the amounts disclosed in our 2020 proxy statement.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640" w:type="dxa"/>
            <w:vAlign w:val="bottom"/>
          </w:tcPr>
          <w:p>
            <w:pPr>
              <w:ind w:left="3800"/>
              <w:spacing w:after="0"/>
              <w:rPr>
                <w:sz w:val="20"/>
                <w:szCs w:val="20"/>
                <w:color w:val="auto"/>
              </w:rPr>
            </w:pPr>
            <w:r>
              <w:rPr>
                <w:rFonts w:ascii="Arial" w:cs="Arial" w:eastAsia="Arial" w:hAnsi="Arial"/>
                <w:sz w:val="18"/>
                <w:szCs w:val="18"/>
                <w:b w:val="1"/>
                <w:bCs w:val="1"/>
                <w:color w:val="auto"/>
              </w:rPr>
              <w:t>Type of Fees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Audit-Related Fees (2)</w:t>
            </w:r>
          </w:p>
        </w:tc>
        <w:tc>
          <w:tcPr>
            <w:tcW w:w="260" w:type="dxa"/>
            <w:vAlign w:val="bottom"/>
          </w:tcPr>
          <w:p>
            <w:pPr>
              <w:spacing w:after="0"/>
              <w:rPr>
                <w:sz w:val="18"/>
                <w:szCs w:val="18"/>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All Other Fees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970</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1934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3421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640" w:hanging="635"/>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Fees for the following services:</w:t>
      </w:r>
    </w:p>
    <w:p>
      <w:pPr>
        <w:spacing w:after="0" w:line="213" w:lineRule="exact"/>
        <w:rPr>
          <w:rFonts w:ascii="Arial" w:cs="Arial" w:eastAsia="Arial" w:hAnsi="Arial"/>
          <w:sz w:val="18"/>
          <w:szCs w:val="18"/>
          <w:color w:val="auto"/>
        </w:rPr>
      </w:pPr>
    </w:p>
    <w:p>
      <w:pPr>
        <w:ind w:left="1260" w:hanging="625"/>
        <w:spacing w:after="0"/>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audits of consolidated year-end financial statements for each year;</w:t>
      </w:r>
    </w:p>
    <w:p>
      <w:pPr>
        <w:spacing w:after="0" w:line="14" w:lineRule="exact"/>
        <w:rPr>
          <w:rFonts w:ascii="Arial" w:cs="Arial" w:eastAsia="Arial" w:hAnsi="Arial"/>
          <w:sz w:val="18"/>
          <w:szCs w:val="18"/>
          <w:color w:val="auto"/>
        </w:rPr>
      </w:pPr>
    </w:p>
    <w:p>
      <w:pPr>
        <w:ind w:left="1260" w:hanging="625"/>
        <w:spacing w:after="0"/>
        <w:tabs>
          <w:tab w:leader="none" w:pos="12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reviews of the unaudited quarterly financial statements appearing in Forms 10-Q for each of the first three quarters of each year;</w:t>
      </w:r>
    </w:p>
    <w:p>
      <w:pPr>
        <w:spacing w:after="0" w:line="26" w:lineRule="exact"/>
        <w:rPr>
          <w:rFonts w:ascii="Arial" w:cs="Arial" w:eastAsia="Arial" w:hAnsi="Arial"/>
          <w:sz w:val="16"/>
          <w:szCs w:val="16"/>
          <w:color w:val="auto"/>
        </w:rPr>
      </w:pPr>
    </w:p>
    <w:p>
      <w:pPr>
        <w:ind w:left="1260" w:hanging="625"/>
        <w:spacing w:after="0"/>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consents and/or assistance with registration statements filed with the SEC;</w:t>
      </w:r>
    </w:p>
    <w:p>
      <w:pPr>
        <w:spacing w:after="0" w:line="3" w:lineRule="exact"/>
        <w:rPr>
          <w:rFonts w:ascii="Arial" w:cs="Arial" w:eastAsia="Arial" w:hAnsi="Arial"/>
          <w:sz w:val="18"/>
          <w:szCs w:val="18"/>
          <w:color w:val="auto"/>
        </w:rPr>
      </w:pPr>
    </w:p>
    <w:p>
      <w:pPr>
        <w:ind w:left="1260" w:hanging="625"/>
        <w:spacing w:after="0"/>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normally provided statutory or regulatory filings or engagements for each year; and</w:t>
      </w:r>
    </w:p>
    <w:p>
      <w:pPr>
        <w:spacing w:after="0" w:line="3" w:lineRule="exact"/>
        <w:rPr>
          <w:rFonts w:ascii="Arial" w:cs="Arial" w:eastAsia="Arial" w:hAnsi="Arial"/>
          <w:sz w:val="18"/>
          <w:szCs w:val="18"/>
          <w:color w:val="auto"/>
        </w:rPr>
      </w:pPr>
    </w:p>
    <w:p>
      <w:pPr>
        <w:ind w:left="1260" w:hanging="625"/>
        <w:spacing w:after="0"/>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estimated out-of-pocket costs PwC incurred in providing all of such services, for which PwC is reimbursed.</w:t>
      </w:r>
    </w:p>
    <w:p>
      <w:pPr>
        <w:spacing w:after="0" w:line="96" w:lineRule="exact"/>
        <w:rPr>
          <w:rFonts w:ascii="Arial" w:cs="Arial" w:eastAsia="Arial" w:hAnsi="Arial"/>
          <w:sz w:val="18"/>
          <w:szCs w:val="18"/>
          <w:color w:val="auto"/>
        </w:rPr>
      </w:pPr>
    </w:p>
    <w:p>
      <w:pPr>
        <w:ind w:left="640" w:right="280" w:hanging="635"/>
        <w:spacing w:after="0" w:line="252"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188" w:lineRule="exact"/>
        <w:rPr>
          <w:rFonts w:ascii="Arial" w:cs="Arial" w:eastAsia="Arial" w:hAnsi="Arial"/>
          <w:sz w:val="18"/>
          <w:szCs w:val="18"/>
          <w:color w:val="auto"/>
        </w:rPr>
      </w:pPr>
    </w:p>
    <w:p>
      <w:pPr>
        <w:ind w:left="640" w:hanging="635"/>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Permitted fees for tax compliance, tax advice and tax planning services.</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5560" w:hanging="88"/>
        <w:spacing w:after="0"/>
        <w:tabs>
          <w:tab w:leader="none" w:pos="5560" w:val="left"/>
        </w:tabs>
        <w:numPr>
          <w:ilvl w:val="2"/>
          <w:numId w:val="77"/>
        </w:numPr>
        <w:rPr>
          <w:rFonts w:ascii="Arial" w:cs="Arial" w:eastAsia="Arial" w:hAnsi="Arial"/>
          <w:sz w:val="14"/>
          <w:szCs w:val="14"/>
          <w:color w:val="auto"/>
        </w:rPr>
      </w:pPr>
      <w:r>
        <w:rPr>
          <w:rFonts w:ascii="Arial" w:cs="Arial" w:eastAsia="Arial" w:hAnsi="Arial"/>
          <w:sz w:val="14"/>
          <w:szCs w:val="14"/>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7" w:name="page38"/>
    <w:bookmarkEnd w:id="37"/>
    <w:p>
      <w:pPr>
        <w:ind w:right="20" w:firstLine="630"/>
        <w:spacing w:after="0" w:line="297" w:lineRule="auto"/>
        <w:rPr>
          <w:sz w:val="20"/>
          <w:szCs w:val="20"/>
          <w:color w:val="auto"/>
        </w:rPr>
      </w:pPr>
      <w:r>
        <w:rPr>
          <w:rFonts w:ascii="Arial" w:cs="Arial" w:eastAsia="Arial" w:hAnsi="Arial"/>
          <w:sz w:val="18"/>
          <w:szCs w:val="18"/>
          <w:b w:val="1"/>
          <w:bCs w:val="1"/>
          <w:i w:val="1"/>
          <w:iCs w:val="1"/>
          <w:color w:val="auto"/>
        </w:rPr>
        <w:t>Preapproval Policies and Procedures</w:t>
      </w:r>
      <w:r>
        <w:rPr>
          <w:rFonts w:ascii="Arial" w:cs="Arial" w:eastAsia="Arial" w:hAnsi="Arial"/>
          <w:sz w:val="18"/>
          <w:szCs w:val="18"/>
          <w:color w:val="auto"/>
        </w:rPr>
        <w:t>. For the purpose of maintaining the independence of our independent registered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our audit committee has 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40" w:lineRule="exact"/>
        <w:rPr>
          <w:sz w:val="20"/>
          <w:szCs w:val="20"/>
          <w:color w:val="auto"/>
        </w:rPr>
      </w:pPr>
    </w:p>
    <w:p>
      <w:pPr>
        <w:ind w:left="1260" w:right="100" w:hanging="625"/>
        <w:spacing w:after="0" w:line="298" w:lineRule="auto"/>
        <w:tabs>
          <w:tab w:leader="none" w:pos="1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364" w:lineRule="exact"/>
        <w:rPr>
          <w:rFonts w:ascii="Arial" w:cs="Arial" w:eastAsia="Arial" w:hAnsi="Arial"/>
          <w:sz w:val="16"/>
          <w:szCs w:val="16"/>
          <w:color w:val="auto"/>
        </w:rPr>
      </w:pPr>
    </w:p>
    <w:p>
      <w:pPr>
        <w:ind w:left="1260" w:right="720" w:hanging="625"/>
        <w:spacing w:after="0" w:line="323" w:lineRule="auto"/>
        <w:tabs>
          <w:tab w:leader="none" w:pos="1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color w:val="auto"/>
        </w:rPr>
        <w:t>These other permitted services include:</w:t>
      </w:r>
    </w:p>
    <w:p>
      <w:pPr>
        <w:spacing w:after="0" w:line="214" w:lineRule="exact"/>
        <w:rPr>
          <w:sz w:val="20"/>
          <w:szCs w:val="20"/>
          <w:color w:val="auto"/>
        </w:rPr>
      </w:pPr>
    </w:p>
    <w:p>
      <w:pPr>
        <w:ind w:left="1260" w:right="120" w:hanging="625"/>
        <w:spacing w:after="0" w:line="260" w:lineRule="auto"/>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audit-related services, such as certain consultations regarding accounting treatments or interpretations and assistance in responding to certain SEC comment letters;</w:t>
      </w:r>
    </w:p>
    <w:p>
      <w:pPr>
        <w:spacing w:after="0" w:line="391" w:lineRule="exact"/>
        <w:rPr>
          <w:rFonts w:ascii="Arial" w:cs="Arial" w:eastAsia="Arial" w:hAnsi="Arial"/>
          <w:sz w:val="18"/>
          <w:szCs w:val="18"/>
          <w:color w:val="auto"/>
        </w:rPr>
      </w:pPr>
    </w:p>
    <w:p>
      <w:pPr>
        <w:ind w:left="1260" w:hanging="625"/>
        <w:spacing w:after="0" w:line="260" w:lineRule="auto"/>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audit-related services, such as certain other consultations regarding accounting treatments or interpretations, employee benefit plan audits, due diligence and control reviews;</w:t>
      </w:r>
    </w:p>
    <w:p>
      <w:pPr>
        <w:spacing w:after="0" w:line="391" w:lineRule="exact"/>
        <w:rPr>
          <w:rFonts w:ascii="Arial" w:cs="Arial" w:eastAsia="Arial" w:hAnsi="Arial"/>
          <w:sz w:val="18"/>
          <w:szCs w:val="18"/>
          <w:color w:val="auto"/>
        </w:rPr>
      </w:pPr>
    </w:p>
    <w:p>
      <w:pPr>
        <w:ind w:left="1260" w:hanging="625"/>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 services, such as tax compliance and consulting, transfer pricing, customs and duties and expatriate tax services;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hanging="625"/>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assistance with corporate governance matters and filing documents in foreign jurisdictions not involving the practice of law.</w:t>
      </w:r>
    </w:p>
    <w:p>
      <w:pPr>
        <w:spacing w:after="0" w:line="200" w:lineRule="exact"/>
        <w:rPr>
          <w:sz w:val="20"/>
          <w:szCs w:val="20"/>
          <w:color w:val="auto"/>
        </w:rPr>
      </w:pPr>
    </w:p>
    <w:p>
      <w:pPr>
        <w:spacing w:after="0" w:line="214" w:lineRule="exact"/>
        <w:rPr>
          <w:sz w:val="20"/>
          <w:szCs w:val="20"/>
          <w:color w:val="auto"/>
        </w:rPr>
      </w:pPr>
    </w:p>
    <w:p>
      <w:pPr>
        <w:ind w:right="540"/>
        <w:spacing w:after="0" w:line="260" w:lineRule="auto"/>
        <w:rPr>
          <w:sz w:val="20"/>
          <w:szCs w:val="20"/>
          <w:color w:val="auto"/>
        </w:rPr>
      </w:pPr>
      <w:r>
        <w:rPr>
          <w:rFonts w:ascii="Arial" w:cs="Arial" w:eastAsia="Arial" w:hAnsi="Arial"/>
          <w:sz w:val="21"/>
          <w:szCs w:val="21"/>
          <w:color w:val="auto"/>
        </w:rPr>
        <w:t>The policy also lists certain services for which the independent auditor is always prohibited from providing us under applicable requirements of the SEC or the PCAOB.</w:t>
      </w:r>
    </w:p>
    <w:p>
      <w:pPr>
        <w:spacing w:after="0" w:line="159" w:lineRule="exact"/>
        <w:rPr>
          <w:sz w:val="20"/>
          <w:szCs w:val="20"/>
          <w:color w:val="auto"/>
        </w:rPr>
      </w:pPr>
    </w:p>
    <w:p>
      <w:pPr>
        <w:ind w:right="40" w:firstLine="630"/>
        <w:spacing w:after="0" w:line="243" w:lineRule="auto"/>
        <w:rPr>
          <w:sz w:val="20"/>
          <w:szCs w:val="20"/>
          <w:color w:val="auto"/>
        </w:rPr>
      </w:pPr>
      <w:r>
        <w:rPr>
          <w:rFonts w:ascii="Arial" w:cs="Arial" w:eastAsia="Arial" w:hAnsi="Arial"/>
          <w:sz w:val="21"/>
          <w:szCs w:val="21"/>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77" w:lineRule="exact"/>
        <w:rPr>
          <w:sz w:val="20"/>
          <w:szCs w:val="20"/>
          <w:color w:val="auto"/>
        </w:rPr>
      </w:pPr>
    </w:p>
    <w:p>
      <w:pPr>
        <w:ind w:right="20" w:firstLine="630"/>
        <w:spacing w:after="0" w:line="285" w:lineRule="auto"/>
        <w:rPr>
          <w:sz w:val="20"/>
          <w:szCs w:val="20"/>
          <w:color w:val="auto"/>
        </w:rPr>
      </w:pPr>
      <w:r>
        <w:rPr>
          <w:rFonts w:ascii="Arial" w:cs="Arial" w:eastAsia="Arial" w:hAnsi="Arial"/>
          <w:sz w:val="20"/>
          <w:szCs w:val="20"/>
          <w:color w:val="auto"/>
        </w:rPr>
        <w:t xml:space="preserve">For 2020, our audit committee preapproved all of PwC’s services provided to us or any of our subsidiaries in compliance with our preapproval policy without the use of the SEC’s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exception to such preapproval requirement.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1"/>
          <w:szCs w:val="21"/>
          <w:b w:val="1"/>
          <w:bCs w:val="1"/>
          <w:color w:val="auto"/>
        </w:rPr>
        <w:t>PROPOSAL 2</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NONBINDING ADVISORY RESOLUTION ON NAMED EXECUTIVE OFFICER COMPENSATION</w:t>
      </w:r>
    </w:p>
    <w:p>
      <w:pPr>
        <w:spacing w:after="0" w:line="187" w:lineRule="exact"/>
        <w:rPr>
          <w:sz w:val="20"/>
          <w:szCs w:val="20"/>
          <w:color w:val="auto"/>
        </w:rPr>
      </w:pPr>
    </w:p>
    <w:p>
      <w:pPr>
        <w:ind w:firstLine="630"/>
        <w:spacing w:after="0" w:line="239" w:lineRule="auto"/>
        <w:rPr>
          <w:sz w:val="20"/>
          <w:szCs w:val="20"/>
          <w:color w:val="auto"/>
        </w:rPr>
      </w:pPr>
      <w:r>
        <w:rPr>
          <w:rFonts w:ascii="Arial" w:cs="Arial" w:eastAsia="Arial" w:hAnsi="Arial"/>
          <w:sz w:val="21"/>
          <w:szCs w:val="21"/>
          <w:b w:val="1"/>
          <w:bCs w:val="1"/>
          <w:i w:val="1"/>
          <w:iCs w:val="1"/>
          <w:color w:val="auto"/>
        </w:rPr>
        <w:t>Background</w:t>
      </w:r>
      <w:r>
        <w:rPr>
          <w:rFonts w:ascii="Arial" w:cs="Arial" w:eastAsia="Arial" w:hAnsi="Arial"/>
          <w:sz w:val="21"/>
          <w:szCs w:val="21"/>
          <w:color w:val="auto"/>
        </w:rPr>
        <w:t>. Pursuant to Section 14A of the Securities Exchange Act, a publicly held company is required to submit to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stockholders a nonbinding advisory vote to approve the compensation of its named executive officers, commonly known as a “Say-on-Pay” proposal. Our stockholders have approved an annual frequency for these Say-on-Pay proposals. After our 2021 annual meeting of stockholders, the next nonbinding stockholder advisory vote on a Say-on-Pay proposal will be at our 2022 annual meeting of stockholders. The next nonbinding stockholder advisory vote on the frequency of a Say-on-Pay proposal will be at our 2023 annual meeting of stockholders.</w:t>
      </w:r>
    </w:p>
    <w:p>
      <w:pPr>
        <w:spacing w:after="0" w:line="185" w:lineRule="exact"/>
        <w:rPr>
          <w:sz w:val="20"/>
          <w:szCs w:val="20"/>
          <w:color w:val="auto"/>
        </w:rPr>
      </w:pPr>
    </w:p>
    <w:p>
      <w:pPr>
        <w:ind w:right="180" w:firstLine="630"/>
        <w:spacing w:after="0" w:line="252" w:lineRule="auto"/>
        <w:rPr>
          <w:sz w:val="20"/>
          <w:szCs w:val="20"/>
          <w:color w:val="auto"/>
        </w:rPr>
      </w:pPr>
      <w:r>
        <w:rPr>
          <w:rFonts w:ascii="Arial" w:cs="Arial" w:eastAsia="Arial" w:hAnsi="Arial"/>
          <w:sz w:val="20"/>
          <w:szCs w:val="20"/>
          <w:b w:val="1"/>
          <w:bCs w:val="1"/>
          <w:i w:val="1"/>
          <w:iCs w:val="1"/>
          <w:color w:val="auto"/>
        </w:rPr>
        <w:t>Say-on-Pay Proposal</w:t>
      </w:r>
      <w:r>
        <w:rPr>
          <w:rFonts w:ascii="Arial" w:cs="Arial" w:eastAsia="Arial" w:hAnsi="Arial"/>
          <w:sz w:val="20"/>
          <w:szCs w:val="20"/>
          <w:color w:val="auto"/>
        </w:rPr>
        <w:t>. This proposal affords our stockholders the opportunity to submit a nonbinding advisory vote on 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named executive officer compensation. The 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63" w:lineRule="exact"/>
        <w:rPr>
          <w:sz w:val="20"/>
          <w:szCs w:val="20"/>
          <w:color w:val="auto"/>
        </w:rPr>
      </w:pPr>
    </w:p>
    <w:p>
      <w:pPr>
        <w:ind w:left="640" w:right="680" w:firstLine="630"/>
        <w:spacing w:after="0" w:line="269" w:lineRule="auto"/>
        <w:rPr>
          <w:sz w:val="20"/>
          <w:szCs w:val="20"/>
          <w:color w:val="auto"/>
        </w:rPr>
      </w:pPr>
      <w:r>
        <w:rPr>
          <w:rFonts w:ascii="Arial" w:cs="Arial" w:eastAsia="Arial" w:hAnsi="Arial"/>
          <w:sz w:val="19"/>
          <w:szCs w:val="19"/>
          <w:b w:val="1"/>
          <w:bCs w:val="1"/>
          <w:color w:val="auto"/>
        </w:rPr>
        <w:t>RESOLVED</w:t>
      </w:r>
      <w:r>
        <w:rPr>
          <w:rFonts w:ascii="Arial" w:cs="Arial" w:eastAsia="Arial" w:hAnsi="Arial"/>
          <w:sz w:val="19"/>
          <w:szCs w:val="19"/>
          <w:color w:val="auto"/>
        </w:rPr>
        <w:t>, that, by the affirmative vote of the holders of the majority of the class A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present in person or represented by proxy at the 2021 annual stockholder meeting and entitled to vote on the subject matter, the stockholders of CompX International Inc. approve, on a nonbinding advisory basis, the compensation of its executive officers named in the 2020 Summary Compensation Table in the 2021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56" w:lineRule="exact"/>
        <w:rPr>
          <w:sz w:val="20"/>
          <w:szCs w:val="20"/>
          <w:color w:val="auto"/>
        </w:rPr>
      </w:pPr>
    </w:p>
    <w:p>
      <w:pPr>
        <w:jc w:val="both"/>
        <w:ind w:right="160" w:firstLine="630"/>
        <w:spacing w:after="0" w:line="247" w:lineRule="auto"/>
        <w:rPr>
          <w:sz w:val="20"/>
          <w:szCs w:val="20"/>
          <w:color w:val="auto"/>
        </w:rPr>
      </w:pPr>
      <w:r>
        <w:rPr>
          <w:rFonts w:ascii="Arial" w:cs="Arial" w:eastAsia="Arial" w:hAnsi="Arial"/>
          <w:sz w:val="21"/>
          <w:szCs w:val="21"/>
          <w:b w:val="1"/>
          <w:bCs w:val="1"/>
          <w:i w:val="1"/>
          <w:iCs w:val="1"/>
          <w:color w:val="auto"/>
        </w:rPr>
        <w:t>Effect of the Proposal</w:t>
      </w:r>
      <w:r>
        <w:rPr>
          <w:rFonts w:ascii="Arial" w:cs="Arial" w:eastAsia="Arial" w:hAnsi="Arial"/>
          <w:sz w:val="21"/>
          <w:szCs w:val="21"/>
          <w:color w:val="auto"/>
        </w:rPr>
        <w:t>. The Say-on-Pay proposal is nonbinding and advisory. Our stockholders’ approval or disapproval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this proposal will not require our board of directors, its management development and compensation committee or our management to take any action regarding our executive compensation practices.</w:t>
      </w:r>
    </w:p>
    <w:p>
      <w:pPr>
        <w:spacing w:after="0" w:line="173" w:lineRule="exact"/>
        <w:rPr>
          <w:sz w:val="20"/>
          <w:szCs w:val="20"/>
          <w:color w:val="auto"/>
        </w:rPr>
      </w:pPr>
    </w:p>
    <w:p>
      <w:pPr>
        <w:ind w:right="100" w:firstLine="630"/>
        <w:spacing w:after="0" w:line="239" w:lineRule="auto"/>
        <w:rPr>
          <w:sz w:val="20"/>
          <w:szCs w:val="20"/>
          <w:color w:val="auto"/>
        </w:rPr>
      </w:pPr>
      <w:r>
        <w:rPr>
          <w:rFonts w:ascii="Arial" w:cs="Arial" w:eastAsia="Arial" w:hAnsi="Arial"/>
          <w:sz w:val="21"/>
          <w:szCs w:val="21"/>
          <w:b w:val="1"/>
          <w:bCs w:val="1"/>
          <w:i w:val="1"/>
          <w:iCs w:val="1"/>
          <w:color w:val="auto"/>
        </w:rPr>
        <w:t>Vote Required</w:t>
      </w:r>
      <w:r>
        <w:rPr>
          <w:rFonts w:ascii="Arial" w:cs="Arial" w:eastAsia="Arial" w:hAnsi="Arial"/>
          <w:sz w:val="21"/>
          <w:szCs w:val="21"/>
          <w:color w:val="auto"/>
        </w:rPr>
        <w:t>. Because this proposal is a nonbinding advisory vote, there is no minimum requisite vote to approve the Say-on-Pay proposal. The proposed resolution provides that the nonbinding affirmative vote of the holders of the majority of the class A shares of common stock present in person or represented by proxy at the 2021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81" w:lineRule="exact"/>
        <w:rPr>
          <w:sz w:val="20"/>
          <w:szCs w:val="20"/>
          <w:color w:val="auto"/>
        </w:rPr>
      </w:pPr>
    </w:p>
    <w:p>
      <w:pPr>
        <w:ind w:right="60" w:firstLine="630"/>
        <w:spacing w:after="0" w:line="277" w:lineRule="auto"/>
        <w:rPr>
          <w:sz w:val="20"/>
          <w:szCs w:val="20"/>
          <w:color w:val="auto"/>
        </w:rPr>
      </w:pPr>
      <w:r>
        <w:rPr>
          <w:rFonts w:ascii="Arial" w:cs="Arial" w:eastAsia="Arial" w:hAnsi="Arial"/>
          <w:sz w:val="19"/>
          <w:szCs w:val="19"/>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41" w:lineRule="exact"/>
        <w:rPr>
          <w:sz w:val="20"/>
          <w:szCs w:val="20"/>
          <w:color w:val="auto"/>
        </w:rPr>
      </w:pPr>
    </w:p>
    <w:p>
      <w:pPr>
        <w:jc w:val="both"/>
        <w:ind w:firstLine="630"/>
        <w:spacing w:after="0" w:line="250" w:lineRule="auto"/>
        <w:rPr>
          <w:sz w:val="20"/>
          <w:szCs w:val="20"/>
          <w:color w:val="auto"/>
        </w:rPr>
      </w:pPr>
      <w:r>
        <w:rPr>
          <w:rFonts w:ascii="Arial" w:cs="Arial" w:eastAsia="Arial" w:hAnsi="Arial"/>
          <w:sz w:val="21"/>
          <w:szCs w:val="21"/>
          <w:color w:val="auto"/>
        </w:rPr>
        <w:t xml:space="preserve">OUR BOARD OF DIRECTORS RECOMMENDS A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SAY-ON-PAY PROPOSAL AS SET FORTH IN THE NONBINDING ADVISORY RESOLUTION APPROVING OUR NAMED EXECUTIVE OFFICER COMPENSATION AS DISCLOSED IN THIS PROXY STATEMENT.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21"/>
          <w:szCs w:val="21"/>
          <w:b w:val="1"/>
          <w:bCs w:val="1"/>
          <w:color w:val="auto"/>
        </w:rPr>
        <w:t>OTHER MATTERS</w:t>
      </w:r>
    </w:p>
    <w:p>
      <w:pPr>
        <w:spacing w:after="0" w:line="211" w:lineRule="exact"/>
        <w:rPr>
          <w:sz w:val="20"/>
          <w:szCs w:val="20"/>
          <w:color w:val="auto"/>
        </w:rPr>
      </w:pPr>
    </w:p>
    <w:p>
      <w:pPr>
        <w:ind w:firstLine="630"/>
        <w:spacing w:after="0" w:line="247" w:lineRule="auto"/>
        <w:rPr>
          <w:sz w:val="20"/>
          <w:szCs w:val="20"/>
          <w:color w:val="auto"/>
        </w:rPr>
      </w:pPr>
      <w:r>
        <w:rPr>
          <w:rFonts w:ascii="Arial" w:cs="Arial" w:eastAsia="Arial" w:hAnsi="Arial"/>
          <w:sz w:val="21"/>
          <w:szCs w:val="21"/>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2020 ANNUAL REPORT ON FORM 10-K</w:t>
      </w:r>
    </w:p>
    <w:p>
      <w:pPr>
        <w:spacing w:after="0" w:line="211" w:lineRule="exact"/>
        <w:rPr>
          <w:sz w:val="20"/>
          <w:szCs w:val="20"/>
          <w:color w:val="auto"/>
        </w:rPr>
      </w:pPr>
    </w:p>
    <w:p>
      <w:pPr>
        <w:ind w:right="320" w:firstLine="630"/>
        <w:spacing w:after="0" w:line="247" w:lineRule="auto"/>
        <w:rPr>
          <w:sz w:val="20"/>
          <w:szCs w:val="20"/>
          <w:color w:val="auto"/>
        </w:rPr>
      </w:pPr>
      <w:r>
        <w:rPr>
          <w:rFonts w:ascii="Arial" w:cs="Arial" w:eastAsia="Arial" w:hAnsi="Arial"/>
          <w:sz w:val="21"/>
          <w:szCs w:val="21"/>
          <w:color w:val="auto"/>
        </w:rPr>
        <w:t xml:space="preserve">A copy of our Annual Report on Form 10-K for the fiscal year ended December 31, 2020 is included as part of the annual report mailed to our stockholders with this proxy statement and may also be accessed on our website at </w:t>
      </w:r>
      <w:r>
        <w:rPr>
          <w:rFonts w:ascii="Arial" w:cs="Arial" w:eastAsia="Arial" w:hAnsi="Arial"/>
          <w:sz w:val="21"/>
          <w:szCs w:val="21"/>
          <w:b w:val="1"/>
          <w:bCs w:val="1"/>
          <w:i w:val="1"/>
          <w:iCs w:val="1"/>
          <w:color w:val="auto"/>
        </w:rPr>
        <w:t>www.compxinternational.com</w:t>
      </w:r>
      <w:r>
        <w:rPr>
          <w:rFonts w:ascii="Arial" w:cs="Arial" w:eastAsia="Arial" w:hAnsi="Arial"/>
          <w:sz w:val="21"/>
          <w:szCs w:val="21"/>
          <w:color w:val="auto"/>
        </w:rPr>
        <w:t>.</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STOCKHOLDERS SHARING THE SAME ADDRESS</w:t>
      </w:r>
    </w:p>
    <w:p>
      <w:pPr>
        <w:spacing w:after="0" w:line="211" w:lineRule="exact"/>
        <w:rPr>
          <w:sz w:val="20"/>
          <w:szCs w:val="20"/>
          <w:color w:val="auto"/>
        </w:rPr>
      </w:pPr>
    </w:p>
    <w:p>
      <w:pPr>
        <w:ind w:right="60" w:firstLine="630"/>
        <w:spacing w:after="0" w:line="243" w:lineRule="auto"/>
        <w:rPr>
          <w:sz w:val="20"/>
          <w:szCs w:val="20"/>
          <w:color w:val="auto"/>
        </w:rPr>
      </w:pPr>
      <w:r>
        <w:rPr>
          <w:rFonts w:ascii="Arial" w:cs="Arial" w:eastAsia="Arial" w:hAnsi="Arial"/>
          <w:sz w:val="21"/>
          <w:szCs w:val="21"/>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86" w:lineRule="exact"/>
        <w:rPr>
          <w:sz w:val="20"/>
          <w:szCs w:val="20"/>
          <w:color w:val="auto"/>
        </w:rPr>
      </w:pPr>
    </w:p>
    <w:p>
      <w:pPr>
        <w:ind w:left="1260" w:hanging="625"/>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 no longer wish to participate in householding and would prefer to receive separate proxy materials;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260" w:hanging="625"/>
        <w:spacing w:after="0"/>
        <w:tabs>
          <w:tab w:leader="none" w:pos="12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you receive multiple copies of the proxy materials at your address and would like to request householding of our communications.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REQUEST COPIES OF THE 2020 ANNUAL REPORT AND THIS PROXY STATEMENT</w:t>
      </w:r>
    </w:p>
    <w:p>
      <w:pPr>
        <w:spacing w:after="0" w:line="211" w:lineRule="exact"/>
        <w:rPr>
          <w:sz w:val="20"/>
          <w:szCs w:val="20"/>
          <w:color w:val="auto"/>
        </w:rPr>
      </w:pPr>
    </w:p>
    <w:p>
      <w:pPr>
        <w:jc w:val="both"/>
        <w:ind w:right="20" w:firstLine="630"/>
        <w:spacing w:after="0" w:line="247" w:lineRule="auto"/>
        <w:rPr>
          <w:sz w:val="20"/>
          <w:szCs w:val="20"/>
          <w:color w:val="auto"/>
        </w:rPr>
      </w:pPr>
      <w:r>
        <w:rPr>
          <w:rFonts w:ascii="Arial" w:cs="Arial" w:eastAsia="Arial" w:hAnsi="Arial"/>
          <w:sz w:val="21"/>
          <w:szCs w:val="21"/>
          <w:color w:val="auto"/>
        </w:rPr>
        <w:t>To obtain copies of our 2020 Annual Report to Stockholders or this proxy statement without charge, please mail your request to the attention of Jane R. Grimm, corporate secretary, at CompX International Inc., Three Lincoln Centre, 5430 LBJ Freeway, Suite 1700, Dallas, Texas 75240-2620, or call her at 972.233.1700.</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OMP</w:t>
      </w:r>
      <w:r>
        <w:rPr>
          <w:rFonts w:ascii="Arial" w:cs="Arial" w:eastAsia="Arial" w:hAnsi="Arial"/>
          <w:sz w:val="21"/>
          <w:szCs w:val="21"/>
          <w:b w:val="1"/>
          <w:bCs w:val="1"/>
          <w:color w:val="auto"/>
        </w:rPr>
        <w:t>X I</w:t>
      </w:r>
      <w:r>
        <w:rPr>
          <w:rFonts w:ascii="Arial" w:cs="Arial" w:eastAsia="Arial" w:hAnsi="Arial"/>
          <w:sz w:val="14"/>
          <w:szCs w:val="14"/>
          <w:b w:val="1"/>
          <w:bCs w:val="1"/>
          <w:color w:val="auto"/>
        </w:rPr>
        <w:t>NTERNATIONAL</w:t>
      </w:r>
      <w:r>
        <w:rPr>
          <w:rFonts w:ascii="Arial" w:cs="Arial" w:eastAsia="Arial" w:hAnsi="Arial"/>
          <w:sz w:val="21"/>
          <w:szCs w:val="21"/>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Dallas, Texas</w:t>
      </w:r>
    </w:p>
    <w:p>
      <w:pPr>
        <w:spacing w:after="0" w:line="13"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April 13, 2021</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13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795" w:right="39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ectPr>
          <w:pgSz w:w="11900" w:h="16838" w:orient="portrait"/>
          <w:cols w:equalWidth="0" w:num="1">
            <w:col w:w="9019"/>
          </w:cols>
          <w:pgMar w:left="1440" w:top="1440" w:right="1440" w:bottom="1440" w:gutter="0" w:footer="0" w:header="0"/>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Three Lincoln Centre</w:t>
      </w:r>
    </w:p>
    <w:p>
      <w:pPr>
        <w:jc w:val="center"/>
        <w:spacing w:after="0"/>
        <w:rPr>
          <w:sz w:val="20"/>
          <w:szCs w:val="20"/>
          <w:color w:val="auto"/>
        </w:rPr>
      </w:pPr>
      <w:r>
        <w:rPr>
          <w:rFonts w:ascii="Arial" w:cs="Arial" w:eastAsia="Arial" w:hAnsi="Arial"/>
          <w:sz w:val="19"/>
          <w:szCs w:val="19"/>
          <w:b w:val="1"/>
          <w:bCs w:val="1"/>
          <w:color w:val="auto"/>
        </w:rPr>
        <w:t>5430 LBJ Freeway, Suite 1700</w:t>
      </w:r>
    </w:p>
    <w:p>
      <w:pPr>
        <w:spacing w:after="0" w:line="18" w:lineRule="exact"/>
        <w:rPr>
          <w:sz w:val="20"/>
          <w:szCs w:val="20"/>
          <w:color w:val="auto"/>
        </w:rPr>
      </w:pPr>
    </w:p>
    <w:p>
      <w:pPr>
        <w:jc w:val="center"/>
        <w:spacing w:after="0" w:line="242" w:lineRule="exact"/>
        <w:rPr>
          <w:sz w:val="20"/>
          <w:szCs w:val="20"/>
          <w:color w:val="auto"/>
        </w:rPr>
      </w:pPr>
      <w:r>
        <w:rPr>
          <w:rFonts w:ascii="Arial" w:cs="Arial" w:eastAsia="Arial" w:hAnsi="Arial"/>
          <w:sz w:val="21"/>
          <w:szCs w:val="21"/>
          <w:b w:val="1"/>
          <w:bCs w:val="1"/>
          <w:color w:val="auto"/>
        </w:rPr>
        <w:t>Dallas, Texas 75240</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107315</wp:posOffset>
            </wp:positionV>
            <wp:extent cx="7136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2665730</wp:posOffset>
            </wp:positionH>
            <wp:positionV relativeFrom="page">
              <wp:posOffset>1589405</wp:posOffset>
            </wp:positionV>
            <wp:extent cx="2217420" cy="9753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217420" cy="97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CompX International Inc.</w:t>
      </w:r>
    </w:p>
    <w:p>
      <w:pPr>
        <w:spacing w:after="0" w:line="231" w:lineRule="exact"/>
        <w:rPr>
          <w:sz w:val="20"/>
          <w:szCs w:val="20"/>
          <w:color w:val="auto"/>
        </w:rPr>
      </w:pPr>
    </w:p>
    <w:p>
      <w:pPr>
        <w:jc w:val="center"/>
        <w:ind w:right="20"/>
        <w:spacing w:after="0" w:line="266" w:lineRule="auto"/>
        <w:rPr>
          <w:sz w:val="20"/>
          <w:szCs w:val="20"/>
          <w:color w:val="auto"/>
        </w:rPr>
      </w:pPr>
      <w:r>
        <w:rPr>
          <w:rFonts w:ascii="Arial" w:cs="Arial" w:eastAsia="Arial" w:hAnsi="Arial"/>
          <w:sz w:val="21"/>
          <w:szCs w:val="21"/>
          <w:b w:val="1"/>
          <w:bCs w:val="1"/>
          <w:color w:val="auto"/>
        </w:rPr>
        <w:t>PROXY SOLICITED ON BEHALF OF THE BOARD OF DIRECTORS OF COMPX INTERNATIONAL INC. FOR THE ANNUAL MEETING OF STOCKHOLDERS TO BE HELD MAY 26, 2021</w:t>
      </w:r>
    </w:p>
    <w:p>
      <w:pPr>
        <w:spacing w:after="0" w:line="193" w:lineRule="exact"/>
        <w:rPr>
          <w:sz w:val="20"/>
          <w:szCs w:val="20"/>
          <w:color w:val="auto"/>
        </w:rPr>
      </w:pPr>
    </w:p>
    <w:p>
      <w:pPr>
        <w:jc w:val="center"/>
        <w:ind w:right="200"/>
        <w:spacing w:after="0" w:line="266" w:lineRule="auto"/>
        <w:rPr>
          <w:sz w:val="20"/>
          <w:szCs w:val="20"/>
          <w:color w:val="auto"/>
        </w:rPr>
      </w:pPr>
      <w:r>
        <w:rPr>
          <w:rFonts w:ascii="Arial" w:cs="Arial" w:eastAsia="Arial" w:hAnsi="Arial"/>
          <w:sz w:val="19"/>
          <w:szCs w:val="19"/>
          <w:color w:val="auto"/>
        </w:rPr>
        <w:t>The undersigned hereby appoints Scott C. James, Jane R. Grimm and Amy A. Samford, and each of them, proxy for the undersigned, with full power of substitution, to vote on behalf of the undersigned at the 2021 Annual Meeting of Stockholders (the “Meeting”) of CompX International Inc., a Delaware corporation (“CompX”), to be held at Three Lincoln Centre</w:t>
      </w:r>
    </w:p>
    <w:p>
      <w:pPr>
        <w:jc w:val="center"/>
        <w:ind w:right="200"/>
        <w:spacing w:after="0" w:line="238" w:lineRule="auto"/>
        <w:rPr>
          <w:sz w:val="20"/>
          <w:szCs w:val="20"/>
          <w:color w:val="auto"/>
        </w:rPr>
      </w:pPr>
      <w:r>
        <w:rPr>
          <w:rFonts w:ascii="Arial" w:cs="Arial" w:eastAsia="Arial" w:hAnsi="Arial"/>
          <w:sz w:val="21"/>
          <w:szCs w:val="21"/>
          <w:color w:val="auto"/>
        </w:rPr>
        <w:t>Conference Center, 5430 LBJ Freeway, Suite 350, Dallas, Texas 75240-2620 on Wednesday, May 26, 2021, at 10:00 a.m. (local time), and at any adjournment or postponement of the Meeting, all of the shares of class A common stock, par value $0.01 per share, of CompX standing in the name of the undersigned or that the undersigned may be entitled to vote on the proposals set forth, and in the manner directed, on this proxy card.</w:t>
      </w:r>
    </w:p>
    <w:p>
      <w:pPr>
        <w:spacing w:after="0" w:line="213" w:lineRule="exact"/>
        <w:rPr>
          <w:sz w:val="20"/>
          <w:szCs w:val="20"/>
          <w:color w:val="auto"/>
        </w:rPr>
      </w:pPr>
    </w:p>
    <w:p>
      <w:pPr>
        <w:jc w:val="center"/>
        <w:ind w:right="20"/>
        <w:spacing w:after="0" w:line="266" w:lineRule="auto"/>
        <w:rPr>
          <w:sz w:val="20"/>
          <w:szCs w:val="20"/>
          <w:color w:val="auto"/>
        </w:rPr>
      </w:pPr>
      <w:r>
        <w:rPr>
          <w:rFonts w:ascii="Arial" w:cs="Arial" w:eastAsia="Arial" w:hAnsi="Arial"/>
          <w:sz w:val="21"/>
          <w:szCs w:val="21"/>
          <w:b w:val="1"/>
          <w:bCs w:val="1"/>
          <w:color w:val="auto"/>
        </w:rPr>
        <w:t>THIS PROXY AUTHORIZATION MAY BE REVOKED AS SET FORTH IN THE PROXY STATEMENT THAT ACCOMPANIED THIS PROXY CARD.</w:t>
      </w:r>
    </w:p>
    <w:p>
      <w:pPr>
        <w:spacing w:after="0" w:line="187"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The agents named on this proxy card, if this card is properly executed, will vote in the manner directed on this card. If this card is properly executed but no direction is given with respect to the election of one or more nominees named on the</w:t>
      </w:r>
    </w:p>
    <w:p>
      <w:pPr>
        <w:spacing w:after="0" w:line="2" w:lineRule="exact"/>
        <w:rPr>
          <w:sz w:val="20"/>
          <w:szCs w:val="20"/>
          <w:color w:val="auto"/>
        </w:rPr>
      </w:pPr>
    </w:p>
    <w:p>
      <w:pPr>
        <w:jc w:val="center"/>
        <w:spacing w:after="0" w:line="256" w:lineRule="auto"/>
        <w:rPr>
          <w:sz w:val="20"/>
          <w:szCs w:val="20"/>
          <w:color w:val="auto"/>
        </w:rPr>
      </w:pPr>
      <w:r>
        <w:rPr>
          <w:rFonts w:ascii="Arial" w:cs="Arial" w:eastAsia="Arial" w:hAnsi="Arial"/>
          <w:sz w:val="20"/>
          <w:szCs w:val="20"/>
          <w:b w:val="1"/>
          <w:bCs w:val="1"/>
          <w:color w:val="auto"/>
        </w:rPr>
        <w:t>reverse side of this card or proposal 2, the agents will vote “FOR” each such nominee for election as a director and “FOR” proposal 2. To the extent allowed by applicable law, the agents will vote in their discretion on any other matter that may properly come before the Meeting and any adjournment or postponement thereof.</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PLEASE SIGN, DATE AND MAIL THIS PROXY CARD PROMPTLY IN THE ENCLOSED ENVELOPE.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SEE REVERSE SIDE.</w:t>
      </w:r>
    </w:p>
    <w:p>
      <w:pPr>
        <w:spacing w:after="0" w:line="295" w:lineRule="exact"/>
        <w:rPr>
          <w:sz w:val="20"/>
          <w:szCs w:val="20"/>
          <w:color w:val="auto"/>
        </w:rPr>
      </w:pPr>
    </w:p>
    <w:p>
      <w:pPr>
        <w:jc w:val="center"/>
        <w:ind w:right="20"/>
        <w:spacing w:after="0" w:line="207" w:lineRule="exact"/>
        <w:rPr>
          <w:sz w:val="20"/>
          <w:szCs w:val="20"/>
          <w:color w:val="auto"/>
        </w:rPr>
      </w:pPr>
      <w:r>
        <w:rPr>
          <w:rFonts w:ascii="PMingLiU" w:cs="PMingLiU" w:eastAsia="PMingLiU" w:hAnsi="PMingLiU"/>
          <w:sz w:val="10"/>
          <w:szCs w:val="10"/>
          <w:b w:val="1"/>
          <w:bCs w:val="1"/>
          <w:color w:val="auto"/>
        </w:rPr>
        <w:t></w:t>
      </w:r>
      <w:r>
        <w:rPr>
          <w:rFonts w:ascii="Arial" w:cs="Arial" w:eastAsia="Arial" w:hAnsi="Arial"/>
          <w:sz w:val="18"/>
          <w:szCs w:val="18"/>
          <w:b w:val="1"/>
          <w:bCs w:val="1"/>
          <w:color w:val="auto"/>
        </w:rPr>
        <w:t>FOLD AND DETACH HERE AND READ THE REVERSE SIDE</w:t>
      </w:r>
      <w:r>
        <w:rPr>
          <w:rFonts w:ascii="PMingLiU" w:cs="PMingLiU" w:eastAsia="PMingLiU" w:hAnsi="PMingLiU"/>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-98425</wp:posOffset>
            </wp:positionV>
            <wp:extent cx="58420" cy="933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20" cy="9334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-114935</wp:posOffset>
            </wp:positionV>
            <wp:extent cx="66675" cy="1104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75" cy="11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Important Notice Regarding the Availability of Proxy Materials for the Annual Stockholder</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Meeting to Be Held on May 26, 2021.</w:t>
      </w:r>
    </w:p>
    <w:p>
      <w:pPr>
        <w:spacing w:after="0" w:line="207" w:lineRule="exact"/>
        <w:rPr>
          <w:sz w:val="20"/>
          <w:szCs w:val="20"/>
          <w:color w:val="auto"/>
        </w:rPr>
      </w:pPr>
    </w:p>
    <w:p>
      <w:pPr>
        <w:ind w:left="1720"/>
        <w:spacing w:after="0"/>
        <w:rPr>
          <w:sz w:val="20"/>
          <w:szCs w:val="20"/>
          <w:color w:val="auto"/>
        </w:rPr>
      </w:pPr>
      <w:r>
        <w:rPr>
          <w:rFonts w:ascii="Arial" w:cs="Arial" w:eastAsia="Arial" w:hAnsi="Arial"/>
          <w:sz w:val="21"/>
          <w:szCs w:val="21"/>
          <w:b w:val="1"/>
          <w:bCs w:val="1"/>
          <w:color w:val="auto"/>
        </w:rPr>
        <w:t>The proxy statement and annual report to stockholders (including CompX's Annual</w:t>
      </w:r>
    </w:p>
    <w:p>
      <w:pPr>
        <w:spacing w:after="0" w:line="19" w:lineRule="exact"/>
        <w:rPr>
          <w:sz w:val="20"/>
          <w:szCs w:val="20"/>
          <w:color w:val="auto"/>
        </w:rPr>
      </w:pPr>
    </w:p>
    <w:p>
      <w:pPr>
        <w:ind w:left="1780"/>
        <w:spacing w:after="0"/>
        <w:rPr>
          <w:sz w:val="20"/>
          <w:szCs w:val="20"/>
          <w:color w:val="auto"/>
        </w:rPr>
      </w:pPr>
      <w:r>
        <w:rPr>
          <w:rFonts w:ascii="Arial" w:cs="Arial" w:eastAsia="Arial" w:hAnsi="Arial"/>
          <w:sz w:val="21"/>
          <w:szCs w:val="21"/>
          <w:b w:val="1"/>
          <w:bCs w:val="1"/>
          <w:color w:val="auto"/>
        </w:rPr>
        <w:t>Report on Form 10-K for the fiscal year ended December 31, 2020) are available at</w:t>
      </w:r>
    </w:p>
    <w:p>
      <w:pPr>
        <w:sectPr>
          <w:pgSz w:w="11900" w:h="16857" w:orient="portrait"/>
          <w:cols w:equalWidth="0" w:num="1">
            <w:col w:w="11020"/>
          </w:cols>
          <w:pgMar w:left="440" w:top="1440" w:right="439" w:bottom="0" w:gutter="0" w:footer="0" w:header="0"/>
        </w:sectPr>
      </w:pPr>
    </w:p>
    <w:bookmarkStart w:id="42" w:name="page43"/>
    <w:bookmarkEnd w:id="42"/>
    <w:p>
      <w:pPr>
        <w:jc w:val="center"/>
        <w:ind w:right="39"/>
        <w:spacing w:after="0"/>
        <w:rPr>
          <w:sz w:val="20"/>
          <w:szCs w:val="20"/>
          <w:color w:val="auto"/>
        </w:rPr>
      </w:pPr>
      <w:r>
        <w:rPr>
          <w:rFonts w:ascii="Arial" w:cs="Arial" w:eastAsia="Arial" w:hAnsi="Arial"/>
          <w:sz w:val="19"/>
          <w:szCs w:val="19"/>
          <w:b w:val="1"/>
          <w:bCs w:val="1"/>
          <w:u w:val="single" w:color="auto"/>
          <w:color w:val="auto"/>
        </w:rPr>
        <w:t>http://www.viewproxy.com/CompX/2021</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136525</wp:posOffset>
            </wp:positionV>
            <wp:extent cx="713613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jc w:val="right"/>
        <w:spacing w:after="0" w:line="207" w:lineRule="exact"/>
        <w:rPr>
          <w:sz w:val="20"/>
          <w:szCs w:val="20"/>
          <w:color w:val="auto"/>
        </w:rPr>
      </w:pPr>
      <w:r>
        <w:rPr>
          <w:rFonts w:ascii="Arial" w:cs="Arial" w:eastAsia="Arial" w:hAnsi="Arial"/>
          <w:sz w:val="18"/>
          <w:szCs w:val="18"/>
          <w:color w:val="auto"/>
        </w:rPr>
        <w:t xml:space="preserve">Please mark your vote like this </w:t>
      </w:r>
      <w:r>
        <w:rPr>
          <w:rFonts w:ascii="MS PGothic" w:cs="MS PGothic" w:eastAsia="MS PGothic" w:hAnsi="MS PGothic"/>
          <w:sz w:val="18"/>
          <w:szCs w:val="18"/>
          <w:color w:val="231F20"/>
        </w:rPr>
        <w: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of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ectPr>
          <w:pgSz w:w="11900" w:h="16838" w:orient="portrait"/>
          <w:cols w:equalWidth="0" w:num="1">
            <w:col w:w="11240"/>
          </w:cols>
          <w:pgMar w:left="320" w:top="47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Arial" w:cs="Arial" w:eastAsia="Arial" w:hAnsi="Arial"/>
                <w:sz w:val="18"/>
                <w:szCs w:val="18"/>
                <w:color w:val="auto"/>
              </w:rPr>
              <w:t>1. Director Nominees:</w:t>
            </w:r>
          </w:p>
        </w:tc>
        <w:tc>
          <w:tcPr>
            <w:tcW w:w="1500" w:type="dxa"/>
            <w:vAlign w:val="bottom"/>
            <w:vMerge w:val="restart"/>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40" w:type="dxa"/>
            <w:vAlign w:val="bottom"/>
            <w:vMerge w:val="restart"/>
          </w:tcPr>
          <w:p>
            <w:pPr>
              <w:ind w:left="300"/>
              <w:spacing w:after="0" w:line="207" w:lineRule="exact"/>
              <w:rPr>
                <w:sz w:val="20"/>
                <w:szCs w:val="20"/>
                <w:color w:val="auto"/>
              </w:rPr>
            </w:pPr>
            <w:r>
              <w:rPr>
                <w:rFonts w:ascii="MS PGothic" w:cs="MS PGothic" w:eastAsia="MS PGothic" w:hAnsi="MS PGothic"/>
                <w:sz w:val="18"/>
                <w:szCs w:val="18"/>
                <w:color w:val="231F20"/>
                <w:w w:val="94"/>
              </w:rPr>
              <w:t>☐</w:t>
            </w:r>
            <w:r>
              <w:rPr>
                <w:rFonts w:ascii="Arial" w:cs="Arial" w:eastAsia="Arial" w:hAnsi="Arial"/>
                <w:sz w:val="18"/>
                <w:szCs w:val="18"/>
                <w:color w:val="231F20"/>
                <w:w w:val="94"/>
              </w:rPr>
              <w:t xml:space="preserve"> WITHHOLD</w:t>
            </w:r>
          </w:p>
        </w:tc>
        <w:tc>
          <w:tcPr>
            <w:tcW w:w="0" w:type="dxa"/>
            <w:vAlign w:val="bottom"/>
          </w:tcPr>
          <w:p>
            <w:pPr>
              <w:spacing w:after="0"/>
              <w:rPr>
                <w:sz w:val="1"/>
                <w:szCs w:val="1"/>
                <w:color w:val="auto"/>
              </w:rPr>
            </w:pPr>
          </w:p>
        </w:tc>
      </w:tr>
      <w:tr>
        <w:trPr>
          <w:trHeight w:val="178"/>
        </w:trPr>
        <w:tc>
          <w:tcPr>
            <w:tcW w:w="2280" w:type="dxa"/>
            <w:vAlign w:val="bottom"/>
          </w:tcPr>
          <w:p>
            <w:pPr>
              <w:spacing w:after="0" w:line="177" w:lineRule="exact"/>
              <w:rPr>
                <w:sz w:val="20"/>
                <w:szCs w:val="20"/>
                <w:color w:val="auto"/>
              </w:rPr>
            </w:pPr>
            <w:r>
              <w:rPr>
                <w:rFonts w:ascii="Arial" w:cs="Arial" w:eastAsia="Arial" w:hAnsi="Arial"/>
                <w:sz w:val="18"/>
                <w:szCs w:val="18"/>
                <w:color w:val="auto"/>
              </w:rPr>
              <w:t>01. Thomas E. Barry</w:t>
            </w:r>
          </w:p>
        </w:tc>
        <w:tc>
          <w:tcPr>
            <w:tcW w:w="15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280" w:type="dxa"/>
            <w:vAlign w:val="bottom"/>
          </w:tcPr>
          <w:p>
            <w:pPr>
              <w:spacing w:after="0"/>
              <w:rPr>
                <w:sz w:val="20"/>
                <w:szCs w:val="20"/>
                <w:color w:val="auto"/>
              </w:rPr>
            </w:pPr>
            <w:r>
              <w:rPr>
                <w:rFonts w:ascii="Arial" w:cs="Arial" w:eastAsia="Arial" w:hAnsi="Arial"/>
                <w:sz w:val="18"/>
                <w:szCs w:val="18"/>
                <w:color w:val="auto"/>
              </w:rPr>
              <w:t>02. Loretta J. Feehan</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4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4"/>
              </w:rPr>
              <w:t>☐</w:t>
            </w:r>
            <w:r>
              <w:rPr>
                <w:rFonts w:ascii="Arial" w:cs="Arial" w:eastAsia="Arial" w:hAnsi="Arial"/>
                <w:sz w:val="18"/>
                <w:szCs w:val="18"/>
                <w:color w:val="231F20"/>
                <w:w w:val="94"/>
              </w:rPr>
              <w:t xml:space="preserve"> WITHHOLD</w:t>
            </w:r>
          </w:p>
        </w:tc>
        <w:tc>
          <w:tcPr>
            <w:tcW w:w="0" w:type="dxa"/>
            <w:vAlign w:val="bottom"/>
          </w:tcPr>
          <w:p>
            <w:pPr>
              <w:spacing w:after="0"/>
              <w:rPr>
                <w:sz w:val="1"/>
                <w:szCs w:val="1"/>
                <w:color w:val="auto"/>
              </w:rPr>
            </w:pPr>
          </w:p>
        </w:tc>
      </w:tr>
      <w:tr>
        <w:trPr>
          <w:trHeight w:val="420"/>
        </w:trPr>
        <w:tc>
          <w:tcPr>
            <w:tcW w:w="2280" w:type="dxa"/>
            <w:vAlign w:val="bottom"/>
          </w:tcPr>
          <w:p>
            <w:pPr>
              <w:spacing w:after="0"/>
              <w:rPr>
                <w:sz w:val="20"/>
                <w:szCs w:val="20"/>
                <w:color w:val="auto"/>
              </w:rPr>
            </w:pPr>
            <w:r>
              <w:rPr>
                <w:rFonts w:ascii="Arial" w:cs="Arial" w:eastAsia="Arial" w:hAnsi="Arial"/>
                <w:sz w:val="18"/>
                <w:szCs w:val="18"/>
                <w:color w:val="auto"/>
              </w:rPr>
              <w:t>03. Robert D. Graham</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4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4"/>
              </w:rPr>
              <w:t>☐</w:t>
            </w:r>
            <w:r>
              <w:rPr>
                <w:rFonts w:ascii="Arial" w:cs="Arial" w:eastAsia="Arial" w:hAnsi="Arial"/>
                <w:sz w:val="18"/>
                <w:szCs w:val="18"/>
                <w:color w:val="231F20"/>
                <w:w w:val="94"/>
              </w:rPr>
              <w:t xml:space="preserve"> WITHHOLD</w:t>
            </w:r>
          </w:p>
        </w:tc>
        <w:tc>
          <w:tcPr>
            <w:tcW w:w="0" w:type="dxa"/>
            <w:vAlign w:val="bottom"/>
          </w:tcPr>
          <w:p>
            <w:pPr>
              <w:spacing w:after="0"/>
              <w:rPr>
                <w:sz w:val="1"/>
                <w:szCs w:val="1"/>
                <w:color w:val="auto"/>
              </w:rPr>
            </w:pPr>
          </w:p>
        </w:tc>
      </w:tr>
      <w:tr>
        <w:trPr>
          <w:trHeight w:val="356"/>
        </w:trPr>
        <w:tc>
          <w:tcPr>
            <w:tcW w:w="2280" w:type="dxa"/>
            <w:vAlign w:val="bottom"/>
          </w:tcPr>
          <w:p>
            <w:pPr>
              <w:spacing w:after="0"/>
              <w:rPr>
                <w:sz w:val="20"/>
                <w:szCs w:val="20"/>
                <w:color w:val="auto"/>
              </w:rPr>
            </w:pPr>
            <w:r>
              <w:rPr>
                <w:rFonts w:ascii="Arial" w:cs="Arial" w:eastAsia="Arial" w:hAnsi="Arial"/>
                <w:sz w:val="18"/>
                <w:szCs w:val="18"/>
                <w:color w:val="auto"/>
              </w:rPr>
              <w:t>04. Terri L. Herrington</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4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4"/>
              </w:rPr>
              <w:t>☐</w:t>
            </w:r>
            <w:r>
              <w:rPr>
                <w:rFonts w:ascii="Arial" w:cs="Arial" w:eastAsia="Arial" w:hAnsi="Arial"/>
                <w:sz w:val="18"/>
                <w:szCs w:val="18"/>
                <w:color w:val="231F20"/>
                <w:w w:val="94"/>
              </w:rPr>
              <w:t xml:space="preserve"> WITHHOLD</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Arial" w:cs="Arial" w:eastAsia="Arial" w:hAnsi="Arial"/>
                <w:sz w:val="18"/>
                <w:szCs w:val="18"/>
                <w:color w:val="auto"/>
              </w:rPr>
              <w:t>05. Scott C. James</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4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4"/>
              </w:rPr>
              <w:t>☐</w:t>
            </w:r>
            <w:r>
              <w:rPr>
                <w:rFonts w:ascii="Arial" w:cs="Arial" w:eastAsia="Arial" w:hAnsi="Arial"/>
                <w:sz w:val="18"/>
                <w:szCs w:val="18"/>
                <w:color w:val="231F20"/>
                <w:w w:val="94"/>
              </w:rPr>
              <w:t xml:space="preserve"> WITHHOLD</w:t>
            </w: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r>
              <w:rPr>
                <w:rFonts w:ascii="Arial" w:cs="Arial" w:eastAsia="Arial" w:hAnsi="Arial"/>
                <w:sz w:val="18"/>
                <w:szCs w:val="18"/>
                <w:color w:val="auto"/>
              </w:rPr>
              <w:t>06. Ann Manix</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4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4"/>
              </w:rPr>
              <w:t>☐</w:t>
            </w:r>
            <w:r>
              <w:rPr>
                <w:rFonts w:ascii="Arial" w:cs="Arial" w:eastAsia="Arial" w:hAnsi="Arial"/>
                <w:sz w:val="18"/>
                <w:szCs w:val="18"/>
                <w:color w:val="231F20"/>
                <w:w w:val="94"/>
              </w:rPr>
              <w:t xml:space="preserve"> WITHHOLD</w:t>
            </w:r>
          </w:p>
        </w:tc>
        <w:tc>
          <w:tcPr>
            <w:tcW w:w="0" w:type="dxa"/>
            <w:vAlign w:val="bottom"/>
          </w:tcPr>
          <w:p>
            <w:pPr>
              <w:spacing w:after="0"/>
              <w:rPr>
                <w:sz w:val="1"/>
                <w:szCs w:val="1"/>
                <w:color w:val="auto"/>
              </w:rPr>
            </w:pPr>
          </w:p>
        </w:tc>
      </w:tr>
      <w:tr>
        <w:trPr>
          <w:trHeight w:val="274"/>
        </w:trPr>
        <w:tc>
          <w:tcPr>
            <w:tcW w:w="2280" w:type="dxa"/>
            <w:vAlign w:val="bottom"/>
          </w:tcPr>
          <w:p>
            <w:pPr>
              <w:spacing w:after="0"/>
              <w:rPr>
                <w:sz w:val="20"/>
                <w:szCs w:val="20"/>
                <w:color w:val="auto"/>
              </w:rPr>
            </w:pPr>
            <w:r>
              <w:rPr>
                <w:rFonts w:ascii="Arial" w:cs="Arial" w:eastAsia="Arial" w:hAnsi="Arial"/>
                <w:sz w:val="18"/>
                <w:szCs w:val="18"/>
                <w:color w:val="auto"/>
              </w:rPr>
              <w:t>07. Mary A. Tidlund</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4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4"/>
              </w:rPr>
              <w:t>☐</w:t>
            </w:r>
            <w:r>
              <w:rPr>
                <w:rFonts w:ascii="Arial" w:cs="Arial" w:eastAsia="Arial" w:hAnsi="Arial"/>
                <w:sz w:val="18"/>
                <w:szCs w:val="18"/>
                <w:color w:val="231F20"/>
                <w:w w:val="94"/>
              </w:rPr>
              <w:t xml:space="preserve"> WITHHOLD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231F20"/>
        </w:rPr>
        <w:t>DO NOT PRINT IN THIS AREA</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231F20"/>
        </w:rPr>
        <w:t>(Shareholder Name &amp; Address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70" w:hanging="170"/>
        <w:spacing w:after="0"/>
        <w:tabs>
          <w:tab w:leader="none" w:pos="17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Say-on-Pay, nonbinding advisory vote approving executive compensation</w:t>
      </w:r>
    </w:p>
    <w:p>
      <w:pPr>
        <w:spacing w:after="0" w:line="37" w:lineRule="exact"/>
        <w:rPr>
          <w:rFonts w:ascii="Arial" w:cs="Arial" w:eastAsia="Arial" w:hAnsi="Arial"/>
          <w:sz w:val="16"/>
          <w:szCs w:val="16"/>
          <w:color w:val="auto"/>
        </w:rPr>
      </w:pPr>
    </w:p>
    <w:p>
      <w:pPr>
        <w:ind w:left="1730" w:hanging="205"/>
        <w:spacing w:after="0" w:line="207" w:lineRule="exact"/>
        <w:tabs>
          <w:tab w:leader="none" w:pos="1730" w:val="left"/>
        </w:tabs>
        <w:numPr>
          <w:ilvl w:val="1"/>
          <w:numId w:val="81"/>
        </w:numPr>
        <w:rPr>
          <w:rFonts w:ascii="MS PGothic" w:cs="MS PGothic" w:eastAsia="MS PGothic" w:hAnsi="MS PGothic"/>
          <w:sz w:val="18"/>
          <w:szCs w:val="18"/>
          <w:color w:val="231F20"/>
        </w:rPr>
      </w:pPr>
      <w:r>
        <w:rPr>
          <w:rFonts w:ascii="Arial" w:cs="Arial" w:eastAsia="Arial" w:hAnsi="Arial"/>
          <w:sz w:val="18"/>
          <w:szCs w:val="18"/>
          <w:color w:val="231F20"/>
        </w:rPr>
        <w:t xml:space="preserve">FOR </w:t>
      </w:r>
      <w:r>
        <w:rPr>
          <w:rFonts w:ascii="MS PGothic" w:cs="MS PGothic" w:eastAsia="MS PGothic" w:hAnsi="MS PGothic"/>
          <w:sz w:val="18"/>
          <w:szCs w:val="18"/>
          <w:color w:val="231F20"/>
        </w:rPr>
        <w:t>☐</w:t>
      </w:r>
      <w:r>
        <w:rPr>
          <w:rFonts w:ascii="Arial" w:cs="Arial" w:eastAsia="Arial" w:hAnsi="Arial"/>
          <w:sz w:val="18"/>
          <w:szCs w:val="18"/>
          <w:color w:val="231F20"/>
        </w:rPr>
        <w:t xml:space="preserve"> AGAINST </w:t>
      </w:r>
      <w:r>
        <w:rPr>
          <w:rFonts w:ascii="MS PGothic" w:cs="MS PGothic" w:eastAsia="MS PGothic" w:hAnsi="MS PGothic"/>
          <w:sz w:val="18"/>
          <w:szCs w:val="18"/>
          <w:color w:val="231F20"/>
        </w:rPr>
        <w:t>☐</w:t>
      </w:r>
      <w:r>
        <w:rPr>
          <w:rFonts w:ascii="Arial" w:cs="Arial" w:eastAsia="Arial" w:hAnsi="Arial"/>
          <w:sz w:val="18"/>
          <w:szCs w:val="18"/>
          <w:color w:val="231F20"/>
        </w:rPr>
        <w:t xml:space="preserve"> ABSTAIN</w:t>
      </w:r>
    </w:p>
    <w:p>
      <w:pPr>
        <w:spacing w:after="0" w:line="5" w:lineRule="exact"/>
        <w:rPr>
          <w:rFonts w:ascii="MS PGothic" w:cs="MS PGothic" w:eastAsia="MS PGothic" w:hAnsi="MS PGothic"/>
          <w:sz w:val="18"/>
          <w:szCs w:val="18"/>
          <w:color w:val="231F20"/>
        </w:rPr>
      </w:pPr>
    </w:p>
    <w:p>
      <w:pPr>
        <w:ind w:left="10" w:right="320" w:hanging="10"/>
        <w:spacing w:after="0" w:line="244" w:lineRule="auto"/>
        <w:tabs>
          <w:tab w:leader="none" w:pos="1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WILL ATTEND THE MEETING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321945</wp:posOffset>
            </wp:positionV>
            <wp:extent cx="7136130" cy="1800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180086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231F20"/>
                <w:w w:val="99"/>
              </w:rPr>
              <w:t>Date</w:t>
            </w:r>
          </w:p>
        </w:tc>
        <w:tc>
          <w:tcPr>
            <w:tcW w:w="4460" w:type="dxa"/>
            <w:vAlign w:val="bottom"/>
            <w:tcBorders>
              <w:bottom w:val="single" w:sz="8" w:color="231F20"/>
            </w:tcBorders>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231F20"/>
                <w:w w:val="83"/>
              </w:rPr>
              <w:t>, 2021</w:t>
            </w:r>
          </w:p>
        </w:tc>
      </w:tr>
    </w:tbl>
    <w:p>
      <w:pPr>
        <w:spacing w:after="0" w:line="224" w:lineRule="exact"/>
        <w:rPr>
          <w:sz w:val="20"/>
          <w:szCs w:val="20"/>
          <w:color w:val="auto"/>
        </w:rPr>
      </w:pPr>
    </w:p>
    <w:p>
      <w:pPr>
        <w:ind w:left="10"/>
        <w:spacing w:after="0"/>
        <w:rPr>
          <w:sz w:val="20"/>
          <w:szCs w:val="20"/>
          <w:color w:val="auto"/>
        </w:rPr>
      </w:pPr>
      <w:r>
        <w:rPr>
          <w:rFonts w:ascii="Arial" w:cs="Arial" w:eastAsia="Arial" w:hAnsi="Arial"/>
          <w:sz w:val="18"/>
          <w:szCs w:val="18"/>
          <w:color w:val="231F20"/>
        </w:rPr>
        <w:t>Signature</w:t>
      </w:r>
    </w:p>
    <w:p>
      <w:pPr>
        <w:spacing w:after="0" w:line="200" w:lineRule="exact"/>
        <w:rPr>
          <w:sz w:val="20"/>
          <w:szCs w:val="20"/>
          <w:color w:val="auto"/>
        </w:rPr>
      </w:pPr>
    </w:p>
    <w:p>
      <w:pPr>
        <w:spacing w:after="0" w:line="249" w:lineRule="exact"/>
        <w:rPr>
          <w:sz w:val="20"/>
          <w:szCs w:val="20"/>
          <w:color w:val="auto"/>
        </w:rPr>
      </w:pPr>
    </w:p>
    <w:p>
      <w:pPr>
        <w:ind w:left="10"/>
        <w:spacing w:after="0"/>
        <w:rPr>
          <w:sz w:val="20"/>
          <w:szCs w:val="20"/>
          <w:color w:val="auto"/>
        </w:rPr>
      </w:pPr>
      <w:r>
        <w:rPr>
          <w:rFonts w:ascii="Arial" w:cs="Arial" w:eastAsia="Arial" w:hAnsi="Arial"/>
          <w:sz w:val="18"/>
          <w:szCs w:val="18"/>
          <w:color w:val="231F20"/>
        </w:rPr>
        <w:t>Signature</w:t>
      </w:r>
    </w:p>
    <w:p>
      <w:pPr>
        <w:spacing w:after="0" w:line="29" w:lineRule="exact"/>
        <w:rPr>
          <w:sz w:val="20"/>
          <w:szCs w:val="20"/>
          <w:color w:val="auto"/>
        </w:rPr>
      </w:pPr>
    </w:p>
    <w:p>
      <w:pPr>
        <w:ind w:left="10" w:right="60"/>
        <w:spacing w:after="0" w:line="247" w:lineRule="auto"/>
        <w:rPr>
          <w:sz w:val="20"/>
          <w:szCs w:val="20"/>
          <w:color w:val="auto"/>
        </w:rPr>
      </w:pPr>
      <w:r>
        <w:rPr>
          <w:rFonts w:ascii="Arial" w:cs="Arial" w:eastAsia="Arial" w:hAnsi="Arial"/>
          <w:sz w:val="18"/>
          <w:szCs w:val="18"/>
          <w:color w:val="231F20"/>
        </w:rPr>
        <w:t>Note: Please sign exactly as the name that appears on this card. Joint owners should each sign. When signing other than in an individual capacity, please fully describe such capacity. Each signatory hereby revokes all proxies heretofore given to vote at said Meeting and any adjournment or postponement thereof.</w:t>
      </w:r>
    </w:p>
    <w:p>
      <w:pPr>
        <w:spacing w:after="0" w:line="208" w:lineRule="exact"/>
        <w:rPr>
          <w:sz w:val="20"/>
          <w:szCs w:val="20"/>
          <w:color w:val="auto"/>
        </w:rPr>
      </w:pPr>
    </w:p>
    <w:p>
      <w:pPr>
        <w:ind w:left="10"/>
        <w:spacing w:after="0"/>
        <w:rPr>
          <w:sz w:val="20"/>
          <w:szCs w:val="20"/>
          <w:color w:val="auto"/>
        </w:rPr>
      </w:pPr>
      <w:r>
        <w:rPr>
          <w:rFonts w:ascii="Arial" w:cs="Arial" w:eastAsia="Arial" w:hAnsi="Arial"/>
          <w:sz w:val="18"/>
          <w:szCs w:val="18"/>
          <w:color w:val="231F20"/>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3551555" cy="367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1555" cy="367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430"/>
            <w:col w:w="5590"/>
          </w:cols>
          <w:pgMar w:left="320" w:top="475" w:right="339" w:bottom="0" w:gutter="0" w:footer="0" w:header="0"/>
          <w:type w:val="continuous"/>
        </w:sectPr>
      </w:pPr>
    </w:p>
    <w:p>
      <w:pPr>
        <w:spacing w:after="0" w:line="36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1867535" cy="167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67535"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15875</wp:posOffset>
            </wp:positionV>
            <wp:extent cx="141351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351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20"/>
        <w:spacing w:after="0"/>
        <w:rPr>
          <w:sz w:val="20"/>
          <w:szCs w:val="20"/>
          <w:color w:val="auto"/>
        </w:rPr>
      </w:pPr>
      <w:r>
        <w:rPr>
          <w:rFonts w:ascii="Arial" w:cs="Arial" w:eastAsia="Arial" w:hAnsi="Arial"/>
          <w:sz w:val="24"/>
          <w:szCs w:val="24"/>
          <w:b w:val="1"/>
          <w:bCs w:val="1"/>
          <w:color w:val="231F20"/>
        </w:rPr>
        <w:t>PROXY VOTING INSTRUCTIONS</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21"/>
          <w:szCs w:val="21"/>
          <w:color w:val="231F20"/>
        </w:rPr>
        <w:t>Please have your 11 digit control number ready when voting by Internet or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770" w:type="dxa"/>
        <w:tblCellMar>
          <w:top w:w="0" w:type="dxa"/>
          <w:left w:w="0" w:type="dxa"/>
          <w:bottom w:w="0" w:type="dxa"/>
          <w:right w:w="0" w:type="dxa"/>
        </w:tblCellMar>
      </w:tblPr>
      <w:tr>
        <w:trPr>
          <w:trHeight w:val="1413"/>
        </w:trPr>
        <w:tc>
          <w:tcPr>
            <w:tcW w:w="1140" w:type="dxa"/>
            <w:vAlign w:val="bottom"/>
            <w:tcBorders>
              <w:top w:val="single" w:sz="8" w:color="auto"/>
              <w:left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2"/>
          </w:tcPr>
          <w:p>
            <w:pPr>
              <w:jc w:val="center"/>
              <w:ind w:left="960"/>
              <w:spacing w:after="0"/>
              <w:rPr>
                <w:sz w:val="20"/>
                <w:szCs w:val="20"/>
                <w:color w:val="auto"/>
              </w:rPr>
            </w:pPr>
            <w:r>
              <w:rPr>
                <w:rFonts w:ascii="Arial" w:cs="Arial" w:eastAsia="Arial" w:hAnsi="Arial"/>
                <w:sz w:val="105"/>
                <w:szCs w:val="105"/>
                <w:color w:val="231F20"/>
              </w:rPr>
              <w:t>(</w:t>
            </w:r>
          </w:p>
        </w:tc>
        <w:tc>
          <w:tcPr>
            <w:tcW w:w="1140" w:type="dxa"/>
            <w:vAlign w:val="bottom"/>
            <w:tcBorders>
              <w:top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spacing w:after="0"/>
              <w:rPr>
                <w:sz w:val="24"/>
                <w:szCs w:val="24"/>
                <w:color w:val="auto"/>
              </w:rPr>
            </w:pPr>
          </w:p>
        </w:tc>
      </w:tr>
      <w:tr>
        <w:trPr>
          <w:trHeight w:val="189"/>
        </w:trPr>
        <w:tc>
          <w:tcPr>
            <w:tcW w:w="1140" w:type="dxa"/>
            <w:vAlign w:val="bottom"/>
            <w:tcBorders>
              <w:left w:val="single" w:sz="8" w:color="auto"/>
            </w:tcBorders>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8"/>
                <w:szCs w:val="18"/>
                <w:b w:val="1"/>
                <w:bCs w:val="1"/>
                <w:color w:val="231F20"/>
              </w:rPr>
              <w:t>INTERNET</w:t>
            </w:r>
          </w:p>
        </w:tc>
        <w:tc>
          <w:tcPr>
            <w:tcW w:w="7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2220" w:type="dxa"/>
            <w:vAlign w:val="bottom"/>
            <w:tcBorders>
              <w:right w:val="single" w:sz="8" w:color="auto"/>
            </w:tcBorders>
            <w:gridSpan w:val="2"/>
          </w:tcPr>
          <w:p>
            <w:pPr>
              <w:jc w:val="center"/>
              <w:ind w:right="1140"/>
              <w:spacing w:after="0" w:line="189" w:lineRule="exact"/>
              <w:rPr>
                <w:sz w:val="20"/>
                <w:szCs w:val="20"/>
                <w:color w:val="auto"/>
              </w:rPr>
            </w:pPr>
            <w:r>
              <w:rPr>
                <w:rFonts w:ascii="Arial" w:cs="Arial" w:eastAsia="Arial" w:hAnsi="Arial"/>
                <w:sz w:val="18"/>
                <w:szCs w:val="18"/>
                <w:b w:val="1"/>
                <w:bCs w:val="1"/>
                <w:color w:val="231F20"/>
                <w:w w:val="98"/>
              </w:rPr>
              <w:t>TELEPHONE</w:t>
            </w:r>
          </w:p>
        </w:tc>
        <w:tc>
          <w:tcPr>
            <w:tcW w:w="24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480"/>
              <w:spacing w:after="0" w:line="189" w:lineRule="exact"/>
              <w:rPr>
                <w:sz w:val="20"/>
                <w:szCs w:val="20"/>
                <w:color w:val="auto"/>
              </w:rPr>
            </w:pPr>
            <w:r>
              <w:rPr>
                <w:rFonts w:ascii="Arial" w:cs="Arial" w:eastAsia="Arial" w:hAnsi="Arial"/>
                <w:sz w:val="18"/>
                <w:szCs w:val="18"/>
                <w:b w:val="1"/>
                <w:bCs w:val="1"/>
                <w:color w:val="231F20"/>
              </w:rPr>
              <w:t>MAIL</w:t>
            </w:r>
          </w:p>
        </w:tc>
      </w:tr>
      <w:tr>
        <w:trPr>
          <w:trHeight w:val="20"/>
        </w:trPr>
        <w:tc>
          <w:tcPr>
            <w:tcW w:w="1140" w:type="dxa"/>
            <w:vAlign w:val="bottom"/>
            <w:tcBorders>
              <w:left w:val="single" w:sz="8" w:color="auto"/>
            </w:tcBorders>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shd w:val="clear" w:color="auto" w:fill="231F20"/>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r>
      <w:tr>
        <w:trPr>
          <w:trHeight w:val="211"/>
        </w:trPr>
        <w:tc>
          <w:tcPr>
            <w:tcW w:w="2820" w:type="dxa"/>
            <w:vAlign w:val="bottom"/>
            <w:tcBorders>
              <w:left w:val="single" w:sz="8" w:color="auto"/>
              <w:right w:val="single" w:sz="8" w:color="auto"/>
            </w:tcBorders>
            <w:gridSpan w:val="3"/>
          </w:tcPr>
          <w:p>
            <w:pPr>
              <w:jc w:val="center"/>
              <w:ind w:left="252"/>
              <w:spacing w:after="0"/>
              <w:rPr>
                <w:sz w:val="20"/>
                <w:szCs w:val="20"/>
                <w:color w:val="auto"/>
              </w:rPr>
            </w:pPr>
            <w:r>
              <w:rPr>
                <w:rFonts w:ascii="Arial" w:cs="Arial" w:eastAsia="Arial" w:hAnsi="Arial"/>
                <w:sz w:val="18"/>
                <w:szCs w:val="18"/>
                <w:b w:val="1"/>
                <w:bCs w:val="1"/>
                <w:color w:val="231F20"/>
                <w:w w:val="88"/>
              </w:rPr>
              <w:t>Vote Your Proxy on the</w:t>
            </w:r>
          </w:p>
        </w:tc>
        <w:tc>
          <w:tcPr>
            <w:tcW w:w="22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231F20"/>
                <w:w w:val="87"/>
              </w:rPr>
              <w:t>Vote Your Proxy by Phone:</w:t>
            </w:r>
          </w:p>
        </w:tc>
        <w:tc>
          <w:tcPr>
            <w:tcW w:w="24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231F20"/>
                <w:w w:val="90"/>
              </w:rPr>
              <w:t>Vote Your Proxy by Mail:</w:t>
            </w:r>
          </w:p>
        </w:tc>
      </w:tr>
      <w:tr>
        <w:trPr>
          <w:trHeight w:val="210"/>
        </w:trPr>
        <w:tc>
          <w:tcPr>
            <w:tcW w:w="2820" w:type="dxa"/>
            <w:vAlign w:val="bottom"/>
            <w:tcBorders>
              <w:left w:val="single" w:sz="8" w:color="auto"/>
              <w:right w:val="single" w:sz="8" w:color="auto"/>
            </w:tcBorders>
            <w:gridSpan w:val="3"/>
          </w:tcPr>
          <w:p>
            <w:pPr>
              <w:jc w:val="center"/>
              <w:ind w:left="252"/>
              <w:spacing w:after="0"/>
              <w:rPr>
                <w:sz w:val="20"/>
                <w:szCs w:val="20"/>
                <w:color w:val="auto"/>
              </w:rPr>
            </w:pPr>
            <w:r>
              <w:rPr>
                <w:rFonts w:ascii="Arial" w:cs="Arial" w:eastAsia="Arial" w:hAnsi="Arial"/>
                <w:sz w:val="18"/>
                <w:szCs w:val="18"/>
                <w:b w:val="1"/>
                <w:bCs w:val="1"/>
                <w:color w:val="231F20"/>
                <w:w w:val="90"/>
              </w:rPr>
              <w:t>Internet: Go to</w:t>
            </w:r>
          </w:p>
        </w:tc>
        <w:tc>
          <w:tcPr>
            <w:tcW w:w="22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231F20"/>
                <w:w w:val="89"/>
              </w:rPr>
              <w:t>Call 1 (866) 804-9616</w:t>
            </w:r>
          </w:p>
        </w:tc>
        <w:tc>
          <w:tcPr>
            <w:tcW w:w="2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2820" w:type="dxa"/>
            <w:vAlign w:val="bottom"/>
            <w:tcBorders>
              <w:left w:val="single" w:sz="8" w:color="auto"/>
              <w:right w:val="single" w:sz="8" w:color="auto"/>
            </w:tcBorders>
            <w:gridSpan w:val="3"/>
          </w:tcPr>
          <w:p>
            <w:pPr>
              <w:jc w:val="center"/>
              <w:ind w:left="252"/>
              <w:spacing w:after="0"/>
              <w:rPr>
                <w:sz w:val="20"/>
                <w:szCs w:val="20"/>
                <w:color w:val="auto"/>
              </w:rPr>
            </w:pPr>
            <w:r>
              <w:rPr>
                <w:rFonts w:ascii="Arial" w:cs="Arial" w:eastAsia="Arial" w:hAnsi="Arial"/>
                <w:sz w:val="18"/>
                <w:szCs w:val="18"/>
                <w:b w:val="1"/>
                <w:bCs w:val="1"/>
                <w:color w:val="231F20"/>
                <w:w w:val="90"/>
              </w:rPr>
              <w:t>www.AALvote.com/CIX</w:t>
            </w:r>
          </w:p>
        </w:tc>
        <w:tc>
          <w:tcPr>
            <w:tcW w:w="22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231F20"/>
                <w:w w:val="87"/>
              </w:rPr>
              <w:t>Use any touch-tone telephone to vote your</w:t>
            </w:r>
          </w:p>
        </w:tc>
        <w:tc>
          <w:tcPr>
            <w:tcW w:w="24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88"/>
              </w:rPr>
              <w:t>Mark, sign, and date your proxy card,</w:t>
            </w:r>
          </w:p>
        </w:tc>
      </w:tr>
      <w:tr>
        <w:trPr>
          <w:trHeight w:val="210"/>
        </w:trPr>
        <w:tc>
          <w:tcPr>
            <w:tcW w:w="2820" w:type="dxa"/>
            <w:vAlign w:val="bottom"/>
            <w:tcBorders>
              <w:left w:val="single" w:sz="8" w:color="auto"/>
              <w:right w:val="single" w:sz="8" w:color="auto"/>
            </w:tcBorders>
            <w:gridSpan w:val="3"/>
          </w:tcPr>
          <w:p>
            <w:pPr>
              <w:jc w:val="center"/>
              <w:ind w:left="292"/>
              <w:spacing w:after="0"/>
              <w:rPr>
                <w:sz w:val="20"/>
                <w:szCs w:val="20"/>
                <w:color w:val="auto"/>
              </w:rPr>
            </w:pPr>
            <w:r>
              <w:rPr>
                <w:rFonts w:ascii="Arial" w:cs="Arial" w:eastAsia="Arial" w:hAnsi="Arial"/>
                <w:sz w:val="18"/>
                <w:szCs w:val="18"/>
                <w:color w:val="231F20"/>
                <w:w w:val="88"/>
              </w:rPr>
              <w:t>Have your proxy card</w:t>
            </w:r>
          </w:p>
        </w:tc>
        <w:tc>
          <w:tcPr>
            <w:tcW w:w="22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tcBorders>
              <w:right w:val="single" w:sz="8" w:color="auto"/>
            </w:tcBorders>
            <w:gridSpan w:val="2"/>
          </w:tcPr>
          <w:p>
            <w:pPr>
              <w:jc w:val="center"/>
              <w:ind w:right="1140"/>
              <w:spacing w:after="0"/>
              <w:rPr>
                <w:sz w:val="20"/>
                <w:szCs w:val="20"/>
                <w:color w:val="auto"/>
              </w:rPr>
            </w:pPr>
            <w:r>
              <w:rPr>
                <w:rFonts w:ascii="Arial" w:cs="Arial" w:eastAsia="Arial" w:hAnsi="Arial"/>
                <w:sz w:val="18"/>
                <w:szCs w:val="18"/>
                <w:color w:val="231F20"/>
                <w:w w:val="89"/>
              </w:rPr>
              <w:t>proxy.</w:t>
            </w:r>
          </w:p>
        </w:tc>
        <w:tc>
          <w:tcPr>
            <w:tcW w:w="24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88"/>
              </w:rPr>
              <w:t>then detach it, and return it in the</w:t>
            </w:r>
          </w:p>
        </w:tc>
      </w:tr>
      <w:tr>
        <w:trPr>
          <w:trHeight w:val="210"/>
        </w:trPr>
        <w:tc>
          <w:tcPr>
            <w:tcW w:w="2820" w:type="dxa"/>
            <w:vAlign w:val="bottom"/>
            <w:tcBorders>
              <w:left w:val="single" w:sz="8" w:color="auto"/>
              <w:right w:val="single" w:sz="8" w:color="auto"/>
            </w:tcBorders>
            <w:gridSpan w:val="3"/>
          </w:tcPr>
          <w:p>
            <w:pPr>
              <w:jc w:val="center"/>
              <w:ind w:left="252"/>
              <w:spacing w:after="0"/>
              <w:rPr>
                <w:sz w:val="20"/>
                <w:szCs w:val="20"/>
                <w:color w:val="auto"/>
              </w:rPr>
            </w:pPr>
            <w:r>
              <w:rPr>
                <w:rFonts w:ascii="Arial" w:cs="Arial" w:eastAsia="Arial" w:hAnsi="Arial"/>
                <w:sz w:val="18"/>
                <w:szCs w:val="18"/>
                <w:color w:val="231F20"/>
                <w:w w:val="86"/>
              </w:rPr>
              <w:t>available when you access the</w:t>
            </w:r>
          </w:p>
        </w:tc>
        <w:tc>
          <w:tcPr>
            <w:tcW w:w="22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231F20"/>
                <w:w w:val="89"/>
              </w:rPr>
              <w:t>Have your proxy card available when you call.</w:t>
            </w:r>
          </w:p>
        </w:tc>
        <w:tc>
          <w:tcPr>
            <w:tcW w:w="24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87"/>
              </w:rPr>
              <w:t>postage-paid envelope provided.</w:t>
            </w:r>
          </w:p>
        </w:tc>
      </w:tr>
      <w:tr>
        <w:trPr>
          <w:trHeight w:val="210"/>
        </w:trPr>
        <w:tc>
          <w:tcPr>
            <w:tcW w:w="114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18"/>
                <w:szCs w:val="18"/>
                <w:color w:val="231F20"/>
                <w:w w:val="81"/>
              </w:rPr>
              <w:t>above</w:t>
            </w:r>
          </w:p>
        </w:tc>
        <w:tc>
          <w:tcPr>
            <w:tcW w:w="22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231F20"/>
                <w:w w:val="90"/>
              </w:rPr>
              <w:t>Follow the voting instructions to vote your</w:t>
            </w:r>
          </w:p>
        </w:tc>
        <w:tc>
          <w:tcPr>
            <w:tcW w:w="2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0"/>
        </w:trPr>
        <w:tc>
          <w:tcPr>
            <w:tcW w:w="2820" w:type="dxa"/>
            <w:vAlign w:val="bottom"/>
            <w:tcBorders>
              <w:left w:val="single" w:sz="8" w:color="auto"/>
              <w:right w:val="single" w:sz="8" w:color="auto"/>
            </w:tcBorders>
            <w:gridSpan w:val="3"/>
          </w:tcPr>
          <w:p>
            <w:pPr>
              <w:jc w:val="center"/>
              <w:ind w:left="292"/>
              <w:spacing w:after="0"/>
              <w:rPr>
                <w:sz w:val="20"/>
                <w:szCs w:val="20"/>
                <w:color w:val="auto"/>
              </w:rPr>
            </w:pPr>
            <w:r>
              <w:rPr>
                <w:rFonts w:ascii="Arial" w:cs="Arial" w:eastAsia="Arial" w:hAnsi="Arial"/>
                <w:sz w:val="18"/>
                <w:szCs w:val="18"/>
                <w:color w:val="231F20"/>
                <w:w w:val="88"/>
              </w:rPr>
              <w:t>website. Follow the prompts to</w:t>
            </w:r>
          </w:p>
        </w:tc>
        <w:tc>
          <w:tcPr>
            <w:tcW w:w="22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tcBorders>
              <w:right w:val="single" w:sz="8" w:color="auto"/>
            </w:tcBorders>
            <w:gridSpan w:val="2"/>
          </w:tcPr>
          <w:p>
            <w:pPr>
              <w:jc w:val="center"/>
              <w:ind w:right="1140"/>
              <w:spacing w:after="0"/>
              <w:rPr>
                <w:sz w:val="20"/>
                <w:szCs w:val="20"/>
                <w:color w:val="auto"/>
              </w:rPr>
            </w:pPr>
            <w:r>
              <w:rPr>
                <w:rFonts w:ascii="Arial" w:cs="Arial" w:eastAsia="Arial" w:hAnsi="Arial"/>
                <w:sz w:val="18"/>
                <w:szCs w:val="18"/>
                <w:color w:val="231F20"/>
                <w:w w:val="81"/>
              </w:rPr>
              <w:t>shares.</w:t>
            </w:r>
          </w:p>
        </w:tc>
        <w:tc>
          <w:tcPr>
            <w:tcW w:w="2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22"/>
        </w:trPr>
        <w:tc>
          <w:tcPr>
            <w:tcW w:w="2820" w:type="dxa"/>
            <w:vAlign w:val="bottom"/>
            <w:tcBorders>
              <w:left w:val="single" w:sz="8" w:color="auto"/>
              <w:right w:val="single" w:sz="8" w:color="auto"/>
            </w:tcBorders>
            <w:gridSpan w:val="3"/>
          </w:tcPr>
          <w:p>
            <w:pPr>
              <w:jc w:val="center"/>
              <w:ind w:left="292"/>
              <w:spacing w:after="0"/>
              <w:rPr>
                <w:sz w:val="20"/>
                <w:szCs w:val="20"/>
                <w:color w:val="auto"/>
              </w:rPr>
            </w:pPr>
            <w:r>
              <w:rPr>
                <w:rFonts w:ascii="Arial" w:cs="Arial" w:eastAsia="Arial" w:hAnsi="Arial"/>
                <w:sz w:val="18"/>
                <w:szCs w:val="18"/>
                <w:color w:val="231F20"/>
                <w:w w:val="86"/>
              </w:rPr>
              <w:t>vote your shares.</w:t>
            </w:r>
          </w:p>
        </w:tc>
        <w:tc>
          <w:tcPr>
            <w:tcW w:w="22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r>
      <w:tr>
        <w:trPr>
          <w:trHeight w:val="217"/>
        </w:trPr>
        <w:tc>
          <w:tcPr>
            <w:tcW w:w="114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240"/>
          </w:cols>
          <w:pgMar w:left="320" w:top="475" w:right="339" w:bottom="0" w:gutter="0" w:footer="0" w:header="0"/>
          <w:type w:val="continuous"/>
        </w:sectPr>
      </w:pPr>
    </w:p>
    <w:bookmarkStart w:id="44" w:name="page45"/>
    <w:bookmarkEnd w:id="4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2)"/>
      <w:numFmt w:val="decimal"/>
      <w:start w:val="1"/>
    </w:lvl>
  </w:abstractNum>
  <w:abstractNum w:abstractNumId="5">
    <w:nsid w:val="1D4ED43B"/>
    <w:multiLevelType w:val="hybridMultilevel"/>
    <w:lvl w:ilvl="0">
      <w:lvlJc w:val="left"/>
      <w:lvlText w:val="%1)"/>
      <w:numFmt w:val="decimal"/>
      <w:start w:val="4"/>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1:"/>
      <w:numFmt w:val="upperLetter"/>
      <w:start w:val="17"/>
    </w:lvl>
  </w:abstractNum>
  <w:abstractNum w:abstractNumId="9">
    <w:nsid w:val="7A6D8D3C"/>
    <w:multiLevelType w:val="hybridMultilevel"/>
    <w:lvl w:ilvl="0">
      <w:lvlJc w:val="left"/>
      <w:lvlText w:val="%1:"/>
      <w:numFmt w:val="upperLetter"/>
      <w:start w:val="1"/>
    </w:lvl>
    <w:lvl w:ilvl="1">
      <w:lvlJc w:val="left"/>
      <w:lvlText w:val="•"/>
      <w:numFmt w:val="bullet"/>
      <w:start w:val="1"/>
    </w:lvl>
  </w:abstractNum>
  <w:abstractNum w:abstractNumId="10">
    <w:nsid w:val="4B588F54"/>
    <w:multiLevelType w:val="hybridMultilevel"/>
    <w:lvl w:ilvl="0">
      <w:lvlJc w:val="left"/>
      <w:lvlText w:val="%1:"/>
      <w:numFmt w:val="upperLetter"/>
      <w:start w:val="17"/>
    </w:lvl>
  </w:abstractNum>
  <w:abstractNum w:abstractNumId="11">
    <w:nsid w:val="542289EC"/>
    <w:multiLevelType w:val="hybridMultilevel"/>
    <w:lvl w:ilvl="0">
      <w:lvlJc w:val="left"/>
      <w:lvlText w:val="%1:"/>
      <w:numFmt w:val="upperLetter"/>
      <w:start w:val="1"/>
    </w:lvl>
    <w:lvl w:ilvl="1">
      <w:lvlJc w:val="left"/>
      <w:lvlText w:val="•"/>
      <w:numFmt w:val="bullet"/>
      <w:start w:val="1"/>
    </w:lvl>
  </w:abstractNum>
  <w:abstractNum w:abstractNumId="12">
    <w:nsid w:val="6DE91B18"/>
    <w:multiLevelType w:val="hybridMultilevel"/>
    <w:lvl w:ilvl="0">
      <w:lvlJc w:val="left"/>
      <w:lvlText w:val="%1:"/>
      <w:numFmt w:val="upperLetter"/>
      <w:start w:val="17"/>
    </w:lvl>
  </w:abstractNum>
  <w:abstractNum w:abstractNumId="13">
    <w:nsid w:val="38437FDB"/>
    <w:multiLevelType w:val="hybridMultilevel"/>
    <w:lvl w:ilvl="0">
      <w:lvlJc w:val="left"/>
      <w:lvlText w:val="%1:"/>
      <w:numFmt w:val="upperLetter"/>
      <w:start w:val="1"/>
    </w:lvl>
  </w:abstractNum>
  <w:abstractNum w:abstractNumId="14">
    <w:nsid w:val="7644A45C"/>
    <w:multiLevelType w:val="hybridMultilevel"/>
    <w:lvl w:ilvl="0">
      <w:lvlJc w:val="left"/>
      <w:lvlText w:val="%1:"/>
      <w:numFmt w:val="upperLetter"/>
      <w:start w:val="17"/>
    </w:lvl>
  </w:abstractNum>
  <w:abstractNum w:abstractNumId="15">
    <w:nsid w:val="32FFF902"/>
    <w:multiLevelType w:val="hybridMultilevel"/>
    <w:lvl w:ilvl="0">
      <w:lvlJc w:val="left"/>
      <w:lvlText w:val="%1:"/>
      <w:numFmt w:val="upperLetter"/>
      <w:start w:val="1"/>
    </w:lvl>
    <w:lvl w:ilvl="1">
      <w:lvlJc w:val="left"/>
      <w:lvlText w:val="•"/>
      <w:numFmt w:val="bullet"/>
      <w:start w:val="1"/>
    </w:lvl>
  </w:abstractNum>
  <w:abstractNum w:abstractNumId="16">
    <w:nsid w:val="684A481A"/>
    <w:multiLevelType w:val="hybridMultilevel"/>
    <w:lvl w:ilvl="0">
      <w:lvlJc w:val="left"/>
      <w:lvlText w:val="%1:"/>
      <w:numFmt w:val="upperLetter"/>
      <w:start w:val="17"/>
    </w:lvl>
  </w:abstractNum>
  <w:abstractNum w:abstractNumId="17">
    <w:nsid w:val="579478FE"/>
    <w:multiLevelType w:val="hybridMultilevel"/>
    <w:lvl w:ilvl="0">
      <w:lvlJc w:val="left"/>
      <w:lvlText w:val="%1:"/>
      <w:numFmt w:val="upperLetter"/>
      <w:start w:val="1"/>
    </w:lvl>
  </w:abstractNum>
  <w:abstractNum w:abstractNumId="18">
    <w:nsid w:val="749ABB43"/>
    <w:multiLevelType w:val="hybridMultilevel"/>
    <w:lvl w:ilvl="0">
      <w:lvlJc w:val="left"/>
      <w:lvlText w:val="%1:"/>
      <w:numFmt w:val="upperLetter"/>
      <w:start w:val="17"/>
    </w:lvl>
  </w:abstractNum>
  <w:abstractNum w:abstractNumId="19">
    <w:nsid w:val="3DC240FB"/>
    <w:multiLevelType w:val="hybridMultilevel"/>
    <w:lvl w:ilvl="0">
      <w:lvlJc w:val="left"/>
      <w:lvlText w:val="%1:"/>
      <w:numFmt w:val="upperLetter"/>
      <w:start w:val="1"/>
    </w:lvl>
  </w:abstractNum>
  <w:abstractNum w:abstractNumId="20">
    <w:nsid w:val="1BA026FA"/>
    <w:multiLevelType w:val="hybridMultilevel"/>
    <w:lvl w:ilvl="0">
      <w:lvlJc w:val="left"/>
      <w:lvlText w:val="%1:"/>
      <w:numFmt w:val="upperLetter"/>
      <w:start w:val="17"/>
    </w:lvl>
  </w:abstractNum>
  <w:abstractNum w:abstractNumId="21">
    <w:nsid w:val="79A1DEAA"/>
    <w:multiLevelType w:val="hybridMultilevel"/>
    <w:lvl w:ilvl="0">
      <w:lvlJc w:val="left"/>
      <w:lvlText w:val="%1:"/>
      <w:numFmt w:val="upperLetter"/>
      <w:start w:val="1"/>
    </w:lvl>
  </w:abstractNum>
  <w:abstractNum w:abstractNumId="22">
    <w:nsid w:val="75C6C33A"/>
    <w:multiLevelType w:val="hybridMultilevel"/>
    <w:lvl w:ilvl="0">
      <w:lvlJc w:val="left"/>
      <w:lvlText w:val="%1:"/>
      <w:numFmt w:val="upperLetter"/>
      <w:start w:val="17"/>
    </w:lvl>
  </w:abstractNum>
  <w:abstractNum w:abstractNumId="23">
    <w:nsid w:val="12E685FB"/>
    <w:multiLevelType w:val="hybridMultilevel"/>
    <w:lvl w:ilvl="0">
      <w:lvlJc w:val="left"/>
      <w:lvlText w:val="%1:"/>
      <w:numFmt w:val="upperLetter"/>
      <w:start w:val="1"/>
    </w:lvl>
    <w:lvl w:ilvl="1">
      <w:lvlJc w:val="left"/>
      <w:lvlText w:val="-"/>
      <w:numFmt w:val="bullet"/>
      <w:start w:val="1"/>
    </w:lvl>
  </w:abstractNum>
  <w:abstractNum w:abstractNumId="24">
    <w:nsid w:val="70C6A529"/>
    <w:multiLevelType w:val="hybridMultilevel"/>
    <w:lvl w:ilvl="0">
      <w:lvlJc w:val="left"/>
      <w:lvlText w:val="%1:"/>
      <w:numFmt w:val="upperLetter"/>
      <w:start w:val="17"/>
    </w:lvl>
  </w:abstractNum>
  <w:abstractNum w:abstractNumId="25">
    <w:nsid w:val="520EEDD1"/>
    <w:multiLevelType w:val="hybridMultilevel"/>
    <w:lvl w:ilvl="0">
      <w:lvlJc w:val="left"/>
      <w:lvlText w:val="%1:"/>
      <w:numFmt w:val="upperLetter"/>
      <w:start w:val="1"/>
    </w:lvl>
  </w:abstractNum>
  <w:abstractNum w:abstractNumId="26">
    <w:nsid w:val="374A3FE6"/>
    <w:multiLevelType w:val="hybridMultilevel"/>
    <w:lvl w:ilvl="0">
      <w:lvlJc w:val="left"/>
      <w:lvlText w:val="%1:"/>
      <w:numFmt w:val="upperLetter"/>
      <w:start w:val="17"/>
    </w:lvl>
  </w:abstractNum>
  <w:abstractNum w:abstractNumId="27">
    <w:nsid w:val="4F4EF005"/>
    <w:multiLevelType w:val="hybridMultilevel"/>
    <w:lvl w:ilvl="0">
      <w:lvlJc w:val="left"/>
      <w:lvlText w:val="%1:"/>
      <w:numFmt w:val="upperLetter"/>
      <w:start w:val="1"/>
    </w:lvl>
    <w:lvl w:ilvl="1">
      <w:lvlJc w:val="left"/>
      <w:lvlText w:val="•"/>
      <w:numFmt w:val="bullet"/>
      <w:start w:val="1"/>
    </w:lvl>
  </w:abstractNum>
  <w:abstractNum w:abstractNumId="28">
    <w:nsid w:val="23F9C13C"/>
    <w:multiLevelType w:val="hybridMultilevel"/>
    <w:lvl w:ilvl="0">
      <w:lvlJc w:val="left"/>
      <w:lvlText w:val="%1:"/>
      <w:numFmt w:val="upperLetter"/>
      <w:start w:val="17"/>
    </w:lvl>
  </w:abstractNum>
  <w:abstractNum w:abstractNumId="29">
    <w:nsid w:val="649BB77C"/>
    <w:multiLevelType w:val="hybridMultilevel"/>
    <w:lvl w:ilvl="0">
      <w:lvlJc w:val="left"/>
      <w:lvlText w:val="%1:"/>
      <w:numFmt w:val="upperLetter"/>
      <w:start w:val="1"/>
    </w:lvl>
  </w:abstractNum>
  <w:abstractNum w:abstractNumId="30">
    <w:nsid w:val="275AC794"/>
    <w:multiLevelType w:val="hybridMultilevel"/>
    <w:lvl w:ilvl="0">
      <w:lvlJc w:val="left"/>
      <w:lvlText w:val="%1:"/>
      <w:numFmt w:val="upperLetter"/>
      <w:start w:val="17"/>
    </w:lvl>
  </w:abstractNum>
  <w:abstractNum w:abstractNumId="31">
    <w:nsid w:val="39386575"/>
    <w:multiLevelType w:val="hybridMultilevel"/>
    <w:lvl w:ilvl="0">
      <w:lvlJc w:val="left"/>
      <w:lvlText w:val="%1:"/>
      <w:numFmt w:val="upperLetter"/>
      <w:start w:val="1"/>
    </w:lvl>
  </w:abstractNum>
  <w:abstractNum w:abstractNumId="32">
    <w:nsid w:val="1CF10FD8"/>
    <w:multiLevelType w:val="hybridMultilevel"/>
    <w:lvl w:ilvl="0">
      <w:lvlJc w:val="left"/>
      <w:lvlText w:val="%1:"/>
      <w:numFmt w:val="upperLetter"/>
      <w:start w:val="17"/>
    </w:lvl>
  </w:abstractNum>
  <w:abstractNum w:abstractNumId="33">
    <w:nsid w:val="180115BE"/>
    <w:multiLevelType w:val="hybridMultilevel"/>
    <w:lvl w:ilvl="0">
      <w:lvlJc w:val="left"/>
      <w:lvlText w:val="%1:"/>
      <w:numFmt w:val="upperLetter"/>
      <w:start w:val="1"/>
    </w:lvl>
    <w:lvl w:ilvl="1">
      <w:lvlJc w:val="left"/>
      <w:lvlText w:val="-"/>
      <w:numFmt w:val="bullet"/>
      <w:start w:val="1"/>
    </w:lvl>
  </w:abstractNum>
  <w:abstractNum w:abstractNumId="34">
    <w:nsid w:val="235BA861"/>
    <w:multiLevelType w:val="hybridMultilevel"/>
    <w:lvl w:ilvl="0">
      <w:lvlJc w:val="left"/>
      <w:lvlText w:val="%1:"/>
      <w:numFmt w:val="upperLetter"/>
      <w:start w:val="17"/>
    </w:lvl>
  </w:abstractNum>
  <w:abstractNum w:abstractNumId="35">
    <w:nsid w:val="47398C89"/>
    <w:multiLevelType w:val="hybridMultilevel"/>
    <w:lvl w:ilvl="0">
      <w:lvlJc w:val="left"/>
      <w:lvlText w:val="%1:"/>
      <w:numFmt w:val="upperLetter"/>
      <w:start w:val="1"/>
    </w:lvl>
  </w:abstractNum>
  <w:abstractNum w:abstractNumId="36">
    <w:nsid w:val="354FE9F9"/>
    <w:multiLevelType w:val="hybridMultilevel"/>
    <w:lvl w:ilvl="0">
      <w:lvlJc w:val="left"/>
      <w:lvlText w:val="%1:"/>
      <w:numFmt w:val="upperLetter"/>
      <w:start w:val="17"/>
    </w:lvl>
  </w:abstractNum>
  <w:abstractNum w:abstractNumId="37">
    <w:nsid w:val="15B5AF5C"/>
    <w:multiLevelType w:val="hybridMultilevel"/>
    <w:lvl w:ilvl="0">
      <w:lvlJc w:val="left"/>
      <w:lvlText w:val="%1:"/>
      <w:numFmt w:val="upperLetter"/>
      <w:start w:val="1"/>
    </w:lvl>
  </w:abstractNum>
  <w:abstractNum w:abstractNumId="38">
    <w:nsid w:val="741226BB"/>
    <w:multiLevelType w:val="hybridMultilevel"/>
    <w:lvl w:ilvl="0">
      <w:lvlJc w:val="left"/>
      <w:lvlText w:val="%1:"/>
      <w:numFmt w:val="upperLetter"/>
      <w:start w:val="17"/>
    </w:lvl>
  </w:abstractNum>
  <w:abstractNum w:abstractNumId="39">
    <w:nsid w:val="D34B6A8"/>
    <w:multiLevelType w:val="hybridMultilevel"/>
    <w:lvl w:ilvl="0">
      <w:lvlJc w:val="left"/>
      <w:lvlText w:val="%1:"/>
      <w:numFmt w:val="upperLetter"/>
      <w:start w:val="1"/>
    </w:lvl>
  </w:abstractNum>
  <w:abstractNum w:abstractNumId="40">
    <w:nsid w:val="10233C99"/>
    <w:multiLevelType w:val="hybridMultilevel"/>
    <w:lvl w:ilvl="0">
      <w:lvlJc w:val="left"/>
      <w:lvlText w:val="%1:"/>
      <w:numFmt w:val="upperLetter"/>
      <w:start w:val="17"/>
    </w:lvl>
  </w:abstractNum>
  <w:abstractNum w:abstractNumId="41">
    <w:nsid w:val="3F6AB60F"/>
    <w:multiLevelType w:val="hybridMultilevel"/>
    <w:lvl w:ilvl="0">
      <w:lvlJc w:val="left"/>
      <w:lvlText w:val="%1:"/>
      <w:numFmt w:val="upperLetter"/>
      <w:start w:val="1"/>
    </w:lvl>
    <w:lvl w:ilvl="1">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decimal"/>
      <w:start w:val="1"/>
    </w:lvl>
    <w:lvl w:ilvl="1">
      <w:lvlJc w:val="left"/>
      <w:lvlText w:val="-"/>
      <w:numFmt w:val="bullet"/>
      <w:start w:val="1"/>
    </w:lvl>
  </w:abstractNum>
  <w:abstractNum w:abstractNumId="44">
    <w:nsid w:val="77AE35EB"/>
    <w:multiLevelType w:val="hybridMultilevel"/>
    <w:lvl w:ilvl="0">
      <w:lvlJc w:val="left"/>
      <w:lvlText w:val="(%1)"/>
      <w:numFmt w:val="decimal"/>
      <w:start w:val="3"/>
    </w:lvl>
  </w:abstractNum>
  <w:abstractNum w:abstractNumId="45">
    <w:nsid w:val="579BE4F1"/>
    <w:multiLevelType w:val="hybridMultilevel"/>
    <w:lvl w:ilvl="0">
      <w:lvlJc w:val="left"/>
      <w:lvlText w:val="(%1)"/>
      <w:numFmt w:val="decimal"/>
      <w:start w:val="3"/>
    </w:lvl>
    <w:lvl w:ilvl="1">
      <w:lvlJc w:val="left"/>
      <w:lvlText w:val="*"/>
      <w:numFmt w:val="bullet"/>
      <w:start w:val="1"/>
    </w:lvl>
  </w:abstractNum>
  <w:abstractNum w:abstractNumId="46">
    <w:nsid w:val="310C50B3"/>
    <w:multiLevelType w:val="hybridMultilevel"/>
    <w:lvl w:ilvl="0">
      <w:lvlJc w:val="left"/>
      <w:lvlText w:val="(%1)"/>
      <w:numFmt w:val="lowerLetter"/>
      <w:start w:val="1"/>
    </w:lvl>
    <w:lvl w:ilvl="1">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5"/>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1)"/>
      <w:numFmt w:val="decimal"/>
      <w:start w:val="1"/>
    </w:lvl>
    <w:lvl w:ilvl="1">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
      <w:numFmt w:val="bullet"/>
      <w:start w:val="1"/>
    </w:lvl>
    <w:lvl w:ilvl="1">
      <w:lvlJc w:val="left"/>
      <w:lvlText w:val="-"/>
      <w:numFmt w:val="bullet"/>
      <w:start w:val="1"/>
    </w:lvl>
  </w:abstractNum>
  <w:abstractNum w:abstractNumId="59">
    <w:nsid w:val="98A3148"/>
    <w:multiLevelType w:val="hybridMultilevel"/>
    <w:lvl w:ilvl="0">
      <w:lvlJc w:val="left"/>
      <w:lvlText w:val="•"/>
      <w:numFmt w:val="bullet"/>
      <w:start w:val="1"/>
    </w:lvl>
    <w:lvl w:ilvl="1">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lvl w:ilvl="1">
      <w:lvlJc w:val="left"/>
      <w:lvlText w:val="-"/>
      <w:numFmt w:val="bullet"/>
      <w:start w:val="1"/>
    </w:lvl>
  </w:abstractNum>
  <w:abstractNum w:abstractNumId="64">
    <w:nsid w:val="1EBA5D23"/>
    <w:multiLevelType w:val="hybridMultilevel"/>
    <w:lvl w:ilvl="0">
      <w:lvlJc w:val="left"/>
      <w:lvlText w:val="o"/>
      <w:numFmt w:val="bullet"/>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4"/>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
      <w:numFmt w:val="bullet"/>
      <w:start w:val="1"/>
    </w:lvl>
    <w:lvl w:ilvl="1">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2021-04-13T15:17:56Z</dcterms:created>
  <dcterms:modified xsi:type="dcterms:W3CDTF">2021-04-13T15:17:56Z</dcterms:modified>
</cp:coreProperties>
</file>