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cixformsd0525.htm"/>
      <w:bookmarkStart w:id="1" w:name="kscixformsd0525"/>
      <w:bookmarkStart w:id="2" w:name="cixformsd0525.htm"/>
      <w:bookmarkStart w:id="3" w:name="kscixformsd0525"/>
      <w:bookmarkEnd w:id="2"/>
      <w:bookmarkEnd w:id="3"/>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UNITED STATES</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SECURITIES AND EXCHANGE COMMISSION</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Washington, D.C.   205492015</w:t>
      </w:r>
    </w:p>
    <w:p>
      <w:pPr>
        <w:pStyle w:val="TextBody"/>
        <w:bidi w:val="0"/>
        <w:spacing w:before="480" w:after="283"/>
        <w:jc w:val="center"/>
        <w:rPr>
          <w:rFonts w:ascii="Times New Roman;Times;serif" w:hAnsi="Times New Roman;Times;serif"/>
          <w:b/>
          <w:color w:val="000000"/>
          <w:sz w:val="28"/>
        </w:rPr>
      </w:pPr>
      <w:r>
        <w:rPr>
          <w:rFonts w:ascii="Times New Roman;Times;serif" w:hAnsi="Times New Roman;Times;serif"/>
          <w:b/>
          <w:color w:val="000000"/>
          <w:sz w:val="28"/>
        </w:rPr>
        <w:t>FORM SD</w:t>
      </w:r>
    </w:p>
    <w:p>
      <w:pPr>
        <w:pStyle w:val="TextBody"/>
        <w:bidi w:val="0"/>
        <w:spacing w:before="0" w:after="240"/>
        <w:jc w:val="center"/>
        <w:rPr>
          <w:rFonts w:ascii="Times New Roman;Times;serif" w:hAnsi="Times New Roman;Times;serif"/>
          <w:b/>
          <w:color w:val="000000"/>
          <w:sz w:val="28"/>
        </w:rPr>
      </w:pPr>
      <w:r>
        <w:rPr>
          <w:rFonts w:ascii="Times New Roman;Times;serif" w:hAnsi="Times New Roman;Times;serif"/>
          <w:b/>
          <w:color w:val="000000"/>
          <w:sz w:val="28"/>
        </w:rPr>
        <w:t>Specialized Disclosure Report</w:t>
      </w:r>
    </w:p>
    <w:p>
      <w:pPr>
        <w:pStyle w:val="TextBody"/>
        <w:bidi w:val="0"/>
        <w:spacing w:before="0" w:after="0"/>
        <w:jc w:val="left"/>
        <w:rPr/>
      </w:pPr>
      <w:r>
        <w:rPr/>
      </w:r>
    </w:p>
    <w:p>
      <w:pPr>
        <w:pStyle w:val="TextBody"/>
        <w:bidi w:val="0"/>
        <w:spacing w:before="360" w:after="283"/>
        <w:jc w:val="center"/>
        <w:rPr>
          <w:rFonts w:ascii="Times New Roman;Times;serif" w:hAnsi="Times New Roman;Times;serif"/>
          <w:b/>
          <w:smallCaps/>
          <w:color w:val="000000"/>
          <w:sz w:val="36"/>
        </w:rPr>
      </w:pPr>
      <w:r>
        <w:rPr>
          <w:rFonts w:ascii="Times New Roman;Times;serif" w:hAnsi="Times New Roman;Times;serif"/>
          <w:b/>
          <w:smallCaps/>
          <w:color w:val="000000"/>
          <w:sz w:val="36"/>
        </w:rPr>
        <w:t>CompX International Inc.</w:t>
      </w:r>
    </w:p>
    <w:p>
      <w:pPr>
        <w:pStyle w:val="TextBody"/>
        <w:bidi w:val="0"/>
        <w:spacing w:before="0" w:after="360"/>
        <w:jc w:val="center"/>
        <w:rPr>
          <w:rFonts w:ascii="Times New Roman;Times;serif" w:hAnsi="Times New Roman;Times;serif"/>
          <w:color w:val="000000"/>
          <w:sz w:val="20"/>
        </w:rPr>
      </w:pPr>
      <w:r>
        <w:rPr>
          <w:rFonts w:ascii="Times New Roman;Times;serif" w:hAnsi="Times New Roman;Times;serif"/>
          <w:color w:val="000000"/>
          <w:sz w:val="20"/>
        </w:rPr>
        <w:t>(Exact name of registrant as specified in its charter)</w:t>
      </w:r>
    </w:p>
    <w:p>
      <w:pPr>
        <w:pStyle w:val="Normal"/>
        <w:bidi w:val="0"/>
        <w:spacing w:before="0" w:after="0"/>
        <w:jc w:val="left"/>
        <w:rPr>
          <w:sz w:val="4"/>
          <w:szCs w:val="4"/>
        </w:rPr>
      </w:pPr>
      <w:r>
        <w:rPr>
          <w:sz w:val="4"/>
          <w:szCs w:val="4"/>
        </w:rPr>
      </w:r>
      <w:bookmarkStart w:id="4" w:name="z27cca38103eb4928bdfa82365a5454e4"/>
      <w:bookmarkStart w:id="5" w:name="z27cca38103eb4928bdfa82365a5454e4"/>
      <w:bookmarkEnd w:id="5"/>
    </w:p>
    <w:tbl>
      <w:tblPr>
        <w:tblW w:w="7346" w:type="dxa"/>
        <w:jc w:val="left"/>
        <w:tblInd w:w="0" w:type="dxa"/>
        <w:tblLayout w:type="fixed"/>
        <w:tblCellMar>
          <w:top w:w="0" w:type="dxa"/>
          <w:left w:w="0" w:type="dxa"/>
          <w:bottom w:w="28" w:type="dxa"/>
          <w:right w:w="0" w:type="dxa"/>
        </w:tblCellMar>
      </w:tblPr>
      <w:tblGrid>
        <w:gridCol w:w="4242"/>
        <w:gridCol w:w="1330"/>
        <w:gridCol w:w="27"/>
        <w:gridCol w:w="1747"/>
      </w:tblGrid>
      <w:tr>
        <w:trPr/>
        <w:tc>
          <w:tcPr>
            <w:tcW w:w="4242" w:type="dxa"/>
            <w:tcBorders>
              <w:bottom w:val="single" w:sz="12" w:space="0" w:color="000000"/>
            </w:tcBorders>
            <w:vAlign w:val="center"/>
          </w:tcPr>
          <w:p>
            <w:pPr>
              <w:pStyle w:val="TableContents"/>
              <w:bidi w:val="0"/>
              <w:spacing w:before="0" w:after="0"/>
              <w:jc w:val="center"/>
              <w:rPr>
                <w:b/>
                <w:sz w:val="28"/>
              </w:rPr>
            </w:pPr>
            <w:r>
              <w:rPr>
                <w:b/>
                <w:sz w:val="28"/>
              </w:rPr>
              <w:t>Delaware</w:t>
            </w:r>
          </w:p>
        </w:tc>
        <w:tc>
          <w:tcPr>
            <w:tcW w:w="1330" w:type="dxa"/>
            <w:tcBorders>
              <w:bottom w:val="single" w:sz="12" w:space="0" w:color="000000"/>
            </w:tcBorders>
            <w:vAlign w:val="center"/>
          </w:tcPr>
          <w:p>
            <w:pPr>
              <w:pStyle w:val="TableContents"/>
              <w:bidi w:val="0"/>
              <w:spacing w:before="0" w:after="0"/>
              <w:jc w:val="center"/>
              <w:rPr>
                <w:b/>
                <w:sz w:val="28"/>
              </w:rPr>
            </w:pPr>
            <w:r>
              <w:rPr>
                <w:b/>
                <w:sz w:val="28"/>
              </w:rPr>
              <w:t>1-13905</w:t>
            </w:r>
          </w:p>
        </w:tc>
        <w:tc>
          <w:tcPr>
            <w:tcW w:w="1774" w:type="dxa"/>
            <w:gridSpan w:val="2"/>
            <w:tcBorders>
              <w:bottom w:val="single" w:sz="12" w:space="0" w:color="000000"/>
            </w:tcBorders>
            <w:vAlign w:val="center"/>
          </w:tcPr>
          <w:p>
            <w:pPr>
              <w:pStyle w:val="TableContents"/>
              <w:bidi w:val="0"/>
              <w:spacing w:before="0" w:after="0"/>
              <w:jc w:val="center"/>
              <w:rPr>
                <w:b/>
                <w:sz w:val="28"/>
              </w:rPr>
            </w:pPr>
            <w:r>
              <w:rPr>
                <w:b/>
                <w:sz w:val="28"/>
              </w:rPr>
              <w:t>57-0981653</w:t>
            </w:r>
          </w:p>
        </w:tc>
      </w:tr>
      <w:tr>
        <w:trPr/>
        <w:tc>
          <w:tcPr>
            <w:tcW w:w="4242" w:type="dxa"/>
            <w:tcBorders/>
            <w:tcMar>
              <w:bottom w:w="0" w:type="dxa"/>
            </w:tcMar>
            <w:vAlign w:val="center"/>
          </w:tcPr>
          <w:p>
            <w:pPr>
              <w:pStyle w:val="TableContents"/>
              <w:bidi w:val="0"/>
              <w:spacing w:before="0" w:after="0"/>
              <w:jc w:val="center"/>
              <w:rPr/>
            </w:pPr>
            <w:r>
              <w:rPr/>
              <w:t>(State or other jurisdiction of incorporation)</w:t>
            </w:r>
          </w:p>
        </w:tc>
        <w:tc>
          <w:tcPr>
            <w:tcW w:w="1330" w:type="dxa"/>
            <w:tcBorders/>
            <w:tcMar>
              <w:bottom w:w="0" w:type="dxa"/>
            </w:tcMar>
            <w:vAlign w:val="center"/>
          </w:tcPr>
          <w:p>
            <w:pPr>
              <w:pStyle w:val="TableContents"/>
              <w:bidi w:val="0"/>
              <w:spacing w:before="0" w:after="0"/>
              <w:jc w:val="center"/>
              <w:rPr/>
            </w:pPr>
            <w:r>
              <w:rPr/>
              <w:t>(Commission</w:t>
            </w:r>
          </w:p>
          <w:p>
            <w:pPr>
              <w:pStyle w:val="TableContents"/>
              <w:bidi w:val="0"/>
              <w:spacing w:before="0" w:after="0"/>
              <w:jc w:val="center"/>
              <w:rPr/>
            </w:pPr>
            <w:r>
              <w:rPr/>
              <w:t>File Number)</w:t>
            </w:r>
          </w:p>
        </w:tc>
        <w:tc>
          <w:tcPr>
            <w:tcW w:w="1774" w:type="dxa"/>
            <w:gridSpan w:val="2"/>
            <w:tcBorders/>
            <w:tcMar>
              <w:bottom w:w="0" w:type="dxa"/>
            </w:tcMar>
            <w:vAlign w:val="center"/>
          </w:tcPr>
          <w:p>
            <w:pPr>
              <w:pStyle w:val="TableContents"/>
              <w:bidi w:val="0"/>
              <w:spacing w:before="0" w:after="0"/>
              <w:jc w:val="center"/>
              <w:rPr/>
            </w:pPr>
            <w:r>
              <w:rPr/>
              <w:t>(IRS Employer</w:t>
            </w:r>
          </w:p>
          <w:p>
            <w:pPr>
              <w:pStyle w:val="TableContents"/>
              <w:bidi w:val="0"/>
              <w:spacing w:before="0" w:after="0"/>
              <w:jc w:val="center"/>
              <w:rPr/>
            </w:pPr>
            <w:r>
              <w:rPr/>
              <w:t>Identification No.)</w:t>
            </w:r>
          </w:p>
        </w:tc>
      </w:tr>
      <w:tr>
        <w:trPr/>
        <w:tc>
          <w:tcPr>
            <w:tcW w:w="4242" w:type="dxa"/>
            <w:tcBorders/>
            <w:tcMar>
              <w:bottom w:w="0" w:type="dxa"/>
            </w:tcMar>
            <w:vAlign w:val="center"/>
          </w:tcPr>
          <w:p>
            <w:pPr>
              <w:pStyle w:val="TableContents"/>
              <w:bidi w:val="0"/>
              <w:spacing w:before="0" w:after="283"/>
              <w:jc w:val="left"/>
              <w:rPr/>
            </w:pPr>
            <w:r>
              <w:rPr/>
              <w:t> </w:t>
            </w:r>
          </w:p>
        </w:tc>
        <w:tc>
          <w:tcPr>
            <w:tcW w:w="1330" w:type="dxa"/>
            <w:tcBorders/>
            <w:tcMar>
              <w:bottom w:w="0" w:type="dxa"/>
            </w:tcMar>
            <w:vAlign w:val="center"/>
          </w:tcPr>
          <w:p>
            <w:pPr>
              <w:pStyle w:val="TableContents"/>
              <w:bidi w:val="0"/>
              <w:spacing w:before="0" w:after="283"/>
              <w:jc w:val="left"/>
              <w:rPr/>
            </w:pPr>
            <w:r>
              <w:rPr/>
              <w:t> </w:t>
            </w:r>
          </w:p>
        </w:tc>
        <w:tc>
          <w:tcPr>
            <w:tcW w:w="1774" w:type="dxa"/>
            <w:gridSpan w:val="2"/>
            <w:tcBorders/>
            <w:tcMar>
              <w:bottom w:w="0" w:type="dxa"/>
            </w:tcMar>
            <w:vAlign w:val="center"/>
          </w:tcPr>
          <w:p>
            <w:pPr>
              <w:pStyle w:val="TableContents"/>
              <w:bidi w:val="0"/>
              <w:spacing w:before="0" w:after="283"/>
              <w:jc w:val="left"/>
              <w:rPr/>
            </w:pPr>
            <w:r>
              <w:rPr/>
              <w:t> </w:t>
            </w:r>
          </w:p>
        </w:tc>
      </w:tr>
      <w:tr>
        <w:trPr/>
        <w:tc>
          <w:tcPr>
            <w:tcW w:w="4242" w:type="dxa"/>
            <w:tcBorders/>
            <w:tcMar>
              <w:bottom w:w="0" w:type="dxa"/>
            </w:tcMar>
            <w:vAlign w:val="center"/>
          </w:tcPr>
          <w:p>
            <w:pPr>
              <w:pStyle w:val="TableContents"/>
              <w:bidi w:val="0"/>
              <w:spacing w:before="0" w:after="283"/>
              <w:jc w:val="left"/>
              <w:rPr/>
            </w:pPr>
            <w:r>
              <w:rPr/>
              <w:t> </w:t>
            </w:r>
          </w:p>
        </w:tc>
        <w:tc>
          <w:tcPr>
            <w:tcW w:w="1330" w:type="dxa"/>
            <w:tcBorders/>
            <w:tcMar>
              <w:bottom w:w="0" w:type="dxa"/>
            </w:tcMar>
            <w:vAlign w:val="center"/>
          </w:tcPr>
          <w:p>
            <w:pPr>
              <w:pStyle w:val="TableContents"/>
              <w:bidi w:val="0"/>
              <w:spacing w:before="0" w:after="283"/>
              <w:jc w:val="left"/>
              <w:rPr/>
            </w:pPr>
            <w:r>
              <w:rPr/>
              <w:t> </w:t>
            </w:r>
          </w:p>
        </w:tc>
        <w:tc>
          <w:tcPr>
            <w:tcW w:w="1774" w:type="dxa"/>
            <w:gridSpan w:val="2"/>
            <w:tcBorders/>
            <w:tcMar>
              <w:bottom w:w="0" w:type="dxa"/>
            </w:tcMar>
            <w:vAlign w:val="center"/>
          </w:tcPr>
          <w:p>
            <w:pPr>
              <w:pStyle w:val="TableContents"/>
              <w:bidi w:val="0"/>
              <w:spacing w:before="0" w:after="283"/>
              <w:jc w:val="left"/>
              <w:rPr/>
            </w:pPr>
            <w:r>
              <w:rPr/>
              <w:t> </w:t>
            </w:r>
          </w:p>
        </w:tc>
      </w:tr>
      <w:tr>
        <w:trPr/>
        <w:tc>
          <w:tcPr>
            <w:tcW w:w="5599" w:type="dxa"/>
            <w:gridSpan w:val="3"/>
            <w:tcBorders>
              <w:bottom w:val="single" w:sz="12" w:space="0" w:color="000000"/>
            </w:tcBorders>
            <w:vAlign w:val="center"/>
          </w:tcPr>
          <w:p>
            <w:pPr>
              <w:pStyle w:val="TableContents"/>
              <w:bidi w:val="0"/>
              <w:spacing w:before="0" w:after="0"/>
              <w:jc w:val="center"/>
              <w:rPr>
                <w:b/>
                <w:sz w:val="28"/>
              </w:rPr>
            </w:pPr>
            <w:r>
              <w:rPr>
                <w:b/>
                <w:sz w:val="28"/>
              </w:rPr>
              <w:t>5430 LBJ Freeway, Suite 1700, Dallas, Texas</w:t>
            </w:r>
          </w:p>
        </w:tc>
        <w:tc>
          <w:tcPr>
            <w:tcW w:w="1747" w:type="dxa"/>
            <w:tcBorders>
              <w:bottom w:val="single" w:sz="12" w:space="0" w:color="000000"/>
            </w:tcBorders>
            <w:vAlign w:val="center"/>
          </w:tcPr>
          <w:p>
            <w:pPr>
              <w:pStyle w:val="TableContents"/>
              <w:bidi w:val="0"/>
              <w:spacing w:before="0" w:after="0"/>
              <w:jc w:val="center"/>
              <w:rPr>
                <w:b/>
                <w:sz w:val="28"/>
              </w:rPr>
            </w:pPr>
            <w:r>
              <w:rPr>
                <w:b/>
                <w:sz w:val="28"/>
              </w:rPr>
              <w:t>75240-2620</w:t>
            </w:r>
          </w:p>
        </w:tc>
      </w:tr>
      <w:tr>
        <w:trPr/>
        <w:tc>
          <w:tcPr>
            <w:tcW w:w="5599" w:type="dxa"/>
            <w:gridSpan w:val="3"/>
            <w:tcBorders/>
            <w:tcMar>
              <w:bottom w:w="0" w:type="dxa"/>
            </w:tcMar>
            <w:vAlign w:val="center"/>
          </w:tcPr>
          <w:p>
            <w:pPr>
              <w:pStyle w:val="TableContents"/>
              <w:bidi w:val="0"/>
              <w:spacing w:before="0" w:after="0"/>
              <w:jc w:val="center"/>
              <w:rPr/>
            </w:pPr>
            <w:r>
              <w:rPr/>
              <w:t>(Address of principal executive offices)</w:t>
            </w:r>
          </w:p>
        </w:tc>
        <w:tc>
          <w:tcPr>
            <w:tcW w:w="1747" w:type="dxa"/>
            <w:tcBorders/>
            <w:tcMar>
              <w:bottom w:w="0" w:type="dxa"/>
            </w:tcMar>
            <w:vAlign w:val="center"/>
          </w:tcPr>
          <w:p>
            <w:pPr>
              <w:pStyle w:val="TableContents"/>
              <w:bidi w:val="0"/>
              <w:spacing w:before="0" w:after="0"/>
              <w:jc w:val="center"/>
              <w:rPr/>
            </w:pPr>
            <w:r>
              <w:rPr/>
              <w:t>(Zip Code)</w:t>
            </w:r>
          </w:p>
        </w:tc>
      </w:tr>
    </w:tbl>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Jane Grimm</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Vice President and Secretary</w:t>
      </w:r>
    </w:p>
    <w:p>
      <w:pPr>
        <w:pStyle w:val="TextBody"/>
        <w:bidi w:val="0"/>
        <w:spacing w:before="0" w:after="0"/>
        <w:jc w:val="center"/>
        <w:rPr>
          <w:rFonts w:ascii="Times New Roman;Times;serif" w:hAnsi="Times New Roman;Times;serif"/>
          <w:b/>
          <w:smallCaps/>
          <w:color w:val="000000"/>
          <w:sz w:val="24"/>
        </w:rPr>
      </w:pPr>
      <w:r>
        <w:rPr>
          <w:rFonts w:ascii="Times New Roman;Times;serif" w:hAnsi="Times New Roman;Times;serif"/>
          <w:b/>
          <w:smallCaps/>
          <w:color w:val="000000"/>
          <w:sz w:val="24"/>
        </w:rPr>
        <w:t>CompX International Inc.</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Three Lincoln Centre</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5430 LBJ Freeway, Suite 1700</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Dallas, Texas  75240-2620</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(972) 233-1700</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(Name and telephone number, including area code, of the person to contact in connection with this report.)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Check the appropriate box to indicate the rule pursuant to which this form is being filed, and provide the period to which the information in this form applies: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6d493537916949f493e598076019e11b"/>
      <w:bookmarkStart w:id="7" w:name="z6d493537916949f493e598076019e11b"/>
      <w:bookmarkEnd w:id="7"/>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Rule 13p-1 under the Securities Exchange Act (17 CFR 240.13p-1) for the reporting period from January 1 to December 31, 2024</w:t>
            </w:r>
          </w:p>
          <w:p>
            <w:pPr>
              <w:pStyle w:val="TableContents"/>
              <w:bidi w:val="0"/>
              <w:spacing w:before="0" w:after="0"/>
              <w:jc w:val="left"/>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13"/>
        <w:jc w:val="left"/>
        <w:rPr>
          <w:rFonts w:ascii="Times New Roman;Times;serif" w:hAnsi="Times New Roman;Times;serif"/>
          <w:b/>
          <w:color w:val="000000"/>
          <w:sz w:val="24"/>
        </w:rPr>
      </w:pPr>
      <w:r>
        <w:rPr>
          <w:rFonts w:ascii="Times New Roman;Times;serif" w:hAnsi="Times New Roman;Times;serif"/>
          <w:b/>
          <w:color w:val="000000"/>
          <w:sz w:val="24"/>
        </w:rPr>
        <w:t>Section 1 - Conflict Minerals Disclosure</w:t>
      </w:r>
    </w:p>
    <w:p>
      <w:pPr>
        <w:pStyle w:val="TextBody"/>
        <w:bidi w:val="0"/>
        <w:spacing w:before="0" w:after="0"/>
        <w:ind w:left="1440" w:right="0" w:hanging="1440"/>
        <w:jc w:val="both"/>
        <w:rPr>
          <w:rFonts w:ascii="Times New Roman;Times;serif" w:hAnsi="Times New Roman;Times;serif"/>
          <w:b/>
          <w:color w:val="000000"/>
          <w:sz w:val="24"/>
        </w:rPr>
      </w:pPr>
      <w:r>
        <w:rPr>
          <w:rFonts w:ascii="Times New Roman;Times;serif" w:hAnsi="Times New Roman;Times;serif"/>
          <w:b/>
          <w:color w:val="000000"/>
          <w:sz w:val="24"/>
        </w:rPr>
        <w:t>Item 1.01 Conflict Minerals Disclosure and Report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Conflict Minerals Disclosure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For the calendar year 2024,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Accordingly, we conducted in good faith a reasonable country of origin inquiry regarding the conflict minerals in our products for the calendar year 2024.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2024.  We sent a total of 432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2f7ab693877643299069c5545271c3b9"/>
      <w:bookmarkStart w:id="9" w:name="z2f7ab693877643299069c5545271c3b9"/>
      <w:bookmarkEnd w:id="9"/>
    </w:p>
    <w:tbl>
      <w:tblPr>
        <w:tblW w:w="10205" w:type="dxa"/>
        <w:jc w:val="left"/>
        <w:tblInd w:w="0" w:type="dxa"/>
        <w:tblLayout w:type="fixed"/>
        <w:tblCellMar>
          <w:top w:w="0" w:type="dxa"/>
          <w:left w:w="0" w:type="dxa"/>
          <w:bottom w:w="28" w:type="dxa"/>
          <w:right w:w="0" w:type="dxa"/>
        </w:tblCellMar>
      </w:tblPr>
      <w:tblGrid>
        <w:gridCol w:w="6098"/>
        <w:gridCol w:w="2014"/>
        <w:gridCol w:w="2093"/>
      </w:tblGrid>
      <w:tr>
        <w:trPr/>
        <w:tc>
          <w:tcPr>
            <w:tcW w:w="6098" w:type="dxa"/>
            <w:tcBorders>
              <w:bottom w:val="single" w:sz="12" w:space="0" w:color="000000"/>
            </w:tcBorders>
            <w:vAlign w:val="center"/>
          </w:tcPr>
          <w:p>
            <w:pPr>
              <w:pStyle w:val="TableContents"/>
              <w:bidi w:val="0"/>
              <w:spacing w:before="0" w:after="0"/>
              <w:jc w:val="center"/>
              <w:rPr>
                <w:b/>
                <w:sz w:val="24"/>
              </w:rPr>
            </w:pPr>
            <w:r>
              <w:rPr>
                <w:b/>
                <w:sz w:val="24"/>
              </w:rPr>
              <w:t>Category of Description of the Certification Regarding the Vendor’s Provided Products</w:t>
            </w:r>
          </w:p>
        </w:tc>
        <w:tc>
          <w:tcPr>
            <w:tcW w:w="2014" w:type="dxa"/>
            <w:tcBorders>
              <w:bottom w:val="single" w:sz="12" w:space="0" w:color="000000"/>
            </w:tcBorders>
            <w:vAlign w:val="center"/>
          </w:tcPr>
          <w:p>
            <w:pPr>
              <w:pStyle w:val="TableContents"/>
              <w:bidi w:val="0"/>
              <w:spacing w:before="0" w:after="0"/>
              <w:jc w:val="center"/>
              <w:rPr>
                <w:b/>
                <w:sz w:val="24"/>
              </w:rPr>
            </w:pPr>
            <w:r>
              <w:rPr>
                <w:b/>
                <w:sz w:val="24"/>
              </w:rPr>
              <w:t>Number of Vendors Responding by Category</w:t>
            </w:r>
          </w:p>
        </w:tc>
        <w:tc>
          <w:tcPr>
            <w:tcW w:w="2093" w:type="dxa"/>
            <w:tcBorders>
              <w:bottom w:val="single" w:sz="12" w:space="0" w:color="000000"/>
            </w:tcBorders>
            <w:vAlign w:val="center"/>
          </w:tcPr>
          <w:p>
            <w:pPr>
              <w:pStyle w:val="TableContents"/>
              <w:bidi w:val="0"/>
              <w:spacing w:before="0" w:after="0"/>
              <w:jc w:val="center"/>
              <w:rPr>
                <w:b/>
                <w:sz w:val="24"/>
              </w:rPr>
            </w:pPr>
            <w:r>
              <w:rPr>
                <w:b/>
                <w:sz w:val="24"/>
              </w:rPr>
              <w:t>Percentage of Vendors Responding by Category</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ind w:left="0" w:right="0" w:hanging="0"/>
              <w:jc w:val="left"/>
              <w:rPr/>
            </w:pPr>
            <w:r>
              <w:rPr>
                <w:sz w:val="24"/>
              </w:rPr>
              <w:t xml:space="preserve">Contained </w:t>
            </w:r>
            <w:r>
              <w:rPr>
                <w:b/>
                <w:sz w:val="24"/>
              </w:rPr>
              <w:t>no amount</w:t>
            </w:r>
            <w:r>
              <w:rPr/>
              <w:t xml:space="preserve"> </w:t>
            </w:r>
            <w:r>
              <w:rPr>
                <w:sz w:val="24"/>
              </w:rPr>
              <w:t>of conflict minerals</w:t>
            </w:r>
            <w:r>
              <w:rPr/>
              <w:t> </w:t>
            </w:r>
          </w:p>
        </w:tc>
        <w:tc>
          <w:tcPr>
            <w:tcW w:w="2014" w:type="dxa"/>
            <w:tcBorders/>
            <w:tcMar>
              <w:bottom w:w="0" w:type="dxa"/>
            </w:tcMar>
            <w:vAlign w:val="center"/>
          </w:tcPr>
          <w:p>
            <w:pPr>
              <w:pStyle w:val="TableContents"/>
              <w:bidi w:val="0"/>
              <w:spacing w:before="0" w:after="0"/>
              <w:ind w:left="0" w:right="450" w:hanging="0"/>
              <w:jc w:val="right"/>
              <w:rPr>
                <w:sz w:val="24"/>
              </w:rPr>
            </w:pPr>
            <w:r>
              <w:rPr>
                <w:sz w:val="24"/>
              </w:rPr>
              <w:t>328</w:t>
            </w:r>
          </w:p>
        </w:tc>
        <w:tc>
          <w:tcPr>
            <w:tcW w:w="2093" w:type="dxa"/>
            <w:tcBorders/>
            <w:tcMar>
              <w:bottom w:w="0" w:type="dxa"/>
            </w:tcMar>
            <w:vAlign w:val="center"/>
          </w:tcPr>
          <w:p>
            <w:pPr>
              <w:pStyle w:val="TableContents"/>
              <w:bidi w:val="0"/>
              <w:spacing w:before="0" w:after="0"/>
              <w:ind w:left="0" w:right="180" w:hanging="0"/>
              <w:jc w:val="right"/>
              <w:rPr>
                <w:sz w:val="24"/>
              </w:rPr>
            </w:pPr>
            <w:r>
              <w:rPr>
                <w:sz w:val="24"/>
              </w:rPr>
              <w:t>75.9%</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jc w:val="both"/>
              <w:rPr>
                <w:sz w:val="24"/>
              </w:rPr>
            </w:pPr>
            <w:r>
              <w:rPr>
                <w:sz w:val="24"/>
              </w:rPr>
              <w:t xml:space="preserve">Contained some amount of conflict mineral(s) but all such conflict mineral(s) </w:t>
            </w:r>
            <w:r>
              <w:rPr>
                <w:b/>
                <w:sz w:val="24"/>
              </w:rPr>
              <w:t>came from recycled or scrap sources</w:t>
            </w:r>
          </w:p>
        </w:tc>
        <w:tc>
          <w:tcPr>
            <w:tcW w:w="2014" w:type="dxa"/>
            <w:tcBorders/>
            <w:tcMar>
              <w:bottom w:w="0" w:type="dxa"/>
            </w:tcMar>
            <w:vAlign w:val="center"/>
          </w:tcPr>
          <w:p>
            <w:pPr>
              <w:pStyle w:val="TableContents"/>
              <w:bidi w:val="0"/>
              <w:spacing w:before="0" w:after="0"/>
              <w:ind w:left="0" w:right="450" w:hanging="0"/>
              <w:jc w:val="right"/>
              <w:rPr>
                <w:sz w:val="24"/>
              </w:rPr>
            </w:pPr>
            <w:r>
              <w:rPr>
                <w:sz w:val="24"/>
              </w:rPr>
              <w:t>9</w:t>
            </w:r>
          </w:p>
        </w:tc>
        <w:tc>
          <w:tcPr>
            <w:tcW w:w="2093" w:type="dxa"/>
            <w:tcBorders/>
            <w:tcMar>
              <w:bottom w:w="0" w:type="dxa"/>
            </w:tcMar>
            <w:vAlign w:val="center"/>
          </w:tcPr>
          <w:p>
            <w:pPr>
              <w:pStyle w:val="TableContents"/>
              <w:bidi w:val="0"/>
              <w:spacing w:before="0" w:after="0"/>
              <w:ind w:left="0" w:right="180" w:hanging="0"/>
              <w:jc w:val="right"/>
              <w:rPr>
                <w:sz w:val="24"/>
              </w:rPr>
            </w:pPr>
            <w:r>
              <w:rPr>
                <w:sz w:val="24"/>
              </w:rPr>
              <w:t>2.1%</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jc w:val="both"/>
              <w:rPr>
                <w:sz w:val="24"/>
              </w:rPr>
            </w:pPr>
            <w:r>
              <w:rPr>
                <w:sz w:val="24"/>
              </w:rPr>
              <w:t xml:space="preserve">Contained some amount (including </w:t>
            </w:r>
            <w:r>
              <w:rPr>
                <w:i/>
                <w:sz w:val="24"/>
              </w:rPr>
              <w:t>de minimis</w:t>
            </w:r>
            <w:r>
              <w:rPr>
                <w:sz w:val="24"/>
              </w:rPr>
              <w:t xml:space="preserve"> amounts) of one or more conflict mineral(s), but such conflict mineral(s) did not originate in the Democratic Republic of the Congo or an adjoining country or were from conformant sources</w:t>
            </w:r>
          </w:p>
        </w:tc>
        <w:tc>
          <w:tcPr>
            <w:tcW w:w="2014" w:type="dxa"/>
            <w:tcBorders/>
            <w:tcMar>
              <w:bottom w:w="0" w:type="dxa"/>
            </w:tcMar>
            <w:vAlign w:val="center"/>
          </w:tcPr>
          <w:p>
            <w:pPr>
              <w:pStyle w:val="TableContents"/>
              <w:bidi w:val="0"/>
              <w:spacing w:before="0" w:after="0"/>
              <w:ind w:left="0" w:right="450" w:hanging="0"/>
              <w:jc w:val="right"/>
              <w:rPr>
                <w:sz w:val="24"/>
              </w:rPr>
            </w:pPr>
            <w:r>
              <w:rPr>
                <w:sz w:val="24"/>
              </w:rPr>
              <w:t>94</w:t>
            </w:r>
          </w:p>
        </w:tc>
        <w:tc>
          <w:tcPr>
            <w:tcW w:w="2093" w:type="dxa"/>
            <w:tcBorders/>
            <w:tcMar>
              <w:bottom w:w="0" w:type="dxa"/>
            </w:tcMar>
            <w:vAlign w:val="center"/>
          </w:tcPr>
          <w:p>
            <w:pPr>
              <w:pStyle w:val="TableContents"/>
              <w:bidi w:val="0"/>
              <w:spacing w:before="0" w:after="0"/>
              <w:ind w:left="0" w:right="180" w:hanging="0"/>
              <w:jc w:val="right"/>
              <w:rPr>
                <w:sz w:val="24"/>
              </w:rPr>
            </w:pPr>
            <w:r>
              <w:rPr>
                <w:sz w:val="24"/>
              </w:rPr>
              <w:t>21.8%</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jc w:val="both"/>
              <w:rPr>
                <w:sz w:val="24"/>
              </w:rPr>
            </w:pPr>
            <w:r>
              <w:rPr>
                <w:sz w:val="24"/>
              </w:rPr>
              <w:t xml:space="preserve">Contained some amount (including </w:t>
            </w:r>
            <w:r>
              <w:rPr>
                <w:i/>
                <w:sz w:val="24"/>
              </w:rPr>
              <w:t>de minimis</w:t>
            </w:r>
            <w:r>
              <w:rPr>
                <w:sz w:val="24"/>
              </w:rPr>
              <w:t xml:space="preserve"> amounts) of one or more conflict mineral(s), with such conflict mineral(s) </w:t>
            </w:r>
            <w:r>
              <w:rPr>
                <w:b/>
                <w:sz w:val="24"/>
              </w:rPr>
              <w:t>originating or possibly originating</w:t>
            </w:r>
            <w:r>
              <w:rPr>
                <w:sz w:val="24"/>
              </w:rPr>
              <w:t xml:space="preserve"> in the Democratic Republic of the Congo or an adjoining country</w:t>
            </w:r>
          </w:p>
        </w:tc>
        <w:tc>
          <w:tcPr>
            <w:tcW w:w="2014" w:type="dxa"/>
            <w:tcBorders/>
            <w:tcMar>
              <w:bottom w:w="0" w:type="dxa"/>
            </w:tcMar>
            <w:vAlign w:val="center"/>
          </w:tcPr>
          <w:p>
            <w:pPr>
              <w:pStyle w:val="TableContents"/>
              <w:bidi w:val="0"/>
              <w:spacing w:before="0" w:after="0"/>
              <w:ind w:left="0" w:right="450" w:hanging="0"/>
              <w:jc w:val="right"/>
              <w:rPr>
                <w:sz w:val="24"/>
              </w:rPr>
            </w:pPr>
            <w:r>
              <w:rPr>
                <w:sz w:val="24"/>
              </w:rPr>
              <w:t>1</w:t>
            </w:r>
          </w:p>
        </w:tc>
        <w:tc>
          <w:tcPr>
            <w:tcW w:w="2093" w:type="dxa"/>
            <w:tcBorders/>
            <w:tcMar>
              <w:bottom w:w="0" w:type="dxa"/>
            </w:tcMar>
            <w:vAlign w:val="center"/>
          </w:tcPr>
          <w:p>
            <w:pPr>
              <w:pStyle w:val="TableContents"/>
              <w:bidi w:val="0"/>
              <w:spacing w:before="0" w:after="0"/>
              <w:ind w:left="0" w:right="180" w:hanging="0"/>
              <w:jc w:val="right"/>
              <w:rPr>
                <w:sz w:val="24"/>
              </w:rPr>
            </w:pPr>
            <w:r>
              <w:rPr>
                <w:sz w:val="24"/>
              </w:rPr>
              <w:t>0.2%</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ind w:left="0" w:right="0" w:hanging="0"/>
              <w:jc w:val="left"/>
              <w:rPr/>
            </w:pPr>
            <w:r>
              <w:rPr>
                <w:b/>
                <w:sz w:val="24"/>
              </w:rPr>
              <w:t>Total</w:t>
            </w:r>
            <w:r>
              <w:rPr/>
              <w:t> </w:t>
            </w:r>
          </w:p>
        </w:tc>
        <w:tc>
          <w:tcPr>
            <w:tcW w:w="2014" w:type="dxa"/>
            <w:tcBorders>
              <w:bottom w:val="double" w:sz="8" w:space="0" w:color="000000"/>
            </w:tcBorders>
            <w:vAlign w:val="center"/>
          </w:tcPr>
          <w:p>
            <w:pPr>
              <w:pStyle w:val="TableContents"/>
              <w:bidi w:val="0"/>
              <w:spacing w:before="0" w:after="0"/>
              <w:ind w:left="0" w:right="450" w:hanging="0"/>
              <w:jc w:val="right"/>
              <w:rPr>
                <w:b/>
                <w:sz w:val="24"/>
              </w:rPr>
            </w:pPr>
            <w:r>
              <w:rPr>
                <w:b/>
                <w:sz w:val="24"/>
              </w:rPr>
              <w:t>432</w:t>
            </w:r>
          </w:p>
        </w:tc>
        <w:tc>
          <w:tcPr>
            <w:tcW w:w="2093" w:type="dxa"/>
            <w:tcBorders>
              <w:bottom w:val="double" w:sz="8" w:space="0" w:color="000000"/>
            </w:tcBorders>
            <w:vAlign w:val="center"/>
          </w:tcPr>
          <w:p>
            <w:pPr>
              <w:pStyle w:val="TableContents"/>
              <w:bidi w:val="0"/>
              <w:spacing w:before="0" w:after="0"/>
              <w:ind w:left="0" w:right="180" w:hanging="0"/>
              <w:jc w:val="right"/>
              <w:rPr>
                <w:b/>
                <w:sz w:val="24"/>
              </w:rPr>
            </w:pPr>
            <w:r>
              <w:rPr>
                <w:b/>
                <w:sz w:val="24"/>
              </w:rPr>
              <w:t>100.0%</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With respect to the one response regarding conflict minerals originating or possibly originating in the Democratic Republic of the Congo or an adjoining company, we contacted the vendor.  This vendor provides products from the electronic component industry with extensive product lines. We purchase relatively few item SKUs compared to total vendor offerings.  The vendor informed us that they have made efforts to ensure conflict free sourcing, expect suppliers to source responsibly, or are in various stages of compliance.  This vendor does not directly provide product specific reports as to the sourcing of their conflict minerals.  These conditions create a level of uncertainty related to the term “possibly originating” as it relates to the specific products the registrant purchases from this vendor.  As a result (and even though we were able to satisfy ourselves, by further researching the manufacturers sourced by this vendor, that certain specific products sourced from this vendor did not fall into the fourth category above), the registrant does not have sufficient information to assess whether all of the products it purchased from this vendor did not contain some amount of one or more conflict minerals originating or possibly originating in the Democratic Republic of the Congo or an adjoining country.  The total value of the registrant’s purchases from this vendor (not including purchases from the vendors of products that we were able to remove from the fourth category by further researching manufacturers) represents an aggregate of 0.008% of total purchases from all of the registrant’s vendors in 2024.</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As used above, “conformant sources” means sources conformant to the assessment protocols for conflict-free sourcing of the Responsible Minerals Initiative (RMI) or industry equivalent program.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This Conflicts Minerals Disclosure is also posted on our website at</w:t>
      </w:r>
    </w:p>
    <w:p>
      <w:pPr>
        <w:pStyle w:val="TextBody"/>
        <w:bidi w:val="0"/>
        <w:spacing w:before="0" w:after="0"/>
        <w:jc w:val="left"/>
        <w:rPr/>
      </w:pPr>
      <w:r>
        <w:rPr/>
      </w:r>
    </w:p>
    <w:p>
      <w:pPr>
        <w:pStyle w:val="TextBody"/>
        <w:bidi w:val="0"/>
        <w:spacing w:before="0" w:after="0"/>
        <w:ind w:left="0" w:right="0" w:firstLine="922"/>
        <w:jc w:val="both"/>
        <w:rPr>
          <w:rFonts w:ascii="Times New Roman;Times;serif" w:hAnsi="Times New Roman;Times;serif"/>
          <w:color w:val="000000"/>
          <w:sz w:val="24"/>
        </w:rPr>
      </w:pPr>
      <w:r>
        <w:rPr>
          <w:rFonts w:ascii="Times New Roman;Times;serif" w:hAnsi="Times New Roman;Times;serif"/>
          <w:color w:val="000000"/>
          <w:sz w:val="24"/>
        </w:rPr>
        <w:t>https://compxinternational.com/governance/#conflict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SIGNATURE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ec15b637f73a451d9dbeea8e1a26c75e"/>
      <w:bookmarkStart w:id="11" w:name="zec15b637f73a451d9dbeea8e1a26c75e"/>
      <w:bookmarkEnd w:id="11"/>
    </w:p>
    <w:tbl>
      <w:tblPr>
        <w:tblW w:w="5110" w:type="dxa"/>
        <w:jc w:val="left"/>
        <w:tblInd w:w="0" w:type="dxa"/>
        <w:tblLayout w:type="fixed"/>
        <w:tblCellMar>
          <w:top w:w="0" w:type="dxa"/>
          <w:left w:w="0" w:type="dxa"/>
          <w:bottom w:w="0" w:type="dxa"/>
          <w:right w:w="0" w:type="dxa"/>
        </w:tblCellMar>
      </w:tblPr>
      <w:tblGrid>
        <w:gridCol w:w="2060"/>
        <w:gridCol w:w="3050"/>
      </w:tblGrid>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both"/>
              <w:rPr>
                <w:b/>
                <w:smallCaps/>
                <w:sz w:val="24"/>
              </w:rPr>
            </w:pPr>
            <w:r>
              <w:rPr>
                <w:b/>
                <w:smallCaps/>
                <w:sz w:val="24"/>
              </w:rPr>
              <w:t>CompX International Inc.</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both"/>
              <w:rPr>
                <w:sz w:val="24"/>
              </w:rPr>
            </w:pPr>
            <w:r>
              <w:rPr>
                <w:sz w:val="24"/>
              </w:rPr>
              <w:t>(Registrant)</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050" w:type="dxa"/>
            <w:tcBorders>
              <w:bottom w:val="single" w:sz="12" w:space="0" w:color="000000"/>
            </w:tcBorders>
            <w:tcMar>
              <w:bottom w:w="28" w:type="dxa"/>
            </w:tcMar>
            <w:vAlign w:val="center"/>
          </w:tcPr>
          <w:p>
            <w:pPr>
              <w:pStyle w:val="TableContents"/>
              <w:bidi w:val="0"/>
              <w:spacing w:before="0" w:after="0"/>
              <w:ind w:left="0" w:right="0" w:hanging="0"/>
              <w:jc w:val="both"/>
              <w:rPr/>
            </w:pPr>
            <w:r>
              <w:rPr>
                <w:sz w:val="24"/>
              </w:rPr>
              <w:t>By:</w:t>
            </w:r>
            <w:r>
              <w:rPr/>
              <w:t> </w:t>
            </w:r>
            <w:r>
              <w:rPr>
                <w:sz w:val="24"/>
              </w:rPr>
              <w:t>/s/ Jane Grimm </w:t>
            </w:r>
          </w:p>
        </w:tc>
      </w:tr>
      <w:tr>
        <w:trPr/>
        <w:tc>
          <w:tcPr>
            <w:tcW w:w="2060" w:type="dxa"/>
            <w:tcBorders/>
            <w:vAlign w:val="center"/>
          </w:tcPr>
          <w:p>
            <w:pPr>
              <w:pStyle w:val="TableContents"/>
              <w:bidi w:val="0"/>
              <w:spacing w:before="0" w:after="0"/>
              <w:jc w:val="both"/>
              <w:rPr>
                <w:sz w:val="24"/>
              </w:rPr>
            </w:pPr>
            <w:r>
              <w:rPr>
                <w:sz w:val="24"/>
              </w:rPr>
              <w:t>Date:   May 20, 2025</w:t>
            </w:r>
          </w:p>
        </w:tc>
        <w:tc>
          <w:tcPr>
            <w:tcW w:w="3050" w:type="dxa"/>
            <w:tcBorders/>
            <w:vAlign w:val="center"/>
          </w:tcPr>
          <w:p>
            <w:pPr>
              <w:pStyle w:val="TableContents"/>
              <w:bidi w:val="0"/>
              <w:spacing w:before="0" w:after="0"/>
              <w:ind w:left="522" w:right="0" w:hanging="0"/>
              <w:jc w:val="both"/>
              <w:rPr>
                <w:i/>
                <w:sz w:val="24"/>
              </w:rPr>
            </w:pPr>
            <w:r>
              <w:rPr>
                <w:i/>
                <w:sz w:val="24"/>
              </w:rPr>
              <w:t>Jane Grimm</w:t>
            </w:r>
          </w:p>
          <w:p>
            <w:pPr>
              <w:pStyle w:val="TableContents"/>
              <w:bidi w:val="0"/>
              <w:spacing w:before="0" w:after="0"/>
              <w:ind w:left="522" w:right="0" w:hanging="0"/>
              <w:jc w:val="both"/>
              <w:rPr>
                <w:i/>
                <w:sz w:val="24"/>
              </w:rPr>
            </w:pPr>
            <w:r>
              <w:rPr>
                <w:i/>
                <w:sz w:val="24"/>
              </w:rPr>
              <w:t>Vice President and Secretary</w:t>
            </w:r>
          </w:p>
        </w:tc>
      </w:tr>
    </w:tbl>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5003</Characters>
  <CharactersWithSpaces>5885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