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53975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78105</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53" w:lineRule="exact"/>
        <w:rPr>
          <w:sz w:val="24"/>
          <w:szCs w:val="24"/>
          <w:color w:val="auto"/>
        </w:rPr>
      </w:pPr>
    </w:p>
    <w:p>
      <w:pPr>
        <w:ind w:left="2860" w:right="1560" w:hanging="1307"/>
        <w:spacing w:after="0" w:line="262" w:lineRule="auto"/>
        <w:tabs>
          <w:tab w:leader="none" w:pos="219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June 30, 2022</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0" w:lineRule="exact"/>
        <w:rPr>
          <w:sz w:val="24"/>
          <w:szCs w:val="24"/>
          <w:color w:val="auto"/>
        </w:rPr>
      </w:pPr>
    </w:p>
    <w:p>
      <w:pPr>
        <w:ind w:left="2860" w:right="1560" w:hanging="1315"/>
        <w:spacing w:after="0" w:line="262" w:lineRule="auto"/>
        <w:tabs>
          <w:tab w:leader="none" w:pos="2185"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0"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 to _________</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1-13905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124460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COMPX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133985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17" w:lineRule="exact"/>
        <w:rPr>
          <w:sz w:val="24"/>
          <w:szCs w:val="24"/>
          <w:color w:val="auto"/>
        </w:rPr>
      </w:pPr>
    </w:p>
    <w:p>
      <w:pPr>
        <w:ind w:left="198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57-0981653</w:t>
      </w:r>
    </w:p>
    <w:p>
      <w:pPr>
        <w:spacing w:after="0" w:line="31" w:lineRule="exact"/>
        <w:rPr>
          <w:sz w:val="24"/>
          <w:szCs w:val="24"/>
          <w:color w:val="auto"/>
        </w:rPr>
      </w:pPr>
    </w:p>
    <w:p>
      <w:pPr>
        <w:ind w:left="138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(State or other jurisdiction of</w:t>
      </w:r>
      <w:r>
        <w:rPr>
          <w:sz w:val="20"/>
          <w:szCs w:val="20"/>
          <w:color w:val="auto"/>
        </w:rPr>
        <w:tab/>
      </w: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ind w:left="1320"/>
        <w:spacing w:after="0"/>
        <w:tabs>
          <w:tab w:leader="none" w:pos="6980" w:val="left"/>
        </w:tabs>
        <w:rPr>
          <w:sz w:val="20"/>
          <w:szCs w:val="20"/>
          <w:color w:val="auto"/>
        </w:rPr>
      </w:pPr>
      <w:r>
        <w:rPr>
          <w:rFonts w:ascii="Times New Roman" w:cs="Times New Roman" w:eastAsia="Times New Roman" w:hAnsi="Times New Roman"/>
          <w:sz w:val="18"/>
          <w:szCs w:val="18"/>
          <w:b w:val="1"/>
          <w:bCs w:val="1"/>
          <w:color w:val="auto"/>
        </w:rPr>
        <w:t>incorporation or organization)</w:t>
      </w:r>
      <w:r>
        <w:rPr>
          <w:sz w:val="20"/>
          <w:szCs w:val="20"/>
          <w:color w:val="auto"/>
        </w:rPr>
        <w:tab/>
      </w:r>
      <w:r>
        <w:rPr>
          <w:rFonts w:ascii="Times New Roman" w:cs="Times New Roman" w:eastAsia="Times New Roman" w:hAnsi="Times New Roman"/>
          <w:sz w:val="18"/>
          <w:szCs w:val="18"/>
          <w:b w:val="1"/>
          <w:bCs w:val="1"/>
          <w:color w:val="auto"/>
        </w:rPr>
        <w:t>Identification No.)</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5430 LBJ Freeway, Suite 1700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75240-2620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 448-1400</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1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311"/>
        </w:trPr>
        <w:tc>
          <w:tcPr>
            <w:tcW w:w="20" w:type="dxa"/>
            <w:vAlign w:val="bottom"/>
          </w:tcPr>
          <w:p>
            <w:pPr>
              <w:spacing w:after="0"/>
              <w:rPr>
                <w:sz w:val="24"/>
                <w:szCs w:val="24"/>
                <w:color w:val="auto"/>
              </w:rPr>
            </w:pPr>
          </w:p>
        </w:tc>
        <w:tc>
          <w:tcPr>
            <w:tcW w:w="412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20" w:type="dxa"/>
            <w:vAlign w:val="bottom"/>
          </w:tcPr>
          <w:p>
            <w:pPr>
              <w:spacing w:after="0"/>
              <w:rPr>
                <w:sz w:val="18"/>
                <w:szCs w:val="18"/>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Class A common stock</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CIX</w:t>
            </w:r>
          </w:p>
        </w:tc>
        <w:tc>
          <w:tcPr>
            <w:tcW w:w="160" w:type="dxa"/>
            <w:vAlign w:val="bottom"/>
          </w:tcPr>
          <w:p>
            <w:pPr>
              <w:spacing w:after="0"/>
              <w:rPr>
                <w:sz w:val="18"/>
                <w:szCs w:val="18"/>
                <w:color w:val="auto"/>
              </w:rPr>
            </w:pPr>
          </w:p>
        </w:tc>
        <w:tc>
          <w:tcPr>
            <w:tcW w:w="4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NYSE American</w:t>
            </w:r>
          </w:p>
        </w:tc>
      </w:tr>
    </w:tbl>
    <w:p>
      <w:pPr>
        <w:spacing w:after="0" w:line="91" w:lineRule="exact"/>
        <w:rPr>
          <w:sz w:val="24"/>
          <w:szCs w:val="24"/>
          <w:color w:val="auto"/>
        </w:rPr>
      </w:pPr>
    </w:p>
    <w:p>
      <w:pPr>
        <w:jc w:val="both"/>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81" w:lineRule="exact"/>
        <w:rPr>
          <w:sz w:val="24"/>
          <w:szCs w:val="24"/>
          <w:color w:val="auto"/>
        </w:rPr>
      </w:pPr>
    </w:p>
    <w:p>
      <w:pPr>
        <w:jc w:val="both"/>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9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sectPr>
      </w:pP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207" w:lineRule="exact"/>
        <w:tabs>
          <w:tab w:leader="none" w:pos="38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Accelerated filer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tabs>
          <w:tab w:leader="none" w:pos="2900" w:val="left"/>
          <w:tab w:leader="none" w:pos="52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46" w:lineRule="exact"/>
        <w:rPr>
          <w:sz w:val="24"/>
          <w:szCs w:val="24"/>
          <w:color w:val="auto"/>
        </w:rPr>
      </w:pPr>
    </w:p>
    <w:p>
      <w:pPr>
        <w:sectPr>
          <w:pgSz w:w="11900" w:h="16838" w:orient="portrait"/>
          <w:cols w:equalWidth="0" w:num="2">
            <w:col w:w="4100" w:space="720"/>
            <w:col w:w="5400"/>
          </w:cols>
          <w:pgMar w:left="840" w:top="661" w:right="839" w:bottom="1440" w:gutter="0" w:footer="0" w:header="0"/>
          <w:type w:val="continuous"/>
        </w:sectPr>
      </w:pPr>
    </w:p>
    <w:p>
      <w:pPr>
        <w:ind w:right="20"/>
        <w:spacing w:after="0" w:line="217"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70" w:lineRule="exact"/>
        <w:rPr>
          <w:sz w:val="24"/>
          <w:szCs w:val="24"/>
          <w:color w:val="auto"/>
        </w:rPr>
      </w:pPr>
    </w:p>
    <w:p>
      <w:pPr>
        <w:jc w:val="right"/>
        <w:ind w:right="1220"/>
        <w:spacing w:after="0" w:line="184" w:lineRule="exact"/>
        <w:tabs>
          <w:tab w:leader="none" w:pos="1640" w:val="left"/>
        </w:tabs>
        <w:rPr>
          <w:sz w:val="20"/>
          <w:szCs w:val="20"/>
          <w:color w:val="auto"/>
        </w:rPr>
      </w:pPr>
      <w:r>
        <w:rPr>
          <w:rFonts w:ascii="Times New Roman" w:cs="Times New Roman" w:eastAsia="Times New Roman" w:hAnsi="Times New Roman"/>
          <w:sz w:val="16"/>
          <w:szCs w:val="16"/>
          <w:b w:val="1"/>
          <w:bCs w:val="1"/>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ab/>
        <w:t xml:space="preserve">No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w:t>
      </w:r>
    </w:p>
    <w:p>
      <w:pPr>
        <w:spacing w:after="0" w:line="178" w:lineRule="exact"/>
        <w:rPr>
          <w:sz w:val="24"/>
          <w:szCs w:val="24"/>
          <w:color w:val="auto"/>
        </w:rPr>
      </w:pPr>
    </w:p>
    <w:p>
      <w:pPr>
        <w:jc w:val="right"/>
        <w:ind w:right="1260"/>
        <w:spacing w:after="0"/>
        <w:rPr>
          <w:sz w:val="20"/>
          <w:szCs w:val="20"/>
          <w:color w:val="auto"/>
        </w:rPr>
      </w:pPr>
      <w:r>
        <w:rPr>
          <w:rFonts w:ascii="Times New Roman" w:cs="Times New Roman" w:eastAsia="Times New Roman" w:hAnsi="Times New Roman"/>
          <w:sz w:val="16"/>
          <w:szCs w:val="16"/>
          <w:b w:val="1"/>
          <w:bCs w:val="1"/>
          <w:color w:val="auto"/>
        </w:rPr>
        <w:t>As of July 28, 2022, the registrant had 12,307,157 shares of Class A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638810</wp:posOffset>
            </wp:positionV>
            <wp:extent cx="64979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141605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184785</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5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800" w:type="dxa"/>
            <w:vAlign w:val="bottom"/>
            <w:gridSpan w:val="4"/>
            <w:vMerge w:val="continue"/>
          </w:tcPr>
          <w:p>
            <w:pPr>
              <w:spacing w:after="0"/>
              <w:rPr>
                <w:sz w:val="16"/>
                <w:szCs w:val="16"/>
                <w:color w:val="auto"/>
              </w:rPr>
            </w:pPr>
          </w:p>
        </w:tc>
        <w:tc>
          <w:tcPr>
            <w:tcW w:w="7500" w:type="dxa"/>
            <w:vAlign w:val="bottom"/>
            <w:gridSpan w:val="16"/>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75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Balance Sheets – December 31, 2021 and June 30, 2022 (unaudited)</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- 3 -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Income (unaudited) – Three and six months ended June 30,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2021 and 2022</w:t>
            </w:r>
          </w:p>
        </w:tc>
        <w:tc>
          <w:tcPr>
            <w:tcW w:w="5840" w:type="dxa"/>
            <w:vAlign w:val="bottom"/>
            <w:tcBorders>
              <w:top w:val="single" w:sz="8" w:color="0000EE"/>
            </w:tcBorders>
            <w:gridSpan w:val="9"/>
          </w:tcPr>
          <w:p>
            <w:pPr>
              <w:spacing w:after="0"/>
              <w:rPr>
                <w:sz w:val="17"/>
                <w:szCs w:val="17"/>
                <w:color w:val="auto"/>
              </w:rPr>
            </w:pPr>
          </w:p>
        </w:tc>
        <w:tc>
          <w:tcPr>
            <w:tcW w:w="380" w:type="dxa"/>
            <w:vAlign w:val="bottom"/>
            <w:gridSpan w:val="3"/>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- 4 -</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(unaudited) – Three and six months ended</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2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June 30, 2021 and 2022</w:t>
            </w:r>
          </w:p>
        </w:tc>
        <w:tc>
          <w:tcPr>
            <w:tcW w:w="4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- 5 -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 – Six months ended June 30, 2021 and</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2022</w:t>
            </w: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- 6 -</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2640" w:type="dxa"/>
            <w:vAlign w:val="bottom"/>
            <w:gridSpan w:val="6"/>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- 7 -</w:t>
            </w:r>
          </w:p>
        </w:tc>
        <w:tc>
          <w:tcPr>
            <w:tcW w:w="0" w:type="dxa"/>
            <w:vAlign w:val="bottom"/>
          </w:tcPr>
          <w:p>
            <w:pPr>
              <w:spacing w:after="0"/>
              <w:rPr>
                <w:sz w:val="1"/>
                <w:szCs w:val="1"/>
                <w:color w:val="auto"/>
              </w:rPr>
            </w:pPr>
          </w:p>
        </w:tc>
      </w:tr>
      <w:tr>
        <w:trPr>
          <w:trHeight w:val="412"/>
        </w:trPr>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2.</w:t>
            </w:r>
          </w:p>
        </w:tc>
        <w:tc>
          <w:tcPr>
            <w:tcW w:w="75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- 11 -</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3.</w:t>
            </w:r>
          </w:p>
        </w:tc>
        <w:tc>
          <w:tcPr>
            <w:tcW w:w="75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Quantitative and Qualitative Disclosure About Market Risk</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- 17 -</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6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75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- 17 -</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16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75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16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160" w:type="dxa"/>
            <w:vAlign w:val="bottom"/>
          </w:tcPr>
          <w:p>
            <w:pPr>
              <w:spacing w:after="0"/>
              <w:rPr>
                <w:sz w:val="24"/>
                <w:szCs w:val="24"/>
                <w:color w:val="auto"/>
              </w:rPr>
            </w:pPr>
          </w:p>
        </w:tc>
        <w:tc>
          <w:tcPr>
            <w:tcW w:w="9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6600" w:type="dxa"/>
            <w:vAlign w:val="bottom"/>
            <w:gridSpan w:val="13"/>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- 18 -</w:t>
            </w:r>
          </w:p>
        </w:tc>
        <w:tc>
          <w:tcPr>
            <w:tcW w:w="0" w:type="dxa"/>
            <w:vAlign w:val="bottom"/>
          </w:tcPr>
          <w:p>
            <w:pPr>
              <w:spacing w:after="0"/>
              <w:rPr>
                <w:sz w:val="1"/>
                <w:szCs w:val="1"/>
                <w:color w:val="auto"/>
              </w:rPr>
            </w:pPr>
          </w:p>
        </w:tc>
      </w:tr>
      <w:tr>
        <w:trPr>
          <w:trHeight w:val="412"/>
        </w:trPr>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2.</w:t>
            </w:r>
          </w:p>
        </w:tc>
        <w:tc>
          <w:tcPr>
            <w:tcW w:w="75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- 18 -</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740" w:type="dxa"/>
            <w:vAlign w:val="bottom"/>
            <w:gridSpan w:val="7"/>
            <w:shd w:val="clear" w:color="auto" w:fill="0000EE"/>
          </w:tcPr>
          <w:p>
            <w:pPr>
              <w:spacing w:after="0" w:line="20" w:lineRule="exact"/>
              <w:rPr>
                <w:sz w:val="1"/>
                <w:szCs w:val="1"/>
                <w:color w:val="auto"/>
              </w:rPr>
            </w:pPr>
          </w:p>
        </w:tc>
        <w:tc>
          <w:tcPr>
            <w:tcW w:w="316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6.</w:t>
            </w:r>
          </w:p>
        </w:tc>
        <w:tc>
          <w:tcPr>
            <w:tcW w:w="75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Exhibits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- 18 -</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Items 3, 4 and 5 of Part II are omitted because there is no information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2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76,579</w:t>
            </w:r>
          </w:p>
        </w:tc>
        <w:tc>
          <w:tcPr>
            <w:tcW w:w="2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current assets</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120,231</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124,712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Note receivable from affiliate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noncurrent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other assets</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43,039</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40,932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Land</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Buildings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Equipment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Construction in progress</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71,742</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72,929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29,459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assets</w:t>
            </w:r>
          </w:p>
        </w:tc>
        <w:tc>
          <w:tcPr>
            <w:tcW w:w="5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192,452</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14,724</w:t>
            </w:r>
          </w:p>
        </w:tc>
        <w:tc>
          <w:tcPr>
            <w:tcW w:w="2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 payable to affiliate</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16,446</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liabilities - deferred income taxes</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Preferred stock</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A common stock</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118,184</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173,088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192,452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Commitments and contingencies (Note 1)</w:t>
      </w:r>
    </w:p>
    <w:p>
      <w:pPr>
        <w:spacing w:after="0" w:line="2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393" w:lineRule="auto"/>
        <w:rPr>
          <w:sz w:val="20"/>
          <w:szCs w:val="20"/>
          <w:color w:val="auto"/>
        </w:rPr>
      </w:pPr>
      <w:r>
        <w:rPr>
          <w:rFonts w:ascii="Times New Roman" w:cs="Times New Roman" w:eastAsia="Times New Roman" w:hAnsi="Times New Roman"/>
          <w:sz w:val="18"/>
          <w:szCs w:val="18"/>
          <w:b w:val="1"/>
          <w:bCs w:val="1"/>
          <w:color w:val="auto"/>
        </w:rPr>
        <w:t>COMPX INTERNATIONAL INC. CONDENSED CONSOLIDATED STATEMENTS OF INCOME (In thousands, except per share data)</w:t>
      </w:r>
    </w:p>
    <w:p>
      <w:pPr>
        <w:spacing w:after="0" w:line="7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gridSpan w:val="4"/>
          </w:tcPr>
          <w:p>
            <w:pPr>
              <w:jc w:val="right"/>
              <w:ind w:right="550"/>
              <w:spacing w:after="0" w:line="196"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36,253</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41,675</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72,177</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24,947</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28,046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49,836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5,884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6,176</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per common share</w:t>
            </w:r>
          </w:p>
        </w:tc>
        <w:tc>
          <w:tcPr>
            <w:tcW w:w="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12,367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60" w:type="dxa"/>
            <w:vAlign w:val="bottom"/>
            <w:gridSpan w:val="21"/>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June 30, 2021 and 2022 (unaudited)</w:t>
            </w:r>
          </w:p>
        </w:tc>
      </w:tr>
      <w:tr>
        <w:trPr>
          <w:trHeight w:val="187"/>
        </w:trPr>
        <w:tc>
          <w:tcPr>
            <w:tcW w:w="3920" w:type="dxa"/>
            <w:vAlign w:val="bottom"/>
          </w:tcPr>
          <w:p>
            <w:pPr>
              <w:spacing w:after="0"/>
              <w:rPr>
                <w:sz w:val="16"/>
                <w:szCs w:val="16"/>
                <w:color w:val="auto"/>
              </w:rPr>
            </w:pPr>
          </w:p>
        </w:tc>
        <w:tc>
          <w:tcPr>
            <w:tcW w:w="940" w:type="dxa"/>
            <w:vAlign w:val="bottom"/>
            <w:tcBorders>
              <w:top w:val="single" w:sz="8" w:color="auto"/>
            </w:tcBorders>
            <w:gridSpan w:val="5"/>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w:t>
            </w:r>
          </w:p>
        </w:tc>
        <w:tc>
          <w:tcPr>
            <w:tcW w:w="1000" w:type="dxa"/>
            <w:vAlign w:val="bottom"/>
            <w:tcBorders>
              <w:top w:val="single" w:sz="8" w:color="auto"/>
            </w:tcBorders>
            <w:gridSpan w:val="5"/>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 w:type="dxa"/>
            <w:vAlign w:val="bottom"/>
          </w:tcPr>
          <w:p>
            <w:pPr>
              <w:spacing w:after="0"/>
              <w:rPr>
                <w:sz w:val="16"/>
                <w:szCs w:val="16"/>
                <w:color w:val="auto"/>
              </w:rPr>
            </w:pPr>
          </w:p>
        </w:tc>
      </w:tr>
      <w:tr>
        <w:trPr>
          <w:trHeight w:val="216"/>
        </w:trPr>
        <w:tc>
          <w:tcPr>
            <w:tcW w:w="3920" w:type="dxa"/>
            <w:vAlign w:val="bottom"/>
          </w:tcPr>
          <w:p>
            <w:pPr>
              <w:spacing w:after="0"/>
              <w:rPr>
                <w:sz w:val="18"/>
                <w:szCs w:val="18"/>
                <w:color w:val="auto"/>
              </w:rPr>
            </w:pPr>
          </w:p>
        </w:tc>
        <w:tc>
          <w:tcPr>
            <w:tcW w:w="9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common</w:t>
            </w:r>
          </w:p>
        </w:tc>
        <w:tc>
          <w:tcPr>
            <w:tcW w:w="60" w:type="dxa"/>
            <w:vAlign w:val="bottom"/>
          </w:tcPr>
          <w:p>
            <w:pPr>
              <w:spacing w:after="0"/>
              <w:rPr>
                <w:sz w:val="18"/>
                <w:szCs w:val="18"/>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9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8"/>
        </w:trPr>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60" w:type="dxa"/>
            <w:vAlign w:val="bottom"/>
          </w:tcPr>
          <w:p>
            <w:pPr>
              <w:spacing w:after="0"/>
              <w:rPr>
                <w:sz w:val="20"/>
                <w:szCs w:val="20"/>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9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55,232</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$ 113,740</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169,096</w:t>
            </w:r>
          </w:p>
        </w:tc>
        <w:tc>
          <w:tcPr>
            <w:tcW w:w="20" w:type="dxa"/>
            <w:vAlign w:val="bottom"/>
          </w:tcPr>
          <w:p>
            <w:pPr>
              <w:spacing w:after="0"/>
              <w:rPr>
                <w:sz w:val="18"/>
                <w:szCs w:val="18"/>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8"/>
                <w:szCs w:val="18"/>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($.20 per share)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(2,481)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20" w:type="dxa"/>
            <w:vAlign w:val="bottom"/>
          </w:tcPr>
          <w:p>
            <w:pPr>
              <w:spacing w:after="0"/>
              <w:rPr>
                <w:sz w:val="18"/>
                <w:szCs w:val="18"/>
                <w:color w:val="auto"/>
              </w:rPr>
            </w:pPr>
          </w:p>
        </w:tc>
      </w:tr>
      <w:tr>
        <w:trPr>
          <w:trHeight w:val="209"/>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$ 115,879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171,339</w:t>
            </w:r>
          </w:p>
        </w:tc>
        <w:tc>
          <w:tcPr>
            <w:tcW w:w="2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$ 120,073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174,977</w:t>
            </w:r>
          </w:p>
        </w:tc>
        <w:tc>
          <w:tcPr>
            <w:tcW w:w="20" w:type="dxa"/>
            <w:vAlign w:val="bottom"/>
          </w:tcPr>
          <w:p>
            <w:pPr>
              <w:spacing w:after="0"/>
              <w:rPr>
                <w:sz w:val="18"/>
                <w:szCs w:val="18"/>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6,176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6,176</w:t>
            </w: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20" w:type="dxa"/>
            <w:vAlign w:val="bottom"/>
          </w:tcPr>
          <w:p>
            <w:pPr>
              <w:spacing w:after="0"/>
              <w:rPr>
                <w:sz w:val="18"/>
                <w:szCs w:val="18"/>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(1,744)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(1,744)</w:t>
            </w:r>
          </w:p>
        </w:tc>
        <w:tc>
          <w:tcPr>
            <w:tcW w:w="20" w:type="dxa"/>
            <w:vAlign w:val="bottom"/>
          </w:tcPr>
          <w:p>
            <w:pPr>
              <w:spacing w:after="0"/>
              <w:rPr>
                <w:sz w:val="18"/>
                <w:szCs w:val="18"/>
                <w:color w:val="auto"/>
              </w:rPr>
            </w:pPr>
          </w:p>
        </w:tc>
      </w:tr>
      <w:tr>
        <w:trPr>
          <w:trHeight w:val="216"/>
        </w:trPr>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Retired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($.25 per share)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(3,094)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(3,094)</w:t>
            </w:r>
          </w:p>
        </w:tc>
        <w:tc>
          <w:tcPr>
            <w:tcW w:w="20" w:type="dxa"/>
            <w:vAlign w:val="bottom"/>
          </w:tcPr>
          <w:p>
            <w:pPr>
              <w:spacing w:after="0"/>
              <w:rPr>
                <w:sz w:val="18"/>
                <w:szCs w:val="18"/>
                <w:color w:val="auto"/>
              </w:rPr>
            </w:pPr>
          </w:p>
        </w:tc>
      </w:tr>
      <w:tr>
        <w:trPr>
          <w:trHeight w:val="21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53,155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$ 123,155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176,433</w:t>
            </w:r>
          </w:p>
        </w:tc>
        <w:tc>
          <w:tcPr>
            <w:tcW w:w="2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2"/>
        </w:trPr>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60" w:type="dxa"/>
            <w:vAlign w:val="bottom"/>
            <w:gridSpan w:val="21"/>
          </w:tcPr>
          <w:p>
            <w:pPr>
              <w:ind w:left="240"/>
              <w:spacing w:after="0"/>
              <w:rPr>
                <w:sz w:val="20"/>
                <w:szCs w:val="20"/>
                <w:color w:val="auto"/>
              </w:rPr>
            </w:pPr>
            <w:r>
              <w:rPr>
                <w:rFonts w:ascii="Times New Roman" w:cs="Times New Roman" w:eastAsia="Times New Roman" w:hAnsi="Times New Roman"/>
                <w:sz w:val="18"/>
                <w:szCs w:val="18"/>
                <w:b w:val="1"/>
                <w:bCs w:val="1"/>
                <w:color w:val="auto"/>
              </w:rPr>
              <w:t>Six months ended June 30, 2021 and 2022 (unaudited)</w:t>
            </w:r>
          </w:p>
        </w:tc>
      </w:tr>
      <w:tr>
        <w:trPr>
          <w:trHeight w:val="187"/>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top w:val="single" w:sz="8" w:color="auto"/>
            </w:tcBorders>
            <w:gridSpan w:val="4"/>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w:t>
            </w:r>
          </w:p>
        </w:tc>
        <w:tc>
          <w:tcPr>
            <w:tcW w:w="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4"/>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20" w:type="dxa"/>
            <w:vAlign w:val="bottom"/>
          </w:tcPr>
          <w:p>
            <w:pPr>
              <w:spacing w:after="0"/>
              <w:rPr>
                <w:sz w:val="16"/>
                <w:szCs w:val="16"/>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60" w:type="dxa"/>
            <w:vAlign w:val="bottom"/>
          </w:tcPr>
          <w:p>
            <w:pPr>
              <w:spacing w:after="0"/>
              <w:rPr>
                <w:sz w:val="18"/>
                <w:szCs w:val="18"/>
                <w:color w:val="auto"/>
              </w:rPr>
            </w:pPr>
          </w:p>
        </w:tc>
        <w:tc>
          <w:tcPr>
            <w:tcW w:w="9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2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8"/>
        </w:trPr>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0"/>
                <w:szCs w:val="20"/>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55,987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$ 111,545</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167,656</w:t>
            </w:r>
          </w:p>
        </w:tc>
        <w:tc>
          <w:tcPr>
            <w:tcW w:w="20" w:type="dxa"/>
            <w:vAlign w:val="bottom"/>
          </w:tcPr>
          <w:p>
            <w:pPr>
              <w:spacing w:after="0"/>
              <w:rPr>
                <w:sz w:val="18"/>
                <w:szCs w:val="18"/>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9,305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8"/>
                <w:szCs w:val="18"/>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Acquired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0" w:type="dxa"/>
            <w:vAlign w:val="bottom"/>
          </w:tcPr>
          <w:p>
            <w:pPr>
              <w:spacing w:after="0"/>
              <w:rPr>
                <w:sz w:val="18"/>
                <w:szCs w:val="18"/>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Retired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($.40 per share)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20" w:type="dxa"/>
            <w:vAlign w:val="bottom"/>
          </w:tcPr>
          <w:p>
            <w:pPr>
              <w:spacing w:after="0"/>
              <w:rPr>
                <w:sz w:val="18"/>
                <w:szCs w:val="18"/>
                <w:color w:val="auto"/>
              </w:rPr>
            </w:pPr>
          </w:p>
        </w:tc>
      </w:tr>
      <w:tr>
        <w:trPr>
          <w:trHeight w:val="249"/>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55,336</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$ 115,879</w:t>
            </w: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171,339</w:t>
            </w:r>
          </w:p>
        </w:tc>
        <w:tc>
          <w:tcPr>
            <w:tcW w:w="20" w:type="dxa"/>
            <w:vAlign w:val="bottom"/>
          </w:tcPr>
          <w:p>
            <w:pPr>
              <w:spacing w:after="0"/>
              <w:rPr>
                <w:sz w:val="21"/>
                <w:szCs w:val="21"/>
                <w:color w:val="auto"/>
              </w:rPr>
            </w:pPr>
          </w:p>
        </w:tc>
      </w:tr>
      <w:tr>
        <w:trPr>
          <w:trHeight w:val="197"/>
        </w:trPr>
        <w:tc>
          <w:tcPr>
            <w:tcW w:w="3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54,780</w:t>
            </w:r>
          </w:p>
        </w:tc>
        <w:tc>
          <w:tcPr>
            <w:tcW w:w="12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$ 118,184</w:t>
            </w:r>
          </w:p>
        </w:tc>
        <w:tc>
          <w:tcPr>
            <w:tcW w:w="12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173,088</w:t>
            </w: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11,160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11,160</w:t>
            </w:r>
          </w:p>
        </w:tc>
        <w:tc>
          <w:tcPr>
            <w:tcW w:w="20" w:type="dxa"/>
            <w:vAlign w:val="bottom"/>
          </w:tcPr>
          <w:p>
            <w:pPr>
              <w:spacing w:after="0"/>
              <w:rPr>
                <w:sz w:val="18"/>
                <w:szCs w:val="18"/>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Acquired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(1,744)</w:t>
            </w: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Retired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(1,743)</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($.50 per share)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(6,189)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(6,189)</w:t>
            </w:r>
          </w:p>
        </w:tc>
        <w:tc>
          <w:tcPr>
            <w:tcW w:w="20" w:type="dxa"/>
            <w:vAlign w:val="bottom"/>
          </w:tcPr>
          <w:p>
            <w:pPr>
              <w:spacing w:after="0"/>
              <w:rPr>
                <w:sz w:val="18"/>
                <w:szCs w:val="18"/>
                <w:color w:val="auto"/>
              </w:rPr>
            </w:pPr>
          </w:p>
        </w:tc>
      </w:tr>
      <w:tr>
        <w:trPr>
          <w:trHeight w:val="210"/>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53,155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$ 123,155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176,433</w:t>
            </w:r>
          </w:p>
        </w:tc>
        <w:tc>
          <w:tcPr>
            <w:tcW w:w="2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6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Accounts receivable, net</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Inventories, net</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with affiliates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Prepaids and other, net</w:t>
            </w:r>
          </w:p>
        </w:tc>
        <w:tc>
          <w:tcPr>
            <w:tcW w:w="8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 receivable from affiliate:</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Collections</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Advances</w:t>
            </w:r>
          </w:p>
        </w:tc>
        <w:tc>
          <w:tcPr>
            <w:tcW w:w="8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(18,700)</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Treasury stock acquired</w:t>
            </w:r>
          </w:p>
        </w:tc>
        <w:tc>
          <w:tcPr>
            <w:tcW w:w="8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net change from:</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investing and financing activities</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70,637</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76,579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8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70,374</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2,439</w:t>
            </w:r>
          </w:p>
        </w:tc>
        <w:tc>
          <w:tcPr>
            <w:tcW w:w="6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4,603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We (NYSE American: CIX) were approximately 87% owned by NL Industries, Inc. (NYSE: NL)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2022. At June 30, 2022, Valhi, Inc. (NYSE: VHI) owned approximately 83% of NL’s outstanding common stock and a wholly-owned subsidiary of Contran Corporation owned approximately 92% of Valhi’s outstanding common stock. A majority of Contran’s outstanding voting stock is held directly by Lisa K. Simmons and various family trusts established for the benefit of Ms. Simmons, Thomas C. Connelly (the husband of Ms. Simmons’ late sister) and their children and for which Ms. Simmons or Mr. Connelly, as applicable, serve as trustee (collectively, the “Other Trusts”). With respect to the Other Trusts for which Mr. Connelly serves as trustee, he is required to vote the shares of Contran voting stock held in such trusts in the same manner as Ms. Simmons. Such voting rights of Ms. Simmons last through April 22, 2030 and are personal to Ms. Simmons. The remainder of Contran’s outstanding voting stock is held by another trust (the “Family Trust”), which was established for the benefit of Ms. Simmons and her late sister and their children and for which a third-party financial institution serves as trustee. Consequently, at June 30, 2022 Ms. Simmons and the Family Trust may be deemed to control Contran, and therefore may be deemed to indirectly control the wholly-owned subsidiary of Contran, Valhi, NL and us.</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Consolidated in this Quarterly Report are the results of CompX International Inc.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The unaudited Condensed Consolidated Financial Statements contained in this Quarterly Report have been prepared on the same basis as the audited Consolidated Financial Statements included in our Annual Report on Form 10-K for the year ended December 31, 2021 that we filed with the Securities and Exchange Commission (“SEC”) on March 2, 2022 (the “2021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2021 contained in this Quarterly Report as compared to our audited Consolidated Financial Statements at that date, and we have omitted certain information and footnote disclosures (including those related to the Consolidated Balance Sheet at December 31, 2021) normally included in financial statements prepared in accordance with accounting principles generally accepted in the United States of America (“GAAP”). Our results of operations for the interim periods ended June 30, 2022 may not be indicative of our operating results for the full year. The Condensed Consolidated Financial Statements contained in this Quarterly Report should be read in conjunction with our 2021 Consolidated Financial Statements contained in our 2021 Annual Report.</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operations are reported on a 52 or 53-week year. For presentation purposes, annual and quarterly information in the Condensed Consolidated Financial Statements and accompanying notes are presented as ended June 30, 2021 December 31, 2021 and June 30, 2022. The actual dates of our annual and quarterly periods are July 4, 2021, January 2, 2022 and July 3, 2022, respectively. Unless otherwise indicated, references in this report to “we”, “us” or “our” refer to CompX International Inc. and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 2 – Business segment information:</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6"/>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10"/>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7"/>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7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27,587</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28,837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53,472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12,838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25,307</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net sales</w:t>
            </w:r>
          </w:p>
        </w:tc>
        <w:tc>
          <w:tcPr>
            <w:tcW w:w="5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36,253</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41,675</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72,177</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83,725</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7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12,741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2,724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operating income</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7,745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11,575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8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8,082</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12,231</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14,602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Intersegment sales are not material.</w:t>
            </w: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 3 – Accounts receivable, net: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880" w:type="dxa"/>
            <w:vAlign w:val="bottom"/>
            <w:tcBorders>
              <w:bottom w:val="single" w:sz="8" w:color="auto"/>
            </w:tcBorders>
            <w:gridSpan w:val="3"/>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8"/>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3"/>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12,896</w:t>
            </w:r>
          </w:p>
        </w:tc>
        <w:tc>
          <w:tcPr>
            <w:tcW w:w="5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5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5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15,546</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17,573</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4 – Inventories, net:</w:t>
            </w: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0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bottom w:val="single" w:sz="8" w:color="auto"/>
            </w:tcBorders>
            <w:gridSpan w:val="4"/>
          </w:tcPr>
          <w:p>
            <w:pPr>
              <w:jc w:val="center"/>
              <w:ind w:left="333"/>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8"/>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Security Products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3"/>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50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Marine Components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37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raw materials</w:t>
            </w:r>
          </w:p>
        </w:tc>
        <w:tc>
          <w:tcPr>
            <w:tcW w:w="5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Security Products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12,721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Marine Components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7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work-in-process</w:t>
            </w:r>
          </w:p>
        </w:tc>
        <w:tc>
          <w:tcPr>
            <w:tcW w:w="5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16,767</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Security Products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Marine Components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7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finished goods</w:t>
            </w:r>
          </w:p>
        </w:tc>
        <w:tc>
          <w:tcPr>
            <w:tcW w:w="5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inventories, net</w:t>
            </w:r>
          </w:p>
        </w:tc>
        <w:tc>
          <w:tcPr>
            <w:tcW w:w="5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431"/>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25,642</w:t>
            </w: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Accounts payable and accrued liabilities: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23"/>
        </w:trPr>
        <w:tc>
          <w:tcPr>
            <w:tcW w:w="4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4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96"/>
        </w:trPr>
        <w:tc>
          <w:tcPr>
            <w:tcW w:w="4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gridSpan w:val="5"/>
          </w:tcPr>
          <w:p>
            <w:pPr>
              <w:jc w:val="right"/>
              <w:ind w:right="81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220" w:type="dxa"/>
            <w:vAlign w:val="bottom"/>
          </w:tcPr>
          <w:p>
            <w:pPr>
              <w:spacing w:after="0"/>
              <w:rPr>
                <w:sz w:val="18"/>
                <w:szCs w:val="18"/>
                <w:color w:val="auto"/>
              </w:rPr>
            </w:pP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4,484</w:t>
            </w:r>
          </w:p>
        </w:tc>
      </w:tr>
      <w:tr>
        <w:trPr>
          <w:trHeight w:val="216"/>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1,936</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benefits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7,165</w:t>
            </w:r>
          </w:p>
        </w:tc>
      </w:tr>
      <w:tr>
        <w:trPr>
          <w:trHeight w:val="216"/>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tooling</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617</w:t>
            </w:r>
          </w:p>
        </w:tc>
      </w:tr>
      <w:tr>
        <w:trPr>
          <w:trHeight w:val="216"/>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r>
      <w:tr>
        <w:trPr>
          <w:trHeight w:val="216"/>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Insurance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r>
      <w:tr>
        <w:trPr>
          <w:trHeight w:val="216"/>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w:t>
            </w:r>
          </w:p>
        </w:tc>
      </w:tr>
      <w:tr>
        <w:trPr>
          <w:trHeight w:val="209"/>
        </w:trPr>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1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15,183</w:t>
            </w:r>
          </w:p>
        </w:tc>
      </w:tr>
      <w:tr>
        <w:trPr>
          <w:trHeight w:val="20"/>
        </w:trPr>
        <w:tc>
          <w:tcPr>
            <w:tcW w:w="4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Provision for income taxes: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23"/>
        </w:trPr>
        <w:tc>
          <w:tcPr>
            <w:tcW w:w="4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r>
      <w:tr>
        <w:trPr>
          <w:trHeight w:val="210"/>
        </w:trPr>
        <w:tc>
          <w:tcPr>
            <w:tcW w:w="4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96"/>
        </w:trPr>
        <w:tc>
          <w:tcPr>
            <w:tcW w:w="4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4"/>
          </w:tcPr>
          <w:p>
            <w:pPr>
              <w:jc w:val="right"/>
              <w:ind w:right="31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8"/>
        </w:trPr>
        <w:tc>
          <w:tcPr>
            <w:tcW w:w="4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Expected tax expense, at the U.S. federal statutory</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48"/>
        </w:trPr>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 rate of 21%</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1,697</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4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3,066</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FDII benefit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r>
      <w:tr>
        <w:trPr>
          <w:trHeight w:val="216"/>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net</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09"/>
        </w:trPr>
        <w:tc>
          <w:tcPr>
            <w:tcW w:w="4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1,906</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3,442</w:t>
            </w:r>
          </w:p>
        </w:tc>
      </w:tr>
      <w:tr>
        <w:trPr>
          <w:trHeight w:val="20"/>
        </w:trPr>
        <w:tc>
          <w:tcPr>
            <w:tcW w:w="4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 Stockholders’ equity:</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has previously authorized the repurchase of our Class A common stock in open market transactions, including block purchases, or in privately-negotiated transactions at unspecified prices and over an unspecified period of time. We may repurchase our common stock from time to time as market conditions permit. The stock repurchase program does not include specific price targets or timetables and may be suspended at any time. Depending on market conditions, we may terminate the program prior to its completion. We use cash on hand to acquire the shares. Repurchased shares are added to our treasury and cancelled.</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During the second quarter of 2022, we acquired 78,900 shares of our Class A common stock for an aggregate amount of approximately $1.7 million under the prior repurchase authorizations. Of these shares, 70,000 shares were purchased in a market transaction, and 8,900 shares were purchased from two of our affiliates in two separate private transactions that were also approved in advance by our independent directors. During the first quarter of 2021, we purchased 50,000 shares of our Class A common stock in a market transaction for approximately $.8 million. We cancelled these treasury shares and allocated their cost to common stock at par value and additional paid-in capital. At June 30, 2022, 523,647 shares were available for purchase under prior repurchase authorizations.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 Financial instruments:</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instruments that are not carried at fair value but which require fair value disclosure:</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30, 2022</w:t>
            </w:r>
          </w:p>
        </w:tc>
      </w:tr>
      <w:tr>
        <w:trPr>
          <w:trHeight w:val="187"/>
        </w:trPr>
        <w:tc>
          <w:tcPr>
            <w:tcW w:w="3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3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196"/>
        </w:trPr>
        <w:tc>
          <w:tcPr>
            <w:tcW w:w="3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4"/>
          </w:tcPr>
          <w:p>
            <w:pPr>
              <w:jc w:val="right"/>
              <w:ind w:right="45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76,579</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76,579</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70,057</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70,057</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17,573</w:t>
            </w: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6,420</w:t>
            </w: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Due to their near-term maturities, the carrying amounts of accounts receivable and accounts payable are considered equivalent to fair value.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 Related party transactions: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we have an unsecured revolving demand promissory note with Valhi under which, as amended, we agreed to loan Valhi up to $30 million. Our loan to Valhi, as amended, bears interest at prime plus 1.00%, payable quarterly, with all principal due on demand, but in any event no earlier than December 31, 2023. Loans made to Valhi at any time under the agreement are at our discretion. At June 30, 2022, the outstanding principal balance receivable from Valhi under the promissory note was $16.6 million. Interest income (including unused commitment fees) on our loan to Valhi was $.6 million and $.4 million for the six months ended June 30, 2021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340" w:right="73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a leading manufacturer of engineered components utilized in a variety of applications and industries. Through our Security Products segment we manufacture mechanical and electrical cabinet locks and other locking mechanisms used in recreational transportation, postal, office and institutional furniture, cabinetry, tool storage and healthcare applications. We also manufacture stainless steel exhaust systems, gauges, throttle controls, wake enhancement systems, trim tabs and related hardware and accessories for the recreational marine and other industries through our Marine Components segment.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p>
      <w:pPr>
        <w:spacing w:after="0" w:line="192" w:lineRule="exact"/>
        <w:rPr>
          <w:sz w:val="20"/>
          <w:szCs w:val="20"/>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demand for our products,</w:t>
      </w:r>
    </w:p>
    <w:p>
      <w:pPr>
        <w:spacing w:after="0" w:line="117" w:lineRule="exact"/>
        <w:rPr>
          <w:rFonts w:ascii="Times New Roman" w:cs="Times New Roman" w:eastAsia="Times New Roman" w:hAnsi="Times New Roman"/>
          <w:sz w:val="18"/>
          <w:szCs w:val="18"/>
          <w:color w:val="auto"/>
        </w:rPr>
      </w:pPr>
    </w:p>
    <w:p>
      <w:pPr>
        <w:jc w:val="both"/>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raw material and other operating costs (such as zinc, brass, aluminum, steel and energy costs) and our ability to pass those costs on to our customers or offset them with reductions in other operating costs,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product competition from low-cost manufacturing sources (such as China),</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pricing and production decisions,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 competitor strategies including substitute products,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development of new products and product features,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litigation,</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or defend our intellectual property rights,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in integrating future acquisitions,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to sell operating assets other than in the ordinary course of business,</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(such as those requiring emission and discharge standards for existing and new facilities),</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outcome of income tax audits, tax settlement initiatives or other tax matters, including future tax reform,</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or future government regulations (including employee healthcare benefit related regulations),</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and political conditions that disrupt or introduce instability into our supply chain, impact our customers’ level of demand or our customers’ perception regarding demand or impair our ability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spacing w:after="0" w:line="282" w:lineRule="auto"/>
        <w:rPr>
          <w:sz w:val="20"/>
          <w:szCs w:val="20"/>
          <w:color w:val="auto"/>
        </w:rPr>
      </w:pPr>
      <w:r>
        <w:rPr>
          <w:rFonts w:ascii="Times New Roman" w:cs="Times New Roman" w:eastAsia="Times New Roman" w:hAnsi="Times New Roman"/>
          <w:sz w:val="18"/>
          <w:szCs w:val="18"/>
          <w:color w:val="auto"/>
        </w:rPr>
        <w:t>to operate our facilities (including changes in the level of gross domestic product in various regions of the world, natural disasters, terrorist acts, global conflicts and public health crises such as COVID-19),</w:t>
      </w:r>
    </w:p>
    <w:p>
      <w:pPr>
        <w:spacing w:after="0" w:line="54" w:lineRule="exact"/>
        <w:rPr>
          <w:sz w:val="20"/>
          <w:szCs w:val="20"/>
          <w:color w:val="auto"/>
        </w:rPr>
      </w:pPr>
    </w:p>
    <w:p>
      <w:pPr>
        <w:jc w:val="both"/>
        <w:ind w:left="1040" w:right="79" w:hanging="31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6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 of our business or increases in the cost of doing business resulting from terrorist activities or global conflicts.</w:t>
      </w:r>
    </w:p>
    <w:p>
      <w:pPr>
        <w:spacing w:after="0" w:line="162"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Income Overview</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the second quarter of 2022 operating income increased to $7.7 million compared to $5.8 million in the second quarter of 2021. Operating income for the first six months of 2022 was $14.0 million compared to $11.6 million in the first six months of 2021. The increase in operating income in the second quarter and first six months of 2022 compared to 2021 is primarily due to higher sales for both the Marine Components and Security Products segments.</w:t>
      </w:r>
    </w:p>
    <w:p>
      <w:pPr>
        <w:spacing w:after="0" w:line="7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sell a large number of products that have a wide variation in selling price and manufacturing cost, which results in certain practical limitations on our ability to quantify the impact of changes in individual product sales quantities and selling prices on our net sales, cost of sales and gross margin. In addition, small variations in period-to-period net sales, cost of sales and gross margin can result from changes in the relative mix of our products sold.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gridSpan w:val="9"/>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5"/>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4"/>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(Dollars in</w:t>
            </w:r>
          </w:p>
        </w:tc>
        <w:tc>
          <w:tcPr>
            <w:tcW w:w="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100.0 % </w:t>
            </w: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24,947</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28,046</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margin</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5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5,884</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income</w:t>
            </w:r>
          </w:p>
        </w:tc>
        <w:tc>
          <w:tcPr>
            <w:tcW w:w="15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7,745</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gridSpan w:val="9"/>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5"/>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(Dollars in</w:t>
            </w:r>
          </w:p>
        </w:tc>
        <w:tc>
          <w:tcPr>
            <w:tcW w:w="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76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100.0 % </w:t>
            </w: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83,725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5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49,836</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58,016</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69.3</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margin</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25,709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5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10,766</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11,658</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income</w:t>
            </w:r>
          </w:p>
        </w:tc>
        <w:tc>
          <w:tcPr>
            <w:tcW w:w="15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11,575</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14,051</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5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- 12 -</w:t>
            </w: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$5.4 million and $11.5 million in the second quarter and for the first six months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respectively, compared to the same periods in 2021 due to higher Marine Components sales primarily to the towboat market and, to a lesser extent, higher Security Products sales across a variety of markets.</w:t>
      </w:r>
    </w:p>
    <w:p>
      <w:pPr>
        <w:spacing w:after="0" w:line="17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sales and gross margin. </w:t>
      </w:r>
      <w:r>
        <w:rPr>
          <w:rFonts w:ascii="Times New Roman" w:cs="Times New Roman" w:eastAsia="Times New Roman" w:hAnsi="Times New Roman"/>
          <w:sz w:val="18"/>
          <w:szCs w:val="18"/>
          <w:color w:val="auto"/>
        </w:rPr>
        <w:t>Cost of sales as a percentage of sales decreased 1.5% in the second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the same period in 2021. As a result, gross margin as a percentage of sales increased over the same period. Gross margin percentage increased in the second quarter of 2022 compared to the same period in 2021 primarily due to improved gross margin at Security Products. Cost of sales and gross margin as a percentage of sales for the first six months of 2022 were comparable to the same period in 2021. See segment discussion below.</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Operating costs and expenses consist primarily of sales and administrative-related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costs, sales commissions and advertising expenses directly related to product sales and administrative costs relating to business unit and corporate management activities, as well as any gains and losses on property and equipment. Operating costs and expenses for the second quarter of 2022 are comparable to the same period in 2021. For the first six months of 2022, operating costs and expenses were higher than the same period in 2021 primarily due to higher salary and benefit costs which increased by $.4 million. Operating costs and expenses as a percentage of net sales decreased for the second quarter and the first six months of 2022 due to the effect of higher sales.</w:t>
      </w:r>
    </w:p>
    <w:p>
      <w:pPr>
        <w:spacing w:after="0" w:line="183"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As a percentage of net sales, operating income for the second quarter and first six months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increased compared to the same periods of 2021 and was primarily impacted by the factors impacting cost of sales, gross margin and operating costs. See segment discussion below.</w:t>
      </w:r>
    </w:p>
    <w:p>
      <w:pPr>
        <w:spacing w:after="0" w:line="17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A tabular reconciliation of our actual tax provision to the U.S. federal statutory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rate is included in Note 6 to the Condensed Consolidated Financial Statements. Our operations are wholly within the U.S. and therefore our effective income tax rate is primarily reflective of the U.S. federal statutory rate and applicable state taxes.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key performance indicator for our segments is operating income.</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4"/>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(Dollars in</w:t>
            </w: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3"/>
              </w:rPr>
              <w:t>thousands)</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4"/>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(Dollars in</w:t>
            </w:r>
          </w:p>
        </w:tc>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0"/>
              </w:rPr>
              <w:t>thousands)</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Products: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27,587</w:t>
            </w:r>
          </w:p>
        </w:tc>
        <w:tc>
          <w:tcPr>
            <w:tcW w:w="200" w:type="dxa"/>
            <w:vAlign w:val="bottom"/>
          </w:tcPr>
          <w:p>
            <w:pPr>
              <w:spacing w:after="0"/>
              <w:rPr>
                <w:sz w:val="18"/>
                <w:szCs w:val="18"/>
                <w:color w:val="auto"/>
              </w:rPr>
            </w:pPr>
          </w:p>
        </w:tc>
        <w:tc>
          <w:tcPr>
            <w:tcW w:w="2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28,837</w:t>
            </w:r>
          </w:p>
        </w:tc>
        <w:tc>
          <w:tcPr>
            <w:tcW w:w="2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5 % </w:t>
            </w: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53,472</w:t>
            </w:r>
          </w:p>
        </w:tc>
        <w:tc>
          <w:tcPr>
            <w:tcW w:w="18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58,418</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18,888</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39,388</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9,949</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19,030</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3,218</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6,289</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6,731</w:t>
            </w:r>
          </w:p>
        </w:tc>
        <w:tc>
          <w:tcPr>
            <w:tcW w:w="28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11,335</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12,741</w:t>
            </w:r>
          </w:p>
        </w:tc>
        <w:tc>
          <w:tcPr>
            <w:tcW w:w="28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34.5 %</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32.6 %</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Security Products</w:t>
      </w:r>
      <w:r>
        <w:rPr>
          <w:rFonts w:ascii="Times New Roman" w:cs="Times New Roman" w:eastAsia="Times New Roman" w:hAnsi="Times New Roman"/>
          <w:sz w:val="18"/>
          <w:szCs w:val="18"/>
          <w:color w:val="auto"/>
        </w:rPr>
        <w:t>. Security Products net sales increased 5% in the second quarter of 2022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last year. Relative to prior year, second quarter sales were $.7 million higher to the office furniture market and $.6 million higher to the government security market. Security Products net sales increased 9% in the first six months of 2022 compared to the same period last year. Relative to prior year, sales for the first six months were $1.9 million higher to the government security market, $1.4 million higher to the office furniture market and $.8 million higher to distributors.</w:t>
      </w:r>
    </w:p>
    <w:p>
      <w:pPr>
        <w:spacing w:after="0" w:line="18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Gross margin as a percentage of net sales for the second quarter and the first six months of 2022 increased as compared to the same periods in 2021 primarily due to higher sales resulting from price increases and surcharges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implemented to recover higher production costs and, to a lesser extent, from increased coverage of fixed costs from higher sales. Operating income as a percentage of net sales increased in the second quarter and the first six months of 2022 compared to the same periods in 2021 due to the factors impacting gross margin, as well as increased coverage of operating costs and expenses from higher sales.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18"/>
                <w:szCs w:val="18"/>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Change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3"/>
              </w:rPr>
              <w:t>thousands)</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0"/>
              </w:rPr>
              <w:t>thousands)</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2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 Components: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200" w:type="dxa"/>
            <w:vAlign w:val="bottom"/>
          </w:tcPr>
          <w:p>
            <w:pPr>
              <w:spacing w:after="0"/>
              <w:rPr>
                <w:sz w:val="18"/>
                <w:szCs w:val="18"/>
                <w:color w:val="auto"/>
              </w:rPr>
            </w:pPr>
          </w:p>
        </w:tc>
        <w:tc>
          <w:tcPr>
            <w:tcW w:w="2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12,838</w:t>
            </w:r>
          </w:p>
        </w:tc>
        <w:tc>
          <w:tcPr>
            <w:tcW w:w="2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48 % </w:t>
            </w: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18,705</w:t>
            </w:r>
          </w:p>
        </w:tc>
        <w:tc>
          <w:tcPr>
            <w:tcW w:w="18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25,307</w:t>
            </w:r>
          </w:p>
        </w:tc>
        <w:tc>
          <w:tcPr>
            <w:tcW w:w="28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35 %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9,158</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18,628</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3,680</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6,679</w:t>
            </w:r>
          </w:p>
        </w:tc>
        <w:tc>
          <w:tcPr>
            <w:tcW w:w="28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956</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1,946</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2,724</w:t>
            </w:r>
          </w:p>
        </w:tc>
        <w:tc>
          <w:tcPr>
            <w:tcW w:w="28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2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4,733</w:t>
            </w:r>
          </w:p>
        </w:tc>
        <w:tc>
          <w:tcPr>
            <w:tcW w:w="28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34</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28.7 %</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26.4 %</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Marine Components</w:t>
      </w:r>
      <w:r>
        <w:rPr>
          <w:rFonts w:ascii="Times New Roman" w:cs="Times New Roman" w:eastAsia="Times New Roman" w:hAnsi="Times New Roman"/>
          <w:sz w:val="18"/>
          <w:szCs w:val="18"/>
          <w:color w:val="auto"/>
        </w:rPr>
        <w:t>. Marine Components net sales in the second quarter and first six months of 2022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48% and 35%, respectively, compared to the same periods in 2021. Sales to the towboat market were $3.7 million higher for the second quarter and $5.7 million higher for the first six months of 2022 compared to the same periods in 2021.</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a percentage of net sales, gross margin for the second quarter of 2022 was comparable to the same period in 2021. Operating income as a percentage of net sales increased in the second quarter of 2022 compared to the same period in 2021 due to increased sales as a result of surcharges implemented to recover higher production costs and increased coverage of cost of sales, operating costs and expenses on higher sales. For the first six months of 2022, gross margin as a percentage of net sales decreased compared to the same period in 2021 as surcharges and increased coverage of fixed costs from higher sales were more than offset by higher cost of sales, most significantly in the first quarter of 2022, driven by higher raw material costs (primarily stainless steel and aluminum), higher shipping costs and increased labor costs. Operating income as a percentage of net sales for the six months of 2022 was comparable to the same period in 2021.</w:t>
      </w:r>
    </w:p>
    <w:p>
      <w:pPr>
        <w:spacing w:after="0" w:line="19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Outlook. </w:t>
      </w:r>
      <w:r>
        <w:rPr>
          <w:rFonts w:ascii="Times New Roman" w:cs="Times New Roman" w:eastAsia="Times New Roman" w:hAnsi="Times New Roman"/>
          <w:sz w:val="18"/>
          <w:szCs w:val="18"/>
          <w:color w:val="auto"/>
        </w:rPr>
        <w:t>During the first six months of 2022, we have experienced strong demand at both our segments.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operated our manufacturing facilities at elevated production rates during the first half of the year in line with our demand. While labor markets continue to be competitive in each of the regions in which we operate and labor costs continue to rise, during the second quarter we were able to achieve more balanced staffing levels aligned with current and forecasted demand, particularly at our Marine Components segment.</w:t>
      </w:r>
    </w:p>
    <w:p>
      <w:pPr>
        <w:spacing w:after="0" w:line="18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Security Products is beginning to experience some softening in demand particularly in the transportation and distribution markets, but we expect continued strong demand in other markets to offset these declines. Marine Components demand remains strong and we currently expect to report increased net sales and operating income from both segments for the full year 2022 compared to 2021. Certain of our supply chains, particularly for commodity raw materials, have stabilized while other supply chains remain challenging, and current global and domestic supply chain disruptions continue to impact sourcing certain raw materials and components (such as electronic components) due to increased lead times, shortages and transportation and logistics delays. Thus far we have been able to manage through these disruptions with minimal impact on our operations. In addition, we are experiencing increased production costs including higher labor and shipping costs and, although prices for certain raw materials have begun to stabilize, costs of many of the raw materials we use including zinc, brass, stainless steel and aluminum remain elevated above pre-pandemic levels. In response, we have implemented additional price increases and increased surcharges where necessary and, to-date, we have been successful in recovering our increased production costs; however, the extent to which future price increases and surcharges will mitigate rising costs is uncertain and we expect increasing production costs will continue to pressure gross margins as inventory costs are expected to remain above prior year costs for the foreseeable future. We continue to take actions we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believe will minimize supply related disruptions, manage inventory turnover, improve operating margins and maintain a safe working conditions environment for our employees.</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expectations for our operations and the markets we serve are based on a number of factors outside our control. As noted above, there continue to be global and domestic supply chain challenges and any future impacts on our operations will depend on, among other things, any future disruption in our operations or our suppliers’ operations, demand for our products and the timing and effectiveness of the global measures deployed to fight COVID-19, particularly in China, all of which remain uncertain and cannot be predicted.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Consolidated cash flows </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Trends in cash flows from operating activities, excluding changes in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generally been similar to the 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spacing w:after="0" w:line="18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net cash provided by operating activities for the first six months of 2022 decreased by $2.0 million as compared to the first six months of 2021. The decrease is primarily due to the net effects of:</w:t>
      </w:r>
    </w:p>
    <w:p>
      <w:pPr>
        <w:spacing w:after="0" w:line="162" w:lineRule="exact"/>
        <w:rPr>
          <w:sz w:val="20"/>
          <w:szCs w:val="20"/>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 million increase in operating income in 2022,</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$2.2 million increase in cash paid for taxes in 2022 due to higher operating income and the relative timing of payments, and</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higher amount of net cash used by relative changes in our inventories, receivables, prepaids, payables and non-tax related accruals of approximately $2.2 million in 2022.</w:t>
      </w:r>
    </w:p>
    <w:p>
      <w:pPr>
        <w:spacing w:after="0" w:line="54"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Relative changes in working capital can have a significant effect on cash flows from operating activities. As shown below, the change in our average days sales outstanding from December 31, 2021 to June 30, 2022 varied by segment primarily as a result of relative changes in the timing of collections relative to sales at the end of the quarter. For comparative purposes, we have provided December 31, 2020 and June 30, 2021 numbers below.</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0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472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Days Sales Outstanding: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8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0"/>
                <w:szCs w:val="20"/>
                <w:color w:val="auto"/>
              </w:rPr>
            </w:pPr>
          </w:p>
        </w:tc>
      </w:tr>
      <w:tr>
        <w:trPr>
          <w:trHeight w:val="210"/>
        </w:trPr>
        <w:tc>
          <w:tcPr>
            <w:tcW w:w="4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Products</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 Days</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 Days</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46 Days</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 Days</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Marine Components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 Days</w:t>
            </w:r>
          </w:p>
        </w:tc>
        <w:tc>
          <w:tcPr>
            <w:tcW w:w="1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31 Days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30 Days</w:t>
            </w:r>
          </w:p>
        </w:tc>
        <w:tc>
          <w:tcPr>
            <w:tcW w:w="200" w:type="dxa"/>
            <w:vAlign w:val="bottom"/>
          </w:tcPr>
          <w:p>
            <w:pPr>
              <w:spacing w:after="0"/>
              <w:rPr>
                <w:sz w:val="18"/>
                <w:szCs w:val="18"/>
                <w:color w:val="auto"/>
              </w:rPr>
            </w:pP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28 Days</w:t>
            </w: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CompX</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 Days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42 Days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42 Days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38 Days</w:t>
            </w: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average number of days in inventory increased from December 31, 2021 to June 30, 2022 due to the timing of sales relative to the end of the quarter, primarily at Security Products, and from increased inventories of certain components and raw materials that had longer lead times or for which we have experienced availability issues. For comparative purposes, we have provided December 31, 2020 and June 30, 2021 numbers below.</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472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Days in Inventory: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8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r>
      <w:tr>
        <w:trPr>
          <w:trHeight w:val="210"/>
        </w:trPr>
        <w:tc>
          <w:tcPr>
            <w:tcW w:w="4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Products</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 Days</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 Days</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95 Days</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110 Days</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Marine Components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 Days</w:t>
            </w:r>
          </w:p>
        </w:tc>
        <w:tc>
          <w:tcPr>
            <w:tcW w:w="1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78 Days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97 Days</w:t>
            </w:r>
          </w:p>
        </w:tc>
        <w:tc>
          <w:tcPr>
            <w:tcW w:w="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104 Days</w:t>
            </w: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CompX</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 Days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73 Days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96 Days</w:t>
            </w:r>
          </w:p>
        </w:tc>
        <w:tc>
          <w:tcPr>
            <w:tcW w:w="9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108 Days</w:t>
            </w:r>
          </w:p>
        </w:tc>
      </w:tr>
    </w:tbl>
    <w:p>
      <w:pPr>
        <w:spacing w:after="0" w:line="196"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capital expenditures were $2.2 million and $1.6 million in the first six months of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2021, respectively. During the first six months of 2022, Valhi repaid a net $2.1 million under the promissory note ($10.3 million of gross borrowings and $12.4 million of gross repayments). During the first six months of 2021, Valhi</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repaid a net $3.5 million under the promissory note ($18.7 million of gross borrowings and $22.2 million of gross repayments). See Note 9 to our Condensed Consolidated Financial Statements.</w:t>
      </w:r>
    </w:p>
    <w:p>
      <w:pPr>
        <w:spacing w:after="0" w:line="160"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In March 2022, our board of directors increased our regular quarterly dividend from $.20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to $.25 per share beginning in the first quarter of 2022.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w:t>
      </w:r>
    </w:p>
    <w:p>
      <w:pPr>
        <w:spacing w:after="0" w:line="18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During the second quarter of 2022, we acquired 78,900 shares of our Class A common stock (8,900 shares from affiliates and 70,000 shares in a single market transaction) for an aggregate purchase price of $1.7 million. During the first quarter of 2021, we acquired 50,000 shares of our Class A common stock in a market transaction for $.8 million. See Note 7 to our Condensed Consolidated Financial Statements.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Future cash requirements </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Liquidity</w:t>
      </w:r>
      <w:r>
        <w:rPr>
          <w:rFonts w:ascii="Times New Roman" w:cs="Times New Roman" w:eastAsia="Times New Roman" w:hAnsi="Times New Roman"/>
          <w:sz w:val="18"/>
          <w:szCs w:val="18"/>
          <w:color w:val="auto"/>
        </w:rPr>
        <w:t>. Our primary source of liquidity on an ongoing basis is our cash flow from operating activities,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used to (i) fund capital 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spacing w:after="0" w:line="18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9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 of our $70.1 million aggregate cash and cash equivalents at June 30, 2022 were held in the U.S.</w:t>
      </w:r>
    </w:p>
    <w:p>
      <w:pPr>
        <w:spacing w:after="0" w:line="223"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Firm purchase commitments for capital projects in process at June 30, 2022 totaled $.7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Our 2022 capital investments are primarily expenditures to meet our expected customer demand, improve capacity and efficiency and properly maintain our facilities and technology infrastructure.</w:t>
      </w:r>
    </w:p>
    <w:p>
      <w:pPr>
        <w:spacing w:after="0" w:line="173" w:lineRule="exact"/>
        <w:rPr>
          <w:sz w:val="20"/>
          <w:szCs w:val="20"/>
          <w:color w:val="auto"/>
        </w:rPr>
      </w:pPr>
    </w:p>
    <w:p>
      <w:pPr>
        <w:jc w:val="both"/>
        <w:ind w:left="60" w:right="7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 </w:t>
      </w:r>
      <w:r>
        <w:rPr>
          <w:rFonts w:ascii="Times New Roman" w:cs="Times New Roman" w:eastAsia="Times New Roman" w:hAnsi="Times New Roman"/>
          <w:sz w:val="18"/>
          <w:szCs w:val="18"/>
          <w:color w:val="auto"/>
        </w:rPr>
        <w:t>At June 30, 2022, we have 523,647 shares available for repurchase under a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program authorized by our board of directors. See Note 7 to our Condensed Consolidated Financial Statements.</w:t>
      </w:r>
    </w:p>
    <w:p>
      <w:pPr>
        <w:spacing w:after="0" w:line="158" w:lineRule="exact"/>
        <w:rPr>
          <w:sz w:val="20"/>
          <w:szCs w:val="20"/>
          <w:color w:val="auto"/>
        </w:rPr>
      </w:pPr>
    </w:p>
    <w:p>
      <w:pPr>
        <w:jc w:val="both"/>
        <w:ind w:left="60" w:right="5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There have been no material changes in our contractual obligations since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our 2021 Annual Report and we refer you to that report for a complete description of these commitments.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first six months of 2022 with respect to our critical accounting policies presented in Management’s Discussion and Analysis of Financial Condition and Results of Operations in our 2021 Annual Report.</w:t>
      </w:r>
    </w:p>
    <w:p>
      <w:pPr>
        <w:spacing w:after="0" w:line="17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and raw material prices. There have been no material changes in these market risks since we filed our 2021 Annual Report, and we refer you to Part I, Item 7A – “Quantitative and Qualitative Disclosure About Market Risk” in our 2021 Annual Report. See also Note 8 to the Condensed Consolidated Financial Statements.</w:t>
      </w:r>
    </w:p>
    <w:p>
      <w:pPr>
        <w:spacing w:after="0" w:line="176"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Evaluation of Disclosure Controls and Procedures. </w:t>
      </w:r>
      <w:r>
        <w:rPr>
          <w:rFonts w:ascii="Times New Roman" w:cs="Times New Roman" w:eastAsia="Times New Roman" w:hAnsi="Times New Roman"/>
          <w:sz w:val="18"/>
          <w:szCs w:val="18"/>
          <w:color w:val="auto"/>
        </w:rPr>
        <w:t>We maintain disclosure controls and procedures which,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Amy A. Samford, our Executive Vice President and Chief Financial Officer, has evaluated the design and operating effectiveness of our disclosure controls and procedures as of June 30, 2022. Based upon their evaluation, these executive officers have concluded that our disclosure controls and procedures are effective as of the date of such evaluation.</w:t>
      </w:r>
    </w:p>
    <w:p>
      <w:pPr>
        <w:spacing w:after="0" w:line="190"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Internal Control Over Financial Reporting</w:t>
      </w:r>
      <w:r>
        <w:rPr>
          <w:rFonts w:ascii="Times New Roman" w:cs="Times New Roman" w:eastAsia="Times New Roman" w:hAnsi="Times New Roman"/>
          <w:sz w:val="18"/>
          <w:szCs w:val="18"/>
          <w:color w:val="auto"/>
        </w:rPr>
        <w:t>. Our management is responsible for establishing and maintaining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adequate internal control over 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6" w:lineRule="exact"/>
        <w:rPr>
          <w:sz w:val="20"/>
          <w:szCs w:val="20"/>
          <w:color w:val="auto"/>
        </w:rPr>
      </w:pPr>
    </w:p>
    <w:p>
      <w:pPr>
        <w:ind w:left="1040" w:right="79" w:hanging="315"/>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53"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67"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an unauthorized acquisition, use or disposition of our assets that could have a material effect on our Condensed Consolidated Financial Statements.</w:t>
      </w:r>
    </w:p>
    <w:p>
      <w:pPr>
        <w:spacing w:after="0" w:line="172"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r>
        <w:rPr>
          <w:rFonts w:ascii="Times New Roman" w:cs="Times New Roman" w:eastAsia="Times New Roman" w:hAnsi="Times New Roman"/>
          <w:sz w:val="18"/>
          <w:szCs w:val="18"/>
          <w:color w:val="auto"/>
        </w:rPr>
        <w:t>. There have been no changes in our internal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financial reporting during the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Reference is made to the 2021 Annual Report for a discussion of risk factors related to our businesses.</w:t>
      </w:r>
    </w:p>
    <w:p>
      <w:pPr>
        <w:spacing w:after="0" w:line="22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The following table discloses certain information regarding the shares of our common stock we purchased during the second quarter of 2022 (we made no purchases in April 2022). See Note 7 to our Condensed Consolidated Financial Statements for a discussion of our previously announced repurchase program. All of these purchases were made under such repurchase program, in transactions as described in the footnotes 2 and 3 to the table below.</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number</w:t>
            </w:r>
          </w:p>
        </w:tc>
      </w:tr>
      <w:tr>
        <w:trPr>
          <w:trHeight w:val="203"/>
        </w:trPr>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 that may</w:t>
            </w:r>
          </w:p>
        </w:tc>
      </w:tr>
      <w:tr>
        <w:trPr>
          <w:trHeight w:val="203"/>
        </w:trPr>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purchased as part</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yet be purchased</w:t>
            </w:r>
          </w:p>
        </w:tc>
      </w:tr>
      <w:tr>
        <w:trPr>
          <w:trHeight w:val="203"/>
        </w:trPr>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of shares</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of the publicly</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 the publicly</w:t>
            </w:r>
          </w:p>
        </w:tc>
      </w:tr>
      <w:tr>
        <w:trPr>
          <w:trHeight w:val="215"/>
        </w:trPr>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00" w:type="dxa"/>
            <w:vAlign w:val="bottom"/>
          </w:tcPr>
          <w:p>
            <w:pPr>
              <w:spacing w:after="0"/>
              <w:rPr>
                <w:sz w:val="18"/>
                <w:szCs w:val="18"/>
                <w:color w:val="auto"/>
              </w:rPr>
            </w:pPr>
          </w:p>
        </w:tc>
        <w:tc>
          <w:tcPr>
            <w:tcW w:w="1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purchased (1)</w:t>
            </w: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announced plan</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plan</w:t>
            </w:r>
          </w:p>
        </w:tc>
      </w:tr>
      <w:tr>
        <w:trPr>
          <w:trHeight w:val="213"/>
        </w:trPr>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5/9/22 – 6/5/22</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72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$21.94</w:t>
            </w:r>
          </w:p>
        </w:tc>
        <w:tc>
          <w:tcPr>
            <w:tcW w:w="2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8,900</w:t>
            </w: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593,647</w:t>
            </w:r>
          </w:p>
        </w:tc>
      </w:tr>
      <w:tr>
        <w:trPr>
          <w:trHeight w:val="216"/>
        </w:trPr>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6/6/22 – 7/3/22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22.10</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78,900</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523,647</w:t>
            </w:r>
          </w:p>
        </w:tc>
      </w:tr>
    </w:tbl>
    <w:p>
      <w:pPr>
        <w:spacing w:after="0" w:line="198" w:lineRule="exact"/>
        <w:rPr>
          <w:sz w:val="20"/>
          <w:szCs w:val="20"/>
          <w:color w:val="auto"/>
        </w:rPr>
      </w:pPr>
    </w:p>
    <w:p>
      <w:pPr>
        <w:jc w:val="both"/>
        <w:ind w:left="700" w:right="79" w:hanging="650"/>
        <w:spacing w:after="0" w:line="266"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previously authorized repurchases of shares of our Class A common stock in open market transactions, including block purchases, or in privately-negotiated transactions at unspecified prices and over an unspecified period of time.</w:t>
      </w:r>
    </w:p>
    <w:p>
      <w:pPr>
        <w:spacing w:after="0" w:line="175" w:lineRule="exact"/>
        <w:rPr>
          <w:rFonts w:ascii="Times New Roman" w:cs="Times New Roman" w:eastAsia="Times New Roman" w:hAnsi="Times New Roman"/>
          <w:sz w:val="18"/>
          <w:szCs w:val="18"/>
          <w:color w:val="auto"/>
        </w:rPr>
      </w:pPr>
    </w:p>
    <w:p>
      <w:pPr>
        <w:jc w:val="both"/>
        <w:ind w:left="700" w:right="79" w:hanging="650"/>
        <w:spacing w:after="0" w:line="266"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 2022, we purchased an aggregate 8,900 shares from two of our affiliates in two separate private transactions that were also approved in advance by our independent directors. The purchases count toward the shares authorized under the repurchase program.</w:t>
      </w:r>
    </w:p>
    <w:p>
      <w:pPr>
        <w:spacing w:after="0" w:line="175"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made in an open market transaction.</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80" w:type="dxa"/>
            <w:vAlign w:val="bottom"/>
          </w:tcPr>
          <w:p>
            <w:pPr>
              <w:spacing w:after="0"/>
              <w:rPr>
                <w:sz w:val="20"/>
                <w:szCs w:val="20"/>
                <w:color w:val="auto"/>
              </w:rPr>
            </w:pPr>
          </w:p>
        </w:tc>
        <w:tc>
          <w:tcPr>
            <w:tcW w:w="79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445"/>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180" w:type="dxa"/>
            <w:vAlign w:val="bottom"/>
          </w:tcPr>
          <w:p>
            <w:pPr>
              <w:spacing w:after="0"/>
              <w:rPr>
                <w:sz w:val="24"/>
                <w:szCs w:val="24"/>
                <w:color w:val="auto"/>
              </w:rPr>
            </w:pPr>
          </w:p>
        </w:tc>
        <w:tc>
          <w:tcPr>
            <w:tcW w:w="7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8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Certification</w:t>
            </w:r>
          </w:p>
        </w:tc>
        <w:tc>
          <w:tcPr>
            <w:tcW w:w="0" w:type="dxa"/>
            <w:vAlign w:val="bottom"/>
          </w:tcPr>
          <w:p>
            <w:pPr>
              <w:spacing w:after="0"/>
              <w:rPr>
                <w:sz w:val="1"/>
                <w:szCs w:val="1"/>
                <w:color w:val="auto"/>
              </w:rPr>
            </w:pPr>
          </w:p>
        </w:tc>
      </w:tr>
      <w:tr>
        <w:trPr>
          <w:trHeight w:val="304"/>
        </w:trPr>
        <w:tc>
          <w:tcPr>
            <w:tcW w:w="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9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Certification</w:t>
            </w:r>
          </w:p>
        </w:tc>
        <w:tc>
          <w:tcPr>
            <w:tcW w:w="70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6"/>
              </w:rPr>
              <w:t>Certification</w:t>
            </w:r>
          </w:p>
        </w:tc>
        <w:tc>
          <w:tcPr>
            <w:tcW w:w="7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1"/>
                <w:szCs w:val="21"/>
                <w:color w:val="auto"/>
              </w:rPr>
            </w:pPr>
          </w:p>
        </w:tc>
        <w:tc>
          <w:tcPr>
            <w:tcW w:w="900" w:type="dxa"/>
            <w:vAlign w:val="bottom"/>
            <w:tcBorders>
              <w:bottom w:val="single" w:sz="8" w:color="0000EE"/>
            </w:tcBorders>
            <w:vMerge w:val="continue"/>
          </w:tcPr>
          <w:p>
            <w:pPr>
              <w:spacing w:after="0"/>
              <w:rPr>
                <w:sz w:val="21"/>
                <w:szCs w:val="21"/>
                <w:color w:val="auto"/>
              </w:rPr>
            </w:pPr>
          </w:p>
        </w:tc>
        <w:tc>
          <w:tcPr>
            <w:tcW w:w="7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8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3"/>
                <w:szCs w:val="23"/>
                <w:color w:val="auto"/>
              </w:rPr>
            </w:pPr>
          </w:p>
        </w:tc>
        <w:tc>
          <w:tcPr>
            <w:tcW w:w="79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0" w:type="dxa"/>
            <w:vAlign w:val="bottom"/>
          </w:tcPr>
          <w:p>
            <w:pPr>
              <w:spacing w:after="0"/>
              <w:rPr>
                <w:sz w:val="1"/>
                <w:szCs w:val="1"/>
                <w:color w:val="auto"/>
              </w:rPr>
            </w:pPr>
          </w:p>
        </w:tc>
      </w:tr>
    </w:tbl>
    <w:p>
      <w:pPr>
        <w:spacing w:after="0" w:line="85"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101.SCH</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101.CAL</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101.DEF</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101.LAB</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Taxonomy Extension Schema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p>
      <w:pPr>
        <w:spacing w:after="0" w:line="158" w:lineRule="exact"/>
        <w:rPr>
          <w:sz w:val="20"/>
          <w:szCs w:val="20"/>
          <w:color w:val="auto"/>
        </w:rPr>
      </w:pPr>
    </w:p>
    <w:p>
      <w:pPr>
        <w:ind w:right="3799"/>
        <w:spacing w:after="0" w:line="312" w:lineRule="auto"/>
        <w:rPr>
          <w:sz w:val="20"/>
          <w:szCs w:val="20"/>
          <w:color w:val="auto"/>
        </w:rPr>
      </w:pPr>
      <w:r>
        <w:rPr>
          <w:rFonts w:ascii="Times New Roman" w:cs="Times New Roman" w:eastAsia="Times New Roman" w:hAnsi="Times New Roman"/>
          <w:sz w:val="17"/>
          <w:szCs w:val="17"/>
          <w:color w:val="auto"/>
        </w:rPr>
        <w:t>Inline XBRL Taxonomy Extension Label Linkbase Inline XBRL Taxonomy Extension Presentation Linkbase</w:t>
      </w:r>
    </w:p>
    <w:p>
      <w:pPr>
        <w:spacing w:after="0" w:line="32" w:lineRule="exact"/>
        <w:rPr>
          <w:sz w:val="20"/>
          <w:szCs w:val="20"/>
          <w:color w:val="auto"/>
        </w:rPr>
      </w:pPr>
    </w:p>
    <w:p>
      <w:pPr>
        <w:sectPr>
          <w:pgSz w:w="11900" w:h="16838" w:orient="portrait"/>
          <w:cols w:equalWidth="0" w:num="2">
            <w:col w:w="740" w:space="320"/>
            <w:col w:w="7959"/>
          </w:cols>
          <w:pgMar w:left="1440" w:top="513" w:right="1440" w:bottom="1440" w:gutter="0" w:footer="0" w:header="0"/>
          <w:type w:val="continuous"/>
        </w:sectPr>
      </w:pPr>
    </w:p>
    <w:p>
      <w:pPr>
        <w:ind w:left="60"/>
        <w:spacing w:after="0"/>
        <w:tabs>
          <w:tab w:leader="none" w:pos="104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(formatted as inline XBRL and contained in Exhibit 101)</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COMPX INTERNATIONAL INC.</w:t>
            </w:r>
          </w:p>
        </w:tc>
      </w:tr>
      <w:tr>
        <w:trPr>
          <w:trHeight w:val="237"/>
        </w:trPr>
        <w:tc>
          <w:tcPr>
            <w:tcW w:w="3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6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(Registrant)</w:t>
            </w:r>
          </w:p>
        </w:tc>
        <w:tc>
          <w:tcPr>
            <w:tcW w:w="800" w:type="dxa"/>
            <w:vAlign w:val="bottom"/>
          </w:tcPr>
          <w:p>
            <w:pPr>
              <w:spacing w:after="0"/>
              <w:rPr>
                <w:sz w:val="20"/>
                <w:szCs w:val="20"/>
                <w:color w:val="auto"/>
              </w:rPr>
            </w:pP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 2022</w:t>
            </w:r>
          </w:p>
        </w:tc>
        <w:tc>
          <w:tcPr>
            <w:tcW w:w="5780" w:type="dxa"/>
            <w:vAlign w:val="bottom"/>
            <w:gridSpan w:val="4"/>
          </w:tcPr>
          <w:p>
            <w:pPr>
              <w:ind w:left="1540"/>
              <w:spacing w:after="0"/>
              <w:rPr>
                <w:sz w:val="20"/>
                <w:szCs w:val="20"/>
                <w:color w:val="auto"/>
              </w:rPr>
            </w:pPr>
            <w:r>
              <w:rPr>
                <w:rFonts w:ascii="Times New Roman" w:cs="Times New Roman" w:eastAsia="Times New Roman" w:hAnsi="Times New Roman"/>
                <w:sz w:val="18"/>
                <w:szCs w:val="18"/>
                <w:color w:val="auto"/>
              </w:rPr>
              <w:t>By: /s/ Amy A. Samford</w:t>
            </w:r>
          </w:p>
        </w:tc>
      </w:tr>
      <w:tr>
        <w:trPr>
          <w:trHeight w:val="191"/>
        </w:trPr>
        <w:tc>
          <w:tcPr>
            <w:tcW w:w="3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94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Amy A. Samford</w:t>
            </w:r>
          </w:p>
        </w:tc>
      </w:tr>
      <w:tr>
        <w:trPr>
          <w:trHeight w:val="234"/>
        </w:trPr>
        <w:tc>
          <w:tcPr>
            <w:tcW w:w="3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648"/>
        </w:trPr>
        <w:tc>
          <w:tcPr>
            <w:tcW w:w="3120" w:type="dxa"/>
            <w:vAlign w:val="bottom"/>
          </w:tcPr>
          <w:p>
            <w:pPr>
              <w:spacing w:after="0"/>
              <w:rPr>
                <w:sz w:val="24"/>
                <w:szCs w:val="24"/>
                <w:color w:val="auto"/>
              </w:rPr>
            </w:pPr>
          </w:p>
        </w:tc>
        <w:tc>
          <w:tcPr>
            <w:tcW w:w="5780" w:type="dxa"/>
            <w:vAlign w:val="bottom"/>
            <w:gridSpan w:val="4"/>
          </w:tcPr>
          <w:p>
            <w:pPr>
              <w:ind w:left="1540"/>
              <w:spacing w:after="0"/>
              <w:rPr>
                <w:sz w:val="20"/>
                <w:szCs w:val="20"/>
                <w:color w:val="auto"/>
              </w:rPr>
            </w:pPr>
            <w:r>
              <w:rPr>
                <w:rFonts w:ascii="Times New Roman" w:cs="Times New Roman" w:eastAsia="Times New Roman" w:hAnsi="Times New Roman"/>
                <w:sz w:val="18"/>
                <w:szCs w:val="18"/>
                <w:color w:val="auto"/>
              </w:rPr>
              <w:t>By: /s/ Amy E. Ruf</w:t>
            </w:r>
          </w:p>
        </w:tc>
      </w:tr>
      <w:tr>
        <w:trPr>
          <w:trHeight w:val="191"/>
        </w:trPr>
        <w:tc>
          <w:tcPr>
            <w:tcW w:w="3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94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Amy E. Ruf</w:t>
            </w:r>
          </w:p>
        </w:tc>
      </w:tr>
      <w:tr>
        <w:trPr>
          <w:trHeight w:val="234"/>
        </w:trPr>
        <w:tc>
          <w:tcPr>
            <w:tcW w:w="3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Vice President and Controller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C. James,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CompX International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3025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Scott C. James</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Amy A. Samford,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CompX International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17145</wp:posOffset>
            </wp:positionV>
            <wp:extent cx="30429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Amy A. Samford</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CompX International Inc. (the Company) on Form 10-Q for the period ending June 30, 2022, as filed with the Securities and Exchange Commission on the date hereof (the Report), I, Scott C. James, President and Chief Executive Officer of the Company and I, Amy A. Samford, Executive Vice President and Chief Financial Officer of the Company, certify, pursuant to 18 U.S.C. §1350, as adopted pursuant to §906 of the Sarbanes-Oxley Act of 2002, that:</w:t>
      </w:r>
    </w:p>
    <w:p>
      <w:pPr>
        <w:spacing w:after="0" w:line="180"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3042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Scott C. James</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30429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Amy A. Samford</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2022-08-02T15:28:29Z</dcterms:created>
  <dcterms:modified xsi:type="dcterms:W3CDTF">2022-08-02T15:28:29Z</dcterms:modified>
</cp:coreProperties>
</file>