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May 4, 2021</w:t>
      </w:r>
    </w:p>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201295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47"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registrant hereby furnishes the information set forth in its press release issued on May 4, 2021, a copy of which is attached hereto as Exhibit 99.1 and incorporated herein by reference.</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including Exhibit 99.1 the registrant furnishes in this current report under these items 2.02 and 7.01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0" w:type="dxa"/>
            <w:vAlign w:val="bottom"/>
          </w:tcPr>
          <w:p>
            <w:pPr>
              <w:spacing w:after="0"/>
              <w:rPr>
                <w:sz w:val="20"/>
                <w:szCs w:val="20"/>
                <w:color w:val="auto"/>
              </w:rPr>
            </w:pPr>
            <w:r>
              <w:rPr>
                <w:rFonts w:ascii="Arial" w:cs="Arial" w:eastAsia="Arial" w:hAnsi="Arial"/>
                <w:sz w:val="22"/>
                <w:szCs w:val="22"/>
                <w:color w:val="auto"/>
              </w:rPr>
              <w:t>(d)</w:t>
            </w:r>
          </w:p>
        </w:tc>
        <w:tc>
          <w:tcPr>
            <w:tcW w:w="2440" w:type="dxa"/>
            <w:vAlign w:val="bottom"/>
            <w:gridSpan w:val="2"/>
          </w:tcPr>
          <w:p>
            <w:pPr>
              <w:ind w:left="200"/>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56"/>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tcPr>
          <w:p>
            <w:pPr>
              <w:ind w:left="720"/>
              <w:spacing w:after="0"/>
              <w:rPr>
                <w:sz w:val="20"/>
                <w:szCs w:val="20"/>
                <w:color w:val="auto"/>
              </w:rPr>
            </w:pPr>
            <w:r>
              <w:rPr>
                <w:rFonts w:ascii="Arial" w:cs="Arial" w:eastAsia="Arial" w:hAnsi="Arial"/>
                <w:sz w:val="22"/>
                <w:szCs w:val="22"/>
                <w:b w:val="1"/>
                <w:bCs w:val="1"/>
                <w:color w:val="auto"/>
              </w:rPr>
              <w:t>Item No.</w:t>
            </w:r>
          </w:p>
        </w:tc>
        <w:tc>
          <w:tcPr>
            <w:tcW w:w="30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2"/>
          </w:tcPr>
          <w:p>
            <w:pPr>
              <w:ind w:left="1400"/>
              <w:spacing w:after="0"/>
              <w:rPr>
                <w:sz w:val="20"/>
                <w:szCs w:val="20"/>
                <w:color w:val="auto"/>
              </w:rPr>
            </w:pPr>
            <w:r>
              <w:rPr>
                <w:rFonts w:ascii="Arial" w:cs="Arial" w:eastAsia="Arial" w:hAnsi="Arial"/>
                <w:sz w:val="22"/>
                <w:szCs w:val="22"/>
                <w:b w:val="1"/>
                <w:bCs w:val="1"/>
                <w:color w:val="auto"/>
              </w:rPr>
              <w:t>Exhibit Index</w:t>
            </w:r>
          </w:p>
        </w:tc>
      </w:tr>
      <w:tr>
        <w:trPr>
          <w:trHeight w:val="418"/>
        </w:trPr>
        <w:tc>
          <w:tcPr>
            <w:tcW w:w="460" w:type="dxa"/>
            <w:vAlign w:val="bottom"/>
          </w:tcPr>
          <w:p>
            <w:pPr>
              <w:spacing w:after="0"/>
              <w:rPr>
                <w:sz w:val="24"/>
                <w:szCs w:val="24"/>
                <w:color w:val="auto"/>
              </w:rPr>
            </w:pPr>
          </w:p>
        </w:tc>
        <w:tc>
          <w:tcPr>
            <w:tcW w:w="2440" w:type="dxa"/>
            <w:vAlign w:val="bottom"/>
            <w:gridSpan w:val="2"/>
          </w:tcPr>
          <w:p>
            <w:pPr>
              <w:jc w:val="right"/>
              <w:ind w:right="812"/>
              <w:spacing w:after="0"/>
              <w:rPr>
                <w:sz w:val="20"/>
                <w:szCs w:val="20"/>
                <w:color w:val="auto"/>
              </w:rPr>
            </w:pPr>
            <w:r>
              <w:rPr>
                <w:rFonts w:ascii="Arial" w:cs="Arial" w:eastAsia="Arial" w:hAnsi="Arial"/>
                <w:sz w:val="22"/>
                <w:szCs w:val="22"/>
                <w:color w:val="auto"/>
              </w:rPr>
              <w:t>99.1</w:t>
            </w:r>
          </w:p>
        </w:tc>
        <w:tc>
          <w:tcPr>
            <w:tcW w:w="300" w:type="dxa"/>
            <w:vAlign w:val="bottom"/>
          </w:tcPr>
          <w:p>
            <w:pPr>
              <w:spacing w:after="0"/>
              <w:rPr>
                <w:sz w:val="24"/>
                <w:szCs w:val="24"/>
                <w:color w:val="auto"/>
              </w:rPr>
            </w:pPr>
          </w:p>
        </w:tc>
        <w:tc>
          <w:tcPr>
            <w:tcW w:w="8040" w:type="dxa"/>
            <w:vAlign w:val="bottom"/>
            <w:gridSpan w:val="3"/>
          </w:tcPr>
          <w:p>
            <w:pPr>
              <w:spacing w:after="0"/>
              <w:rPr>
                <w:rFonts w:ascii="Arial" w:cs="Arial" w:eastAsia="Arial" w:hAnsi="Arial"/>
                <w:sz w:val="22"/>
                <w:szCs w:val="22"/>
                <w:color w:val="0000EE"/>
                <w:w w:val="90"/>
              </w:rPr>
            </w:pPr>
            <w:hyperlink w:anchor="page4">
              <w:r>
                <w:rPr>
                  <w:rFonts w:ascii="Arial" w:cs="Arial" w:eastAsia="Arial" w:hAnsi="Arial"/>
                  <w:sz w:val="22"/>
                  <w:szCs w:val="22"/>
                  <w:color w:val="0000EE"/>
                  <w:w w:val="90"/>
                </w:rPr>
                <w:t>Press release dated May 4, 2021 entitled “CompX Reports First Quarter 2021 Results” and</w:t>
              </w:r>
            </w:hyperlink>
          </w:p>
        </w:tc>
      </w:tr>
      <w:tr>
        <w:trPr>
          <w:trHeight w:val="223"/>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2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issued by the registrant</w:t>
              </w:r>
              <w:r>
                <w:rPr>
                  <w:rFonts w:ascii="Arial" w:cs="Arial" w:eastAsia="Arial" w:hAnsi="Arial"/>
                  <w:sz w:val="22"/>
                  <w:szCs w:val="22"/>
                  <w:color w:val="000000"/>
                </w:rPr>
                <w:t>.</w:t>
              </w:r>
            </w:hyperlink>
          </w:p>
        </w:tc>
        <w:tc>
          <w:tcPr>
            <w:tcW w:w="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490"/>
        </w:trPr>
        <w:tc>
          <w:tcPr>
            <w:tcW w:w="460" w:type="dxa"/>
            <w:vAlign w:val="bottom"/>
          </w:tcPr>
          <w:p>
            <w:pPr>
              <w:spacing w:after="0"/>
              <w:rPr>
                <w:sz w:val="24"/>
                <w:szCs w:val="24"/>
                <w:color w:val="auto"/>
              </w:rPr>
            </w:pPr>
          </w:p>
        </w:tc>
        <w:tc>
          <w:tcPr>
            <w:tcW w:w="2440" w:type="dxa"/>
            <w:vAlign w:val="bottom"/>
            <w:gridSpan w:val="2"/>
          </w:tcPr>
          <w:p>
            <w:pPr>
              <w:jc w:val="right"/>
              <w:ind w:right="852"/>
              <w:spacing w:after="0"/>
              <w:rPr>
                <w:sz w:val="20"/>
                <w:szCs w:val="20"/>
                <w:color w:val="auto"/>
              </w:rPr>
            </w:pPr>
            <w:r>
              <w:rPr>
                <w:rFonts w:ascii="Arial" w:cs="Arial" w:eastAsia="Arial" w:hAnsi="Arial"/>
                <w:sz w:val="22"/>
                <w:szCs w:val="22"/>
                <w:color w:val="auto"/>
              </w:rPr>
              <w:t>104</w:t>
            </w:r>
          </w:p>
        </w:tc>
        <w:tc>
          <w:tcPr>
            <w:tcW w:w="30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874"/>
        </w:trPr>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Amy A. Samford</w:t>
            </w:r>
          </w:p>
        </w:tc>
      </w:tr>
      <w:tr>
        <w:trPr>
          <w:trHeight w:val="222"/>
        </w:trPr>
        <w:tc>
          <w:tcPr>
            <w:tcW w:w="5580" w:type="dxa"/>
            <w:vAlign w:val="bottom"/>
          </w:tcPr>
          <w:p>
            <w:pPr>
              <w:spacing w:after="0" w:line="222" w:lineRule="exact"/>
              <w:rPr>
                <w:sz w:val="20"/>
                <w:szCs w:val="20"/>
                <w:color w:val="auto"/>
              </w:rPr>
            </w:pPr>
            <w:r>
              <w:rPr>
                <w:rFonts w:ascii="Arial" w:cs="Arial" w:eastAsia="Arial" w:hAnsi="Arial"/>
                <w:sz w:val="22"/>
                <w:szCs w:val="22"/>
                <w:color w:val="auto"/>
              </w:rPr>
              <w:t>Date: May 4, 2021</w:t>
            </w:r>
          </w:p>
        </w:tc>
        <w:tc>
          <w:tcPr>
            <w:tcW w:w="4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4"/>
        </w:trPr>
        <w:tc>
          <w:tcPr>
            <w:tcW w:w="5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143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FIRST QUARTER 2021 RESULTS</w:t>
      </w:r>
    </w:p>
    <w:p>
      <w:pPr>
        <w:spacing w:after="0" w:line="25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DALLAS, TEXAS … May 4, 2021 … CompX International Inc. (NYSE American: CIX) announced today sales of $35.9 million for the first quarter of 2021 compared to $32.3 million in the same period of 2020. Operating income was $5.8 million in the first quarter of 2021 compared to $5.0 million in the same period of 2020. Net income was $4.7 million, or $0.38 per basic and diluted common share, for the first quarter of 2021 compared to $4.3 million, or $0.34 per basic and diluted common share, in the same period of 2020.</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sales increased for the quarter primarily due to higher Marine Component sales to the towboat market and to a lesser extent higher Security Products sales. Marine Components continues to benefit from an overall increase in demand in the recreational marine market which began in late spring 2020. Operating income increased during the first quarter of 2021 due to the higher Marine Component sales as well as lower overall medical expenses, partially offset by higher costs of sales at Security Products.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535 people.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The factors that could cause our actual future results to differ materially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206"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1"/>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0" w:lineRule="exact"/>
        <w:rPr>
          <w:rFonts w:ascii="Arial" w:cs="Arial" w:eastAsia="Arial" w:hAnsi="Arial"/>
          <w:sz w:val="21"/>
          <w:szCs w:val="21"/>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40"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84" w:lineRule="exact"/>
        <w:rPr>
          <w:rFonts w:ascii="Arial" w:cs="Arial" w:eastAsia="Arial" w:hAnsi="Arial"/>
          <w:sz w:val="22"/>
          <w:szCs w:val="22"/>
          <w:color w:val="auto"/>
        </w:rPr>
      </w:pPr>
    </w:p>
    <w:p>
      <w:pPr>
        <w:jc w:val="both"/>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86"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32.3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35.9</w:t>
            </w: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21.9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24.9</w:t>
            </w: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10.4</w:t>
            </w: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11.0</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5.2</w:t>
            </w: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5.0</w:t>
            </w: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5.8</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0.4</w:t>
            </w: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5.6</w:t>
            </w: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6.2</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w:t>
            </w:r>
          </w:p>
        </w:tc>
      </w:tr>
      <w:tr>
        <w:trPr>
          <w:trHeight w:val="283"/>
        </w:trPr>
        <w:tc>
          <w:tcPr>
            <w:tcW w:w="868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74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4.3</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8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color w:val="auto"/>
              </w:rPr>
              <w:t>Basic and diluted net income per common share</w:t>
            </w:r>
          </w:p>
        </w:tc>
        <w:tc>
          <w:tcPr>
            <w:tcW w:w="740" w:type="dxa"/>
            <w:vAlign w:val="bottom"/>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0.34</w:t>
            </w:r>
          </w:p>
        </w:tc>
        <w:tc>
          <w:tcPr>
            <w:tcW w:w="220" w:type="dxa"/>
            <w:vAlign w:val="bottom"/>
          </w:tcPr>
          <w:p>
            <w:pPr>
              <w:spacing w:after="0"/>
              <w:rPr>
                <w:sz w:val="21"/>
                <w:szCs w:val="21"/>
                <w:color w:val="auto"/>
              </w:rPr>
            </w:pPr>
          </w:p>
        </w:tc>
        <w:tc>
          <w:tcPr>
            <w:tcW w:w="320" w:type="dxa"/>
            <w:vAlign w:val="bottom"/>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0.38</w:t>
            </w:r>
          </w:p>
        </w:tc>
      </w:tr>
      <w:tr>
        <w:trPr>
          <w:trHeight w:val="20"/>
        </w:trPr>
        <w:tc>
          <w:tcPr>
            <w:tcW w:w="8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8680" w:type="dxa"/>
            <w:vAlign w:val="bottom"/>
            <w:tcBorders>
              <w:bottom w:val="single" w:sz="8" w:color="CCEEFF"/>
            </w:tcBorders>
            <w:shd w:val="clear" w:color="auto" w:fill="CCEEFF"/>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7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12.4</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2021-05-04T15:30:01Z</dcterms:created>
  <dcterms:modified xsi:type="dcterms:W3CDTF">2021-05-04T15:30:01Z</dcterms:modified>
</cp:coreProperties>
</file>