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53975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83185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4" w:lineRule="exact"/>
        <w:rPr>
          <w:sz w:val="24"/>
          <w:szCs w:val="24"/>
          <w:color w:val="auto"/>
        </w:rPr>
      </w:pPr>
    </w:p>
    <w:p>
      <w:pPr>
        <w:ind w:left="2860" w:right="1560" w:hanging="1307"/>
        <w:spacing w:after="0" w:line="256" w:lineRule="auto"/>
        <w:tabs>
          <w:tab w:leader="none" w:pos="2193"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2860" w:right="1560" w:hanging="1315"/>
        <w:spacing w:after="0" w:line="256" w:lineRule="auto"/>
        <w:tabs>
          <w:tab w:leader="none" w:pos="2185" w:val="left"/>
        </w:tabs>
        <w:numPr>
          <w:ilvl w:val="0"/>
          <w:numId w:val="2"/>
        </w:numPr>
        <w:rPr>
          <w:rFonts w:ascii="MS PGothic" w:cs="MS PGothic" w:eastAsia="MS PGothic" w:hAnsi="MS PGothic"/>
          <w:sz w:val="14"/>
          <w:szCs w:val="14"/>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For the transition period from _________ to 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114935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121920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8" w:lineRule="exact"/>
        <w:rPr>
          <w:sz w:val="24"/>
          <w:szCs w:val="24"/>
          <w:color w:val="auto"/>
        </w:rPr>
      </w:pPr>
    </w:p>
    <w:p>
      <w:pPr>
        <w:ind w:left="1980"/>
        <w:spacing w:after="0"/>
        <w:tabs>
          <w:tab w:leader="none" w:pos="7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57-0981653</w:t>
      </w:r>
    </w:p>
    <w:p>
      <w:pPr>
        <w:spacing w:after="0" w:line="27" w:lineRule="exact"/>
        <w:rPr>
          <w:sz w:val="24"/>
          <w:szCs w:val="24"/>
          <w:color w:val="auto"/>
        </w:rPr>
      </w:pPr>
    </w:p>
    <w:p>
      <w:pPr>
        <w:ind w:left="1380"/>
        <w:spacing w:after="0"/>
        <w:tabs>
          <w:tab w:leader="none" w:pos="7100" w:val="left"/>
        </w:tabs>
        <w:rPr>
          <w:sz w:val="20"/>
          <w:szCs w:val="20"/>
          <w:color w:val="auto"/>
        </w:rPr>
      </w:pPr>
      <w:r>
        <w:rPr>
          <w:rFonts w:ascii="Arial" w:cs="Arial" w:eastAsia="Arial" w:hAnsi="Arial"/>
          <w:sz w:val="18"/>
          <w:szCs w:val="18"/>
          <w:b w:val="1"/>
          <w:bCs w:val="1"/>
          <w:color w:val="auto"/>
        </w:rPr>
        <w:t>(State or other jurisdiction of</w:t>
      </w:r>
      <w:r>
        <w:rPr>
          <w:sz w:val="20"/>
          <w:szCs w:val="20"/>
          <w:color w:val="auto"/>
        </w:rPr>
        <w:tab/>
      </w:r>
      <w:r>
        <w:rPr>
          <w:rFonts w:ascii="Arial" w:cs="Arial" w:eastAsia="Arial" w:hAnsi="Arial"/>
          <w:sz w:val="17"/>
          <w:szCs w:val="17"/>
          <w:b w:val="1"/>
          <w:bCs w:val="1"/>
          <w:color w:val="auto"/>
        </w:rPr>
        <w:t>(IRS Employer</w:t>
      </w:r>
    </w:p>
    <w:p>
      <w:pPr>
        <w:spacing w:after="0" w:line="9" w:lineRule="exact"/>
        <w:rPr>
          <w:sz w:val="24"/>
          <w:szCs w:val="24"/>
          <w:color w:val="auto"/>
        </w:rPr>
      </w:pPr>
    </w:p>
    <w:p>
      <w:pPr>
        <w:ind w:left="1320"/>
        <w:spacing w:after="0"/>
        <w:tabs>
          <w:tab w:leader="none" w:pos="6980" w:val="left"/>
        </w:tabs>
        <w:rPr>
          <w:sz w:val="20"/>
          <w:szCs w:val="20"/>
          <w:color w:val="auto"/>
        </w:rPr>
      </w:pPr>
      <w:r>
        <w:rPr>
          <w:rFonts w:ascii="Arial" w:cs="Arial" w:eastAsia="Arial" w:hAnsi="Arial"/>
          <w:sz w:val="18"/>
          <w:szCs w:val="18"/>
          <w:b w:val="1"/>
          <w:bCs w:val="1"/>
          <w:color w:val="auto"/>
        </w:rPr>
        <w:t>incorporation or organization)</w:t>
      </w:r>
      <w:r>
        <w:rPr>
          <w:sz w:val="20"/>
          <w:szCs w:val="20"/>
          <w:color w:val="auto"/>
        </w:rPr>
        <w:tab/>
      </w:r>
      <w:r>
        <w:rPr>
          <w:rFonts w:ascii="Arial" w:cs="Arial" w:eastAsia="Arial" w:hAnsi="Arial"/>
          <w:sz w:val="16"/>
          <w:szCs w:val="16"/>
          <w:b w:val="1"/>
          <w:bCs w:val="1"/>
          <w:color w:val="auto"/>
        </w:rPr>
        <w:t>Identification No.)</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5430 LBJ Freeway, Suite 1700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 448-1400</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40" w:type="dxa"/>
            <w:vAlign w:val="bottom"/>
            <w:gridSpan w:val="4"/>
          </w:tcPr>
          <w:p>
            <w:pPr>
              <w:spacing w:after="0"/>
              <w:rPr>
                <w:sz w:val="20"/>
                <w:szCs w:val="20"/>
                <w:color w:val="auto"/>
              </w:rPr>
            </w:pPr>
            <w:r>
              <w:rPr>
                <w:rFonts w:ascii="Arial" w:cs="Arial" w:eastAsia="Arial" w:hAnsi="Arial"/>
                <w:sz w:val="16"/>
                <w:szCs w:val="16"/>
                <w:b w:val="1"/>
                <w:bCs w:val="1"/>
                <w:color w:val="auto"/>
                <w:w w:val="93"/>
              </w:rPr>
              <w:t>Securities registered pursuant to Section 12(b) of the Act: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354"/>
        </w:trPr>
        <w:tc>
          <w:tcPr>
            <w:tcW w:w="20" w:type="dxa"/>
            <w:vAlign w:val="bottom"/>
          </w:tcPr>
          <w:p>
            <w:pPr>
              <w:spacing w:after="0"/>
              <w:rPr>
                <w:sz w:val="24"/>
                <w:szCs w:val="24"/>
                <w:color w:val="auto"/>
              </w:rPr>
            </w:pPr>
          </w:p>
        </w:tc>
        <w:tc>
          <w:tcPr>
            <w:tcW w:w="4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Title of each class</w:t>
            </w: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Trading Symbol(s)</w:t>
            </w: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2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CIX</w:t>
            </w:r>
          </w:p>
        </w:tc>
        <w:tc>
          <w:tcPr>
            <w:tcW w:w="160" w:type="dxa"/>
            <w:vAlign w:val="bottom"/>
          </w:tcPr>
          <w:p>
            <w:pPr>
              <w:spacing w:after="0"/>
              <w:rPr>
                <w:sz w:val="17"/>
                <w:szCs w:val="17"/>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r>
    </w:tbl>
    <w:p>
      <w:pPr>
        <w:spacing w:after="0" w:line="113"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97"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8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20"/>
          </w:cols>
          <w:pgMar w:left="840" w:top="890" w:right="839" w:bottom="1440" w:gutter="0" w:footer="0" w:header="0"/>
        </w:sectPr>
      </w:pP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84" w:lineRule="exact"/>
        <w:tabs>
          <w:tab w:leader="none" w:pos="38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tabs>
          <w:tab w:leader="none" w:pos="2900" w:val="left"/>
          <w:tab w:leader="none" w:pos="5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4100" w:space="720"/>
            <w:col w:w="5400"/>
          </w:cols>
          <w:pgMar w:left="840" w:top="890" w:right="839" w:bottom="1440" w:gutter="0" w:footer="0" w:header="0"/>
          <w:type w:val="continuous"/>
        </w:sectPr>
      </w:pPr>
    </w:p>
    <w:p>
      <w:pPr>
        <w:spacing w:after="0" w:line="34" w:lineRule="exact"/>
        <w:rPr>
          <w:sz w:val="24"/>
          <w:szCs w:val="24"/>
          <w:color w:val="auto"/>
        </w:rPr>
      </w:pPr>
    </w:p>
    <w:p>
      <w:pPr>
        <w:ind w:right="20"/>
        <w:spacing w:after="0" w:line="216"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83" w:lineRule="exact"/>
        <w:rPr>
          <w:sz w:val="24"/>
          <w:szCs w:val="24"/>
          <w:color w:val="auto"/>
        </w:rPr>
      </w:pPr>
    </w:p>
    <w:p>
      <w:pPr>
        <w:jc w:val="right"/>
        <w:ind w:right="1220"/>
        <w:spacing w:after="0" w:line="173" w:lineRule="exact"/>
        <w:tabs>
          <w:tab w:leader="none" w:pos="1640" w:val="left"/>
        </w:tabs>
        <w:rPr>
          <w:sz w:val="20"/>
          <w:szCs w:val="20"/>
          <w:color w:val="auto"/>
        </w:rPr>
      </w:pPr>
      <w:r>
        <w:rPr>
          <w:rFonts w:ascii="Arial" w:cs="Arial" w:eastAsia="Arial" w:hAnsi="Arial"/>
          <w:sz w:val="15"/>
          <w:szCs w:val="15"/>
          <w:b w:val="1"/>
          <w:bCs w:val="1"/>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ab/>
        <w:t xml:space="preserve">No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w:t>
      </w:r>
    </w:p>
    <w:p>
      <w:pPr>
        <w:spacing w:after="0" w:line="178" w:lineRule="exact"/>
        <w:rPr>
          <w:sz w:val="24"/>
          <w:szCs w:val="24"/>
          <w:color w:val="auto"/>
        </w:rPr>
      </w:pPr>
    </w:p>
    <w:p>
      <w:pPr>
        <w:jc w:val="right"/>
        <w:ind w:right="1180"/>
        <w:spacing w:after="0"/>
        <w:rPr>
          <w:sz w:val="20"/>
          <w:szCs w:val="20"/>
          <w:color w:val="auto"/>
        </w:rPr>
      </w:pPr>
      <w:r>
        <w:rPr>
          <w:rFonts w:ascii="Arial" w:cs="Arial" w:eastAsia="Arial" w:hAnsi="Arial"/>
          <w:sz w:val="15"/>
          <w:szCs w:val="15"/>
          <w:b w:val="1"/>
          <w:bCs w:val="1"/>
          <w:color w:val="auto"/>
        </w:rPr>
        <w:t>As of April 27, 2022, the registrant had 12,380,657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687705</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233680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w:t>
            </w:r>
          </w:p>
        </w:tc>
        <w:tc>
          <w:tcPr>
            <w:tcW w:w="750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00" w:type="dxa"/>
            <w:vAlign w:val="bottom"/>
            <w:gridSpan w:val="4"/>
            <w:vMerge w:val="continue"/>
          </w:tcPr>
          <w:p>
            <w:pPr>
              <w:spacing w:after="0"/>
              <w:rPr>
                <w:sz w:val="16"/>
                <w:szCs w:val="16"/>
                <w:color w:val="auto"/>
              </w:rPr>
            </w:pPr>
          </w:p>
        </w:tc>
        <w:tc>
          <w:tcPr>
            <w:tcW w:w="7500" w:type="dxa"/>
            <w:vAlign w:val="bottom"/>
            <w:gridSpan w:val="14"/>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5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4"/>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Balance Sheets – December 31, 2021 and March 31, 2022 (unaudited)</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3"/>
              </w:rPr>
              <w:t>- 3 -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(unaudited) – Three months ended March 31, 2021 and</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2022</w:t>
              </w:r>
            </w:hyperlink>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- 4 -</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(unaudited) – Three months ended March</w:t>
              </w:r>
            </w:hyperlink>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31, 2021 and 2022</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- 5 -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 Three months ended March 31, 2021</w:t>
              </w:r>
            </w:hyperlink>
          </w:p>
        </w:tc>
        <w:tc>
          <w:tcPr>
            <w:tcW w:w="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2022</w:t>
              </w:r>
            </w:hyperlink>
          </w:p>
        </w:tc>
        <w:tc>
          <w:tcPr>
            <w:tcW w:w="6620" w:type="dxa"/>
            <w:vAlign w:val="bottom"/>
            <w:gridSpan w:val="11"/>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3"/>
              </w:rPr>
              <w:t>- 6 -</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264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- 7 -</w:t>
            </w:r>
          </w:p>
        </w:tc>
        <w:tc>
          <w:tcPr>
            <w:tcW w:w="0" w:type="dxa"/>
            <w:vAlign w:val="bottom"/>
          </w:tcPr>
          <w:p>
            <w:pPr>
              <w:spacing w:after="0"/>
              <w:rPr>
                <w:sz w:val="1"/>
                <w:szCs w:val="1"/>
                <w:color w:val="auto"/>
              </w:rPr>
            </w:pPr>
          </w:p>
        </w:tc>
      </w:tr>
      <w:tr>
        <w:trPr>
          <w:trHeight w:val="412"/>
        </w:trPr>
        <w:tc>
          <w:tcPr>
            <w:tcW w:w="800" w:type="dxa"/>
            <w:vAlign w:val="bottom"/>
            <w:gridSpan w:val="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7500" w:type="dxa"/>
            <w:vAlign w:val="bottom"/>
            <w:gridSpan w:val="1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0"/>
              </w:rPr>
              <w:t>- 11 -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750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 About Market Risk</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- 16 -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750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- 16 -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7500" w:type="dxa"/>
            <w:vAlign w:val="bottom"/>
            <w:gridSpan w:val="1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Item 1A.</w:t>
              </w:r>
            </w:hyperlink>
          </w:p>
        </w:tc>
        <w:tc>
          <w:tcPr>
            <w:tcW w:w="160" w:type="dxa"/>
            <w:vAlign w:val="bottom"/>
          </w:tcPr>
          <w:p>
            <w:pPr>
              <w:spacing w:after="0"/>
              <w:rPr>
                <w:sz w:val="24"/>
                <w:szCs w:val="24"/>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6600" w:type="dxa"/>
            <w:vAlign w:val="bottom"/>
            <w:gridSpan w:val="10"/>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- 17 -</w:t>
            </w:r>
          </w:p>
        </w:tc>
        <w:tc>
          <w:tcPr>
            <w:tcW w:w="0" w:type="dxa"/>
            <w:vAlign w:val="bottom"/>
          </w:tcPr>
          <w:p>
            <w:pPr>
              <w:spacing w:after="0"/>
              <w:rPr>
                <w:sz w:val="1"/>
                <w:szCs w:val="1"/>
                <w:color w:val="auto"/>
              </w:rPr>
            </w:pPr>
          </w:p>
        </w:tc>
      </w:tr>
      <w:tr>
        <w:trPr>
          <w:trHeight w:val="412"/>
        </w:trPr>
        <w:tc>
          <w:tcPr>
            <w:tcW w:w="800" w:type="dxa"/>
            <w:vAlign w:val="bottom"/>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6.</w:t>
              </w:r>
            </w:hyperlink>
          </w:p>
        </w:tc>
        <w:tc>
          <w:tcPr>
            <w:tcW w:w="750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5"/>
              </w:rPr>
              <w:t>- 17 -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2460"/>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76,579</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assets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120,231</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119,542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affiliate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other assets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Construction in progress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accumulated depreciation</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71,742</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property and equipment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192,452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14,724</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to affiliate</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 - deferred income taxes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Class A common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118,184</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174,977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192,452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left="60" w:right="79"/>
        <w:spacing w:after="0" w:line="391" w:lineRule="auto"/>
        <w:rPr>
          <w:sz w:val="20"/>
          <w:szCs w:val="20"/>
          <w:color w:val="auto"/>
        </w:rPr>
      </w:pPr>
      <w:r>
        <w:rPr>
          <w:rFonts w:ascii="Arial" w:cs="Arial" w:eastAsia="Arial" w:hAnsi="Arial"/>
          <w:sz w:val="18"/>
          <w:szCs w:val="18"/>
          <w:b w:val="1"/>
          <w:bCs w:val="1"/>
          <w:color w:val="auto"/>
        </w:rPr>
        <w:t>COMPX INTERNATIONAL INC. CONDENSED CONSOLIDATED STATEMENTS OF INCOME (In thousands, except per share data)</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center"/>
              <w:ind w:left="570"/>
              <w:spacing w:after="0" w:line="196" w:lineRule="exact"/>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35,924</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24,889</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1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common share</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COMPX INTERNATIONAL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12"/>
          </w:tcPr>
          <w:p>
            <w:pPr>
              <w:jc w:val="right"/>
              <w:ind w:right="153"/>
              <w:spacing w:after="0"/>
              <w:rPr>
                <w:sz w:val="20"/>
                <w:szCs w:val="20"/>
                <w:color w:val="auto"/>
              </w:rPr>
            </w:pPr>
            <w:r>
              <w:rPr>
                <w:rFonts w:ascii="Arial" w:cs="Arial" w:eastAsia="Arial" w:hAnsi="Arial"/>
                <w:sz w:val="14"/>
                <w:szCs w:val="14"/>
                <w:b w:val="1"/>
                <w:bCs w:val="1"/>
                <w:color w:val="auto"/>
                <w:w w:val="96"/>
              </w:rPr>
              <w:t>Three months ended March 31, 2021 and 2022 (unaudited)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7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Treasury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3"/>
              <w:spacing w:after="0" w:line="13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$ 55,987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$ 111,545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($.20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Treasury stock:</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Acquired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8"/>
                <w:szCs w:val="18"/>
                <w:color w:val="auto"/>
              </w:rPr>
              <w:t>Retired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$ 55,232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$ 113,740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$ 54,780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$ 118,184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($.25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0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2022</w:t>
            </w:r>
          </w:p>
        </w:tc>
        <w:tc>
          <w:tcPr>
            <w:tcW w:w="1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$ 54,780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$ 120,073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174,977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20" w:type="dxa"/>
            <w:vAlign w:val="bottom"/>
          </w:tcPr>
          <w:p>
            <w:pPr>
              <w:jc w:val="center"/>
              <w:ind w:left="2950"/>
              <w:spacing w:after="0"/>
              <w:rPr>
                <w:sz w:val="20"/>
                <w:szCs w:val="20"/>
                <w:color w:val="auto"/>
              </w:rPr>
            </w:pPr>
            <w:r>
              <w:rPr>
                <w:rFonts w:ascii="Arial" w:cs="Arial" w:eastAsia="Arial" w:hAnsi="Arial"/>
                <w:sz w:val="18"/>
                <w:szCs w:val="18"/>
                <w:b w:val="1"/>
                <w:bCs w:val="1"/>
                <w:color w:val="auto"/>
              </w:rPr>
              <w:t>COMPX INTERNATIONAL INC.</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40" w:type="dxa"/>
            <w:vAlign w:val="bottom"/>
            <w:gridSpan w:val="4"/>
          </w:tcPr>
          <w:p>
            <w:pPr>
              <w:jc w:val="center"/>
              <w:ind w:left="15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tcPr>
          <w:p>
            <w:pPr>
              <w:jc w:val="center"/>
              <w:ind w:left="293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27"/>
              <w:spacing w:after="0" w:line="196" w:lineRule="exact"/>
              <w:rPr>
                <w:sz w:val="20"/>
                <w:szCs w:val="20"/>
                <w:color w:val="auto"/>
              </w:rPr>
            </w:pPr>
            <w:r>
              <w:rPr>
                <w:rFonts w:ascii="Arial" w:cs="Arial" w:eastAsia="Arial" w:hAnsi="Arial"/>
                <w:sz w:val="18"/>
                <w:szCs w:val="18"/>
                <w:b w:val="1"/>
                <w:bCs w:val="1"/>
                <w:color w:val="auto"/>
              </w:rPr>
              <w:t>(unaudited)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4,685</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00"/>
              <w:spacing w:after="0"/>
              <w:rPr>
                <w:sz w:val="20"/>
                <w:szCs w:val="20"/>
                <w:color w:val="auto"/>
              </w:rPr>
            </w:pPr>
            <w:r>
              <w:rPr>
                <w:rFonts w:ascii="Arial" w:cs="Arial" w:eastAsia="Arial" w:hAnsi="Arial"/>
                <w:sz w:val="18"/>
                <w:szCs w:val="18"/>
                <w:color w:val="auto"/>
              </w:rPr>
              <w:t>Accounts with affiliates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Prepaids and other, net</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used in operating activities</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Note receivable from affiliate:</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Collections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Advances</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acquired</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used in financing activities</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and cash equivalents - net change from:</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investing and financing activities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beginning of period</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64,747</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446</w:t>
            </w:r>
          </w:p>
        </w:tc>
        <w:tc>
          <w:tcPr>
            <w:tcW w:w="680" w:type="dxa"/>
            <w:vAlign w:val="bottom"/>
            <w:gridSpan w:val="2"/>
          </w:tcPr>
          <w:p>
            <w:pPr>
              <w:jc w:val="right"/>
              <w:ind w:right="147"/>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904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We (NYSE American: CIX) were approximately 87% owned by NL Industries, Inc. (NYSE: NL) at</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2022. At March 31, 2022,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2022 Ms. Simmons and the Family Trust may be deemed to control Contran, and therefore may be deemed to indirectly control the wholly-owned subsidiary of Contran, Valhi, NL and us.</w:t>
      </w:r>
    </w:p>
    <w:p>
      <w:pPr>
        <w:spacing w:after="0" w:line="18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The unaudited Condensed Consolidated Financial Statements contained in this Quarterly Report have been prepared on the same basis as the audited Consolidated Financial Statements included in our Annual Report on Form 10-K for the year ended December 31, 2021 that we filed with the Securities and Exchange Commission (“SEC”) on March 2, 2022 (the “2021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2021 contained in this Quarterly Report as compared to our audited Consolidated Financial Statements at that date, and we have omitted certain information and footnote disclosures (including those related to the Consolidated Balance Sheet at December 31, 2021) normally included in financial statements prepared in accordance with accounting principles generally accepted in the United States of America (“GAAP”). Our results of operations for the interim period ended March 31, 2022 may not be indicative of our operating results for the full year. The Condensed Consolidated Financial Statements contained in this Quarterly Report should be read in conjunction with our 2021 Consolidated Financial Statements contained in our 2021 Annual Report.</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March 31, 2021 December 31, 2021 and March 31, 2022. The actual dates of our annual and quarterly periods are April 4, 2021, January 2, 2022 and April 3, 2022, respectively. Unless otherwise indicated, references in this report to “we”, “us” or “our” refer to CompX International Inc. and its subsidiaries, taken as a whole.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Business segment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3"/>
              </w:rPr>
              <w:t>March 31,</w:t>
            </w: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8"/>
          </w:tcPr>
          <w:p>
            <w:pPr>
              <w:jc w:val="center"/>
              <w:ind w:right="120"/>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25,885</w:t>
            </w:r>
          </w:p>
        </w:tc>
        <w:tc>
          <w:tcPr>
            <w:tcW w:w="20" w:type="dxa"/>
            <w:vAlign w:val="bottom"/>
          </w:tcPr>
          <w:p>
            <w:pPr>
              <w:spacing w:after="0"/>
              <w:rPr>
                <w:sz w:val="18"/>
                <w:szCs w:val="18"/>
                <w:color w:val="auto"/>
              </w:rPr>
            </w:pPr>
          </w:p>
        </w:tc>
        <w:tc>
          <w:tcPr>
            <w:tcW w:w="500" w:type="dxa"/>
            <w:vAlign w:val="bottom"/>
            <w:gridSpan w:val="4"/>
          </w:tcPr>
          <w:p>
            <w:pPr>
              <w:ind w:left="2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35,924</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42,050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Products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Marine Components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operating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Total operating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640"/>
              <w:spacing w:after="0"/>
              <w:rPr>
                <w:sz w:val="20"/>
                <w:szCs w:val="20"/>
                <w:color w:val="auto"/>
              </w:rPr>
            </w:pPr>
            <w:r>
              <w:rPr>
                <w:rFonts w:ascii="Arial" w:cs="Arial" w:eastAsia="Arial" w:hAnsi="Arial"/>
                <w:sz w:val="18"/>
                <w:szCs w:val="18"/>
                <w:color w:val="auto"/>
              </w:rPr>
              <w:t>Intersegment sales are not material.</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3 – Accounts receivable,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8"/>
          </w:tcPr>
          <w:p>
            <w:pPr>
              <w:jc w:val="center"/>
              <w:ind w:right="120"/>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12,896</w:t>
            </w:r>
          </w:p>
        </w:tc>
        <w:tc>
          <w:tcPr>
            <w:tcW w:w="20" w:type="dxa"/>
            <w:vAlign w:val="bottom"/>
          </w:tcPr>
          <w:p>
            <w:pPr>
              <w:spacing w:after="0"/>
              <w:rPr>
                <w:sz w:val="18"/>
                <w:szCs w:val="18"/>
                <w:color w:val="auto"/>
              </w:rPr>
            </w:pPr>
          </w:p>
        </w:tc>
        <w:tc>
          <w:tcPr>
            <w:tcW w:w="5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accounts receivable, net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17,755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Note 4 – Inventories, net: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7"/>
          </w:tcPr>
          <w:p>
            <w:pPr>
              <w:jc w:val="center"/>
              <w:ind w:right="10"/>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3,640</w:t>
            </w:r>
          </w:p>
        </w:tc>
        <w:tc>
          <w:tcPr>
            <w:tcW w:w="20" w:type="dxa"/>
            <w:vAlign w:val="bottom"/>
          </w:tcPr>
          <w:p>
            <w:pPr>
              <w:spacing w:after="0"/>
              <w:rPr>
                <w:sz w:val="18"/>
                <w:szCs w:val="18"/>
                <w:color w:val="auto"/>
              </w:rPr>
            </w:pPr>
          </w:p>
        </w:tc>
        <w:tc>
          <w:tcPr>
            <w:tcW w:w="5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raw materials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work-in-process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16,767</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finished goods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inventories, net</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8" w:name="page9"/>
    <w:bookmarkEnd w:id="8"/>
    <w:tbl>
      <w:tblPr>
        <w:tblLayout w:type="fixed"/>
        <w:tblInd w:w="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7"/>
          </w:tcPr>
          <w:p>
            <w:pPr>
              <w:jc w:val="right"/>
              <w:ind w:right="900"/>
              <w:spacing w:after="0" w:line="196" w:lineRule="exact"/>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2,594</w:t>
            </w:r>
          </w:p>
        </w:tc>
        <w:tc>
          <w:tcPr>
            <w:tcW w:w="460" w:type="dxa"/>
            <w:vAlign w:val="bottom"/>
            <w:gridSpan w:val="3"/>
          </w:tcPr>
          <w:p>
            <w:pPr>
              <w:jc w:val="right"/>
              <w:ind w:right="87"/>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3,107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benefits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4,781</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Customer tooling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other than on income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653</w:t>
            </w:r>
          </w:p>
        </w:tc>
        <w:tc>
          <w:tcPr>
            <w:tcW w:w="0" w:type="dxa"/>
            <w:vAlign w:val="bottom"/>
          </w:tcPr>
          <w:p>
            <w:pPr>
              <w:spacing w:after="0"/>
              <w:rPr>
                <w:sz w:val="1"/>
                <w:szCs w:val="1"/>
                <w:color w:val="auto"/>
              </w:rPr>
            </w:pPr>
          </w:p>
        </w:tc>
      </w:tr>
      <w:tr>
        <w:trPr>
          <w:trHeight w:val="209"/>
        </w:trPr>
        <w:tc>
          <w:tcPr>
            <w:tcW w:w="5580" w:type="dxa"/>
            <w:vAlign w:val="bottom"/>
          </w:tcPr>
          <w:p>
            <w:pPr>
              <w:ind w:left="420"/>
              <w:spacing w:after="0"/>
              <w:rPr>
                <w:sz w:val="20"/>
                <w:szCs w:val="20"/>
                <w:color w:val="auto"/>
              </w:rPr>
            </w:pPr>
            <w:r>
              <w:rPr>
                <w:rFonts w:ascii="Arial" w:cs="Arial" w:eastAsia="Arial" w:hAnsi="Arial"/>
                <w:sz w:val="18"/>
                <w:szCs w:val="18"/>
                <w:color w:val="auto"/>
              </w:rPr>
              <w:t>Total accounts payable and accrued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14,724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11,630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center"/>
              <w:ind w:left="490"/>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Expected tax expense, at the U.S. federal statutory income tax rate of 21%</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State income taxes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FDII benefit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provision for income taxes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use cash on hand to acquire the shares. Repurchased shares will be added to our treasury and cancelled.</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During the first quarter of 2021, we purchased 50,000 shares of our Class A common stock in a market transaction for approximately $.8 million. We cancelled these treasury shares and allocated their cost to common stock at par value and additional paid-in capital. We made no treasury purchases during the first quarter of 2022. At March 31, 2022, 602,547 shares were available for purchase under prior repurchase authorizations.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Note 8 – Financial instruments: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March 31, 2022</w:t>
            </w:r>
          </w:p>
        </w:tc>
      </w:tr>
      <w:tr>
        <w:trPr>
          <w:trHeight w:val="191"/>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70,205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70,205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17,755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17,755</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5,126</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Due to their near-term maturities, the carrying amounts of accounts receivable and accounts payable are considered equivalent to fair value.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$30 million. Our loan to Valhi, as amended, bears interest at prime plus 1.00%, payable quarterly, with all principal due on demand, but in any event no earlier than December 31, 2023. Loans made to Valhi at any time under the agreement are at our discretion. At March 31, 2022, the outstanding principal balance receivable from Valhi under the promissory note was $18.1 million. Interest income (including unused commitment fees) on our loan to Valhi was $.3 million and $.2 million for the three months ended March 31, 2021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1340" w:right="7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82"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jc w:val="both"/>
        <w:ind w:left="1040" w:right="79" w:hanging="315"/>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 w:lineRule="exact"/>
        <w:rPr>
          <w:rFonts w:ascii="Arial" w:cs="Arial" w:eastAsia="Arial" w:hAnsi="Arial"/>
          <w:sz w:val="16"/>
          <w:szCs w:val="16"/>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62"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w:t>
      </w:r>
    </w:p>
    <w:p>
      <w:pPr>
        <w:spacing w:after="0" w:line="339" w:lineRule="exact"/>
        <w:rPr>
          <w:rFonts w:ascii="Arial" w:cs="Arial" w:eastAsia="Arial" w:hAnsi="Arial"/>
          <w:sz w:val="16"/>
          <w:szCs w:val="16"/>
          <w:color w:val="auto"/>
        </w:rPr>
      </w:pPr>
    </w:p>
    <w:p>
      <w:pPr>
        <w:ind w:left="4420" w:hanging="108"/>
        <w:spacing w:after="0"/>
        <w:tabs>
          <w:tab w:leader="none" w:pos="4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1040" w:right="79"/>
        <w:spacing w:after="0" w:line="308" w:lineRule="auto"/>
        <w:rPr>
          <w:sz w:val="20"/>
          <w:szCs w:val="20"/>
          <w:color w:val="auto"/>
        </w:rPr>
      </w:pPr>
      <w:r>
        <w:rPr>
          <w:rFonts w:ascii="Arial" w:cs="Arial" w:eastAsia="Arial" w:hAnsi="Arial"/>
          <w:sz w:val="17"/>
          <w:szCs w:val="17"/>
          <w:color w:val="auto"/>
        </w:rPr>
        <w:t>to operate our facilities (including changes in the level of gross domestic product in various regions of the world, natural disasters, terrorist acts, global conflicts and public health crises such as COVID-19),</w:t>
      </w:r>
    </w:p>
    <w:p>
      <w:pPr>
        <w:spacing w:after="0" w:line="38" w:lineRule="exact"/>
        <w:rPr>
          <w:sz w:val="20"/>
          <w:szCs w:val="20"/>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the first quarter of 2022 operating income increased to $6.3 million compared to $5.8 million in the first quarter of 2021. The increase in operating income in the first quarter of 2022 compared to 2021 is primarily due to higher sales for both the Security Products and Marine Components segments somewhat offset by increased production costs.</w:t>
      </w:r>
    </w:p>
    <w:p>
      <w:pPr>
        <w:spacing w:after="0" w:line="4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Three months ended</w:t>
      </w:r>
    </w:p>
    <w:p>
      <w:pP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40" w:type="dxa"/>
            <w:vAlign w:val="bottom"/>
            <w:vMerge w:val="continue"/>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thousands)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35,924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100.0 % </w:t>
            </w: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42,050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24,889</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29,970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margin</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11,035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12,080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costs and expenses</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5,774</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income</w:t>
            </w:r>
          </w:p>
        </w:tc>
        <w:tc>
          <w:tcPr>
            <w:tcW w:w="1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$6.1 million in the first quarter of 2022 compared to the same period in 2021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Security Products sales across a variety of markets and, to a lesser extent, higher Marine Components sales primarily to the towboat market.</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i w:val="1"/>
          <w:iCs w:val="1"/>
          <w:color w:val="auto"/>
        </w:rPr>
        <w:t xml:space="preserve">Cost of sales and gross margin. </w:t>
      </w:r>
      <w:r>
        <w:rPr>
          <w:rFonts w:ascii="Arial" w:cs="Arial" w:eastAsia="Arial" w:hAnsi="Arial"/>
          <w:sz w:val="17"/>
          <w:szCs w:val="17"/>
          <w:color w:val="auto"/>
        </w:rPr>
        <w:t>Cost of sales as a percentage of sales increased 2.0% in the first quarter of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2021. As a result, gross margin as a percentage of sales decreased over the same period. Gross margin percentage decreased in the first quarter of 2022 compared to the same period in 2021 due to increased production costs at both Security Products and Marine Components. See segment discussion below.</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sales commissions and advertising expenses directly related to product sales and administrative costs relating to business unit and corporate management activities, as well as any gains and losses on property and equipment. Operating costs and expenses for the first quarter of 2022 were higher than the same period in 2021 due to higher salary and benefit costs which increased by $.2 million, as well as higher costs for advertising, travel, information technology, and employee recruiting. Operating costs and expenses as a percentage of net sales decreased in 2022 due to the effect of higher sales.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for the first quarter of 2022 decreased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of 2021 and was primarily impacted by the factors impacting cost of sales, gross margin and operating costs. See segment discussion below.</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is included in Note 6 to the Condensed Consolidated Financial Statements. Our operations are wholly within the U.S. and therefore our effective income tax rate is primarily reflective of the U.S. federal statutory rate and applicable state taxes.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11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537"/>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w:t>
            </w:r>
          </w:p>
        </w:tc>
        <w:tc>
          <w:tcPr>
            <w:tcW w:w="32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60" w:type="dxa"/>
            <w:vAlign w:val="bottom"/>
            <w:gridSpan w:val="2"/>
            <w:vMerge w:val="continue"/>
          </w:tcPr>
          <w:p>
            <w:pPr>
              <w:spacing w:after="0"/>
              <w:rPr>
                <w:sz w:val="11"/>
                <w:szCs w:val="11"/>
                <w:color w:val="auto"/>
              </w:rPr>
            </w:pPr>
          </w:p>
        </w:tc>
        <w:tc>
          <w:tcPr>
            <w:tcW w:w="12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2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Net sales</w:t>
            </w:r>
          </w:p>
        </w:tc>
        <w:tc>
          <w:tcPr>
            <w:tcW w:w="1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25,885</w:t>
            </w:r>
          </w:p>
        </w:tc>
        <w:tc>
          <w:tcPr>
            <w:tcW w:w="20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29,581</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20,500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9,081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costs and expenses</w:t>
            </w:r>
          </w:p>
        </w:tc>
        <w:tc>
          <w:tcPr>
            <w:tcW w:w="1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6,010</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31.8 %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30.7 %</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Security Products net sales increased 14% in the first quarter of 2022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last year. Relative to the first quarter of 2021, sales were $1.4 million higher to the government security market, $.9 million higher to distributors, and $.7 million higher to the office furniture market. Gross margin as a percentage of net sales for the first quarter of 2022 declined as compared to 2021 as increased coverage of fixed costs from higher sales were more than offset by higher production costs including increased raw material costs across a variety of commodities and component inputs, higher shipping costs, and increased labor costs due to higher wages, overtime costs and increased headcount. Operating income as a percentage of net sales decreased in the first quarter of 2022 compared to the first quarter of 2021 due to the factors impacting gross margin, partially offset by increased coverage of operating costs and expenses from higher sales.</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537"/>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w:t>
            </w:r>
          </w:p>
        </w:tc>
        <w:tc>
          <w:tcPr>
            <w:tcW w:w="32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60" w:type="dxa"/>
            <w:vAlign w:val="bottom"/>
            <w:gridSpan w:val="2"/>
            <w:vMerge w:val="continue"/>
          </w:tcPr>
          <w:p>
            <w:pPr>
              <w:spacing w:after="0"/>
              <w:rPr>
                <w:sz w:val="15"/>
                <w:szCs w:val="15"/>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Marine Components: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Net sales</w:t>
            </w:r>
          </w:p>
        </w:tc>
        <w:tc>
          <w:tcPr>
            <w:tcW w:w="1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10,039</w:t>
            </w:r>
          </w:p>
        </w:tc>
        <w:tc>
          <w:tcPr>
            <w:tcW w:w="20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12,469</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2,999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costs and expenses</w:t>
            </w:r>
          </w:p>
        </w:tc>
        <w:tc>
          <w:tcPr>
            <w:tcW w:w="1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27.9 %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24.1 %</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i w:val="1"/>
          <w:iCs w:val="1"/>
          <w:color w:val="auto"/>
        </w:rPr>
        <w:t>Marine Components</w:t>
      </w:r>
      <w:r>
        <w:rPr>
          <w:rFonts w:ascii="Arial" w:cs="Arial" w:eastAsia="Arial" w:hAnsi="Arial"/>
          <w:sz w:val="16"/>
          <w:szCs w:val="16"/>
          <w:color w:val="auto"/>
        </w:rPr>
        <w:t>. Marine Components net sales increased 24% in the first quarter of 2022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last year primarily due to increased sales of $2.0 million to several original equipment boat manufacturers in the towboat market. Gross margin as a percentage of sales decreased in the first quarter of 2022 compared to the same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jc w:val="both"/>
        <w:ind w:left="60" w:right="59"/>
        <w:spacing w:after="0" w:line="275" w:lineRule="auto"/>
        <w:rPr>
          <w:sz w:val="20"/>
          <w:szCs w:val="20"/>
          <w:color w:val="auto"/>
        </w:rPr>
      </w:pPr>
      <w:r>
        <w:rPr>
          <w:rFonts w:ascii="Arial" w:cs="Arial" w:eastAsia="Arial" w:hAnsi="Arial"/>
          <w:sz w:val="17"/>
          <w:szCs w:val="17"/>
          <w:color w:val="auto"/>
        </w:rPr>
        <w:t>period last year due to higher cost of sales driven by higher raw materials (primarily stainless steel and aluminum), higher shipping costs, and increased labor costs resulting from higher wages, overtime costs and increased headcount, partially offset by increased coverage of fixed costs from higher sales. Operating income as a percentage of net sales decreased in the first quarter of 2022 compared to the first quarter of 2021 due to the factors impacting gross margin, partially offset by increased coverage of operating costs and expenses from higher sales.</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During the first quarter of 2022, we experienced strong demand at both our segments. We operated our</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facilities at elevated production rates during the quarter in line with improved demand, although labor markets are tight in each of the regions in which we operate and, as a result, we have experienced and continue to have challenges maintaining staffing levels aligned with current and forecasted demand, particularly at our Marine Components segment.</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Based on current market conditions, we expect demand levels to remain strong in 2022 and we expect to report increased net sales and operating income in 2022 compared to 2021. Our supply chains remain intact, although the current global and domestic supply chain disruptions continue to present challenges in sourcing certain raw materials due to increased lead times, availability shortages and transportation and logistics delays. Thus far we have been able to manage through these disruptions with minimal impact on our operations. In addition, we are experiencing increased production costs including higher labor, shipping, and increasing costs of many of the raw materials we use including zinc, brass, stainless steel and aluminum. In response, we implemented price increases and surcharges; however, the extent to which the price increases and surcharges will mitigate the rising costs is uncertain and we expect increasing production costs will continue to pressure gross margins in 2022 as inventory costs are expected to remain above prior year costs for the foreseeable future. Our operations teams meet frequently to ensure we are taking appropriate actions to minimize material or supply related operational disruptions, manage inventory levels, improve operating margins and to maintain a safe working environment for all our employees.</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expectations for our operations and the markets we serve are based on a number of factors outside our control. As noted above, there continue to be global and domestic supply chain challenges and any future impacts on our operations will depend on, among other things, any future disruption in our operations or our suppliers’ operations, demand for our products and the timing and effectiveness of the global measures deployed to fight COVID-19, particularly in China, all of which remain uncertain and cannot be predicted.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generally report a net use of cash from operating activities in the first three months of each year due to seasonal changes in the level of our working capital. Our net cash used by operating activities for the first three months of 2022 decreased by $.2 million as compared to the first three months of 2021. The decrease in net cash used is primarily due to the net effects of:</w:t>
      </w:r>
    </w:p>
    <w:p>
      <w:pPr>
        <w:spacing w:after="0" w:line="187"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 million increase in operating income in 2022,</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 million increase in cash paid for taxes in 2022 due to higher operating income and the relative timing of payments,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lower amount of net cash used by relative changes in our inventories, receivables, prepaids, payables and non-tax related accruals of approximately $.4 million in 2022, and</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$.1 million decrease in interest received in 2022 due to a lower average affiliate receivable balance.</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4420" w:hanging="111"/>
        <w:spacing w:after="0"/>
        <w:tabs>
          <w:tab w:leader="none" w:pos="4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jc w:val="both"/>
        <w:ind w:left="60" w:right="59" w:firstLine="648"/>
        <w:spacing w:after="0" w:line="259"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2021 to March 31, 2022 varied by segment primarily as a result of relative changes in the timing of collections. For comparative purposes, we have provided December 31, 2020 and March 31, 2021 numbers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400" w:type="dxa"/>
            <w:vAlign w:val="bottom"/>
            <w:gridSpan w:val="2"/>
          </w:tcPr>
          <w:p>
            <w:pPr>
              <w:ind w:left="1160"/>
              <w:spacing w:after="0"/>
              <w:rPr>
                <w:sz w:val="20"/>
                <w:szCs w:val="20"/>
                <w:color w:val="auto"/>
              </w:rPr>
            </w:pPr>
            <w:r>
              <w:rPr>
                <w:rFonts w:ascii="Arial" w:cs="Arial" w:eastAsia="Arial" w:hAnsi="Arial"/>
                <w:sz w:val="18"/>
                <w:szCs w:val="18"/>
                <w:b w:val="1"/>
                <w:bCs w:val="1"/>
                <w:color w:val="auto"/>
              </w:rPr>
              <w:t>Days Sales Outstanding: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r>
      <w:tr>
        <w:trPr>
          <w:trHeight w:val="209"/>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35 Days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 Days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 Days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24 Days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33 Days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30 Days</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31 Days</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33 Days</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43 Days</w:t>
            </w: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42 Days</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38 Days</w:t>
            </w:r>
          </w:p>
        </w:tc>
      </w:tr>
    </w:tbl>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Our average number of days in inventory decreased from December 31, 2021 to March 31, 2022 primarily due to sales growth at both segments in the first quarter of 2022. For comparative purposes, we have provided December 31, 2020 and March 31, 2021 numbers below.</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400" w:type="dxa"/>
            <w:vAlign w:val="bottom"/>
            <w:gridSpan w:val="2"/>
          </w:tcPr>
          <w:p>
            <w:pPr>
              <w:ind w:left="1380"/>
              <w:spacing w:after="0"/>
              <w:rPr>
                <w:sz w:val="20"/>
                <w:szCs w:val="20"/>
                <w:color w:val="auto"/>
              </w:rPr>
            </w:pPr>
            <w:r>
              <w:rPr>
                <w:rFonts w:ascii="Arial" w:cs="Arial" w:eastAsia="Arial" w:hAnsi="Arial"/>
                <w:sz w:val="18"/>
                <w:szCs w:val="18"/>
                <w:b w:val="1"/>
                <w:bCs w:val="1"/>
                <w:color w:val="auto"/>
              </w:rPr>
              <w:t>Days in Inventory: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75 Days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72 Days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95 Days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87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75 Days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54 Days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97 Days</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82 Days</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75 Days</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66 Days</w:t>
            </w: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96 Days</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85 Days</w:t>
            </w: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$1.7 million and $.6 million in the first three months of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respectively. During the first three months of 2022, Valhi repaid a net $.6 million under the promissory note ($7.1 million of gross borrowings and $7.7 million of gross repayments). During the first three months of 2021, Valhi repaid a net $.3 million under the promissory note ($11.6 million of gross borrowings and $11.9 million of gross repayments). See Note 9 to the Condensed Consolidated Financial Statements.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March 2022, our board of directors increased our regular quarterly dividend from $.20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to $.25 per share beginning in the first quarter of 2022.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addition, during the first quarter of 2021, we acquired 50,000 shares of our Class A common stock in a market transaction for $.8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jc w:val="both"/>
        <w:ind w:left="60" w:right="59" w:firstLine="648"/>
        <w:spacing w:after="0" w:line="255"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of our $70.2 million aggregate cash and cash equivalents at March 31, 2022 were held in the U.S.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March 31, 2022 totaled $.6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Our 2022 capital investments are primarily expenditures to meet our expected customer demand, improve capacity and efficiency and properly maintain our facilities and technology infrastructure.</w:t>
      </w:r>
    </w:p>
    <w:p>
      <w:pPr>
        <w:spacing w:after="0" w:line="184"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At March 31, 2022, we have 602,547 shares available for repurchase under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authorized by our board of directors. See Note 7 to our Condensed Consolidated Financial Statements.</w:t>
      </w:r>
    </w:p>
    <w:p>
      <w:pPr>
        <w:spacing w:after="0" w:line="124"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There have been no material changes in our contractual obligations since we</w:t>
      </w:r>
      <w:r>
        <w:rPr>
          <w:rFonts w:ascii="Arial" w:cs="Arial" w:eastAsia="Arial" w:hAnsi="Arial"/>
          <w:sz w:val="17"/>
          <w:szCs w:val="17"/>
          <w:i w:val="1"/>
          <w:iCs w:val="1"/>
          <w:color w:val="auto"/>
        </w:rPr>
        <w:t xml:space="preserve"> </w:t>
      </w:r>
      <w:r>
        <w:rPr>
          <w:rFonts w:ascii="Arial" w:cs="Arial" w:eastAsia="Arial" w:hAnsi="Arial"/>
          <w:sz w:val="17"/>
          <w:szCs w:val="17"/>
          <w:color w:val="auto"/>
        </w:rPr>
        <w:t>filed our 2021 Annual Report and we refer you to that report for a complete description of these commitments.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have been no changes in the first three months of 2022 with respect to our critical accounting policies presented in Management’s Discussion and Analysis of Financial Condition and Results of Operations in our 2021 Annual Report.</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2021 Annual Report, and we refer you to Part I, Item 7A – “Quantitative and Qualitative Disclosure About Market Risk” in our 2021 Annual Report. See also Note 8 to the Condensed Consolidated Financial Statements.</w:t>
      </w:r>
    </w:p>
    <w:p>
      <w:pPr>
        <w:spacing w:after="0" w:line="18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Michael S. Simmons, our Senior Vice President and Chief Financial Officer, has evaluated the design and operating effectiveness of our disclosure controls and procedures as of March 31, 2022. Based upon their evaluation, these executive officers have concluded that our disclosure controls and procedures are effective as of the date of such evaluation.</w:t>
      </w:r>
    </w:p>
    <w:p>
      <w:pPr>
        <w:spacing w:after="0" w:line="168" w:lineRule="exact"/>
        <w:rPr>
          <w:sz w:val="20"/>
          <w:szCs w:val="20"/>
          <w:color w:val="auto"/>
        </w:rPr>
      </w:pPr>
    </w:p>
    <w:p>
      <w:pPr>
        <w:jc w:val="both"/>
        <w:ind w:left="60" w:right="59" w:firstLine="648"/>
        <w:spacing w:after="0" w:line="314" w:lineRule="auto"/>
        <w:rPr>
          <w:sz w:val="20"/>
          <w:szCs w:val="20"/>
          <w:color w:val="auto"/>
        </w:rPr>
      </w:pPr>
      <w:r>
        <w:rPr>
          <w:rFonts w:ascii="Arial" w:cs="Arial" w:eastAsia="Arial" w:hAnsi="Arial"/>
          <w:sz w:val="16"/>
          <w:szCs w:val="16"/>
          <w:b w:val="1"/>
          <w:bCs w:val="1"/>
          <w:color w:val="auto"/>
        </w:rPr>
        <w:t>Internal Control Over Financial Reporting</w:t>
      </w:r>
      <w:r>
        <w:rPr>
          <w:rFonts w:ascii="Arial" w:cs="Arial" w:eastAsia="Arial" w:hAnsi="Arial"/>
          <w:sz w:val="16"/>
          <w:szCs w:val="16"/>
          <w:color w:val="auto"/>
        </w:rPr>
        <w:t>. Our management is responsible for establishing and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internal control over financial reporting which, as defined in Exchange Act Rule 13a-15(f), means a process designed by, or under the supervision of, our principal executive and principal financial officers, or persons performing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jc w:val="both"/>
        <w:ind w:left="60" w:right="59"/>
        <w:spacing w:after="0" w:line="311" w:lineRule="auto"/>
        <w:rPr>
          <w:sz w:val="20"/>
          <w:szCs w:val="20"/>
          <w:color w:val="auto"/>
        </w:rPr>
      </w:pPr>
      <w:r>
        <w:rPr>
          <w:rFonts w:ascii="Arial" w:cs="Arial" w:eastAsia="Arial" w:hAnsi="Arial"/>
          <w:sz w:val="16"/>
          <w:szCs w:val="16"/>
          <w:color w:val="auto"/>
        </w:rPr>
        <w:t>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49" w:lineRule="exact"/>
        <w:rPr>
          <w:sz w:val="20"/>
          <w:szCs w:val="20"/>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62"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7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during the quarter ended March 31, 2022 that have materially affected, or are reasonably likely to materially affect, our internal control over financial reporting.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 is made to the 2021 Annual Report for a discussion of risk factors related to our businesses.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792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78"/>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160" w:type="dxa"/>
            <w:vAlign w:val="bottom"/>
          </w:tcPr>
          <w:p>
            <w:pPr>
              <w:spacing w:after="0"/>
              <w:rPr>
                <w:sz w:val="24"/>
                <w:szCs w:val="24"/>
                <w:color w:val="auto"/>
              </w:rPr>
            </w:pPr>
          </w:p>
        </w:tc>
        <w:tc>
          <w:tcPr>
            <w:tcW w:w="7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92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Certification</w:t>
              </w:r>
            </w:hyperlink>
          </w:p>
        </w:tc>
        <w:tc>
          <w:tcPr>
            <w:tcW w:w="0" w:type="dxa"/>
            <w:vAlign w:val="bottom"/>
          </w:tcPr>
          <w:p>
            <w:pPr>
              <w:spacing w:after="0"/>
              <w:rPr>
                <w:sz w:val="1"/>
                <w:szCs w:val="1"/>
                <w:color w:val="auto"/>
              </w:rPr>
            </w:pPr>
          </w:p>
        </w:tc>
      </w:tr>
      <w:tr>
        <w:trPr>
          <w:trHeight w:val="304"/>
        </w:trPr>
        <w:tc>
          <w:tcPr>
            <w:tcW w:w="8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2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Certification</w:t>
              </w:r>
            </w:hyperlink>
          </w:p>
        </w:tc>
        <w:tc>
          <w:tcPr>
            <w:tcW w:w="70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restart"/>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Certification</w:t>
              </w:r>
            </w:hyperlink>
          </w:p>
        </w:tc>
        <w:tc>
          <w:tcPr>
            <w:tcW w:w="7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1"/>
                <w:szCs w:val="21"/>
                <w:color w:val="auto"/>
              </w:rPr>
            </w:pPr>
          </w:p>
        </w:tc>
        <w:tc>
          <w:tcPr>
            <w:tcW w:w="920" w:type="dxa"/>
            <w:vAlign w:val="bottom"/>
            <w:tcBorders>
              <w:bottom w:val="single" w:sz="8" w:color="0000EE"/>
            </w:tcBorders>
            <w:vMerge w:val="continue"/>
          </w:tcPr>
          <w:p>
            <w:pPr>
              <w:spacing w:after="0"/>
              <w:rPr>
                <w:sz w:val="21"/>
                <w:szCs w:val="21"/>
                <w:color w:val="auto"/>
              </w:rPr>
            </w:pPr>
          </w:p>
        </w:tc>
        <w:tc>
          <w:tcPr>
            <w:tcW w:w="7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920" w:type="dxa"/>
            <w:vAlign w:val="bottom"/>
            <w:gridSpan w:val="2"/>
            <w:vMerge w:val="restart"/>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3"/>
                <w:szCs w:val="23"/>
                <w:color w:val="auto"/>
              </w:rPr>
            </w:pPr>
          </w:p>
        </w:tc>
        <w:tc>
          <w:tcPr>
            <w:tcW w:w="7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9019"/>
          </w:cols>
          <w:pgMar w:left="1440" w:top="125" w:right="1440" w:bottom="1440" w:gutter="0" w:footer="0" w:header="0"/>
        </w:sectPr>
      </w:pPr>
    </w:p>
    <w:p>
      <w:pPr>
        <w:spacing w:after="0" w:line="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101.CAL</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101.DEF</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101.LAB</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Calculation Linkbase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Definition Linkbase</w:t>
      </w:r>
    </w:p>
    <w:p>
      <w:pPr>
        <w:spacing w:after="0" w:line="169" w:lineRule="exact"/>
        <w:rPr>
          <w:sz w:val="20"/>
          <w:szCs w:val="20"/>
          <w:color w:val="auto"/>
        </w:rPr>
      </w:pPr>
    </w:p>
    <w:p>
      <w:pPr>
        <w:ind w:right="3819"/>
        <w:spacing w:after="0" w:line="342" w:lineRule="auto"/>
        <w:rPr>
          <w:sz w:val="20"/>
          <w:szCs w:val="20"/>
          <w:color w:val="auto"/>
        </w:rPr>
      </w:pPr>
      <w:r>
        <w:rPr>
          <w:rFonts w:ascii="Arial" w:cs="Arial" w:eastAsia="Arial" w:hAnsi="Arial"/>
          <w:sz w:val="16"/>
          <w:szCs w:val="16"/>
          <w:color w:val="auto"/>
        </w:rPr>
        <w:t>Inline XBRL Taxonomy Extension Label Linkbase Inline XBRL Taxonomy Extension Presentation Linkbase</w:t>
      </w:r>
    </w:p>
    <w:p>
      <w:pPr>
        <w:spacing w:after="0" w:line="16" w:lineRule="exact"/>
        <w:rPr>
          <w:sz w:val="20"/>
          <w:szCs w:val="20"/>
          <w:color w:val="auto"/>
        </w:rPr>
      </w:pPr>
    </w:p>
    <w:p>
      <w:pPr>
        <w:sectPr>
          <w:pgSz w:w="11900" w:h="16838" w:orient="portrait"/>
          <w:cols w:equalWidth="0" w:num="2">
            <w:col w:w="740" w:space="300"/>
            <w:col w:w="7979"/>
          </w:cols>
          <w:pgMar w:left="1440" w:top="125" w:right="1440" w:bottom="1440" w:gutter="0" w:footer="0" w:header="0"/>
          <w:type w:val="continuous"/>
        </w:sectPr>
      </w:pPr>
    </w:p>
    <w:p>
      <w:pPr>
        <w:ind w:left="1040" w:hanging="984"/>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4420" w:hanging="111"/>
        <w:spacing w:after="0"/>
        <w:tabs>
          <w:tab w:leader="none" w:pos="4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6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(Registrant)</w:t>
            </w:r>
          </w:p>
        </w:tc>
        <w:tc>
          <w:tcPr>
            <w:tcW w:w="800" w:type="dxa"/>
            <w:vAlign w:val="bottom"/>
          </w:tcPr>
          <w:p>
            <w:pPr>
              <w:spacing w:after="0"/>
              <w:rPr>
                <w:sz w:val="20"/>
                <w:szCs w:val="20"/>
                <w:color w:val="auto"/>
              </w:rPr>
            </w:pP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May 3, 2022</w:t>
            </w:r>
          </w:p>
        </w:tc>
        <w:tc>
          <w:tcPr>
            <w:tcW w:w="5880" w:type="dxa"/>
            <w:vAlign w:val="bottom"/>
            <w:gridSpan w:val="4"/>
          </w:tcPr>
          <w:p>
            <w:pPr>
              <w:ind w:left="1640"/>
              <w:spacing w:after="0"/>
              <w:rPr>
                <w:sz w:val="20"/>
                <w:szCs w:val="20"/>
                <w:color w:val="auto"/>
              </w:rPr>
            </w:pPr>
            <w:r>
              <w:rPr>
                <w:rFonts w:ascii="Arial" w:cs="Arial" w:eastAsia="Arial" w:hAnsi="Arial"/>
                <w:sz w:val="18"/>
                <w:szCs w:val="18"/>
                <w:color w:val="auto"/>
              </w:rPr>
              <w:t>By: /s/ Michael S. Simmons</w:t>
            </w:r>
          </w:p>
        </w:tc>
      </w:tr>
      <w:tr>
        <w:trPr>
          <w:trHeight w:val="195"/>
        </w:trPr>
        <w:tc>
          <w:tcPr>
            <w:tcW w:w="3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Michael S. Simmons</w:t>
            </w:r>
          </w:p>
        </w:tc>
      </w:tr>
      <w:tr>
        <w:trPr>
          <w:trHeight w:val="230"/>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020" w:type="dxa"/>
            <w:vAlign w:val="bottom"/>
          </w:tcPr>
          <w:p>
            <w:pPr>
              <w:spacing w:after="0"/>
              <w:rPr>
                <w:sz w:val="24"/>
                <w:szCs w:val="24"/>
                <w:color w:val="auto"/>
              </w:rPr>
            </w:pPr>
          </w:p>
        </w:tc>
        <w:tc>
          <w:tcPr>
            <w:tcW w:w="5880" w:type="dxa"/>
            <w:vAlign w:val="bottom"/>
            <w:gridSpan w:val="4"/>
          </w:tcPr>
          <w:p>
            <w:pPr>
              <w:ind w:left="1640"/>
              <w:spacing w:after="0"/>
              <w:rPr>
                <w:sz w:val="20"/>
                <w:szCs w:val="20"/>
                <w:color w:val="auto"/>
              </w:rPr>
            </w:pPr>
            <w:r>
              <w:rPr>
                <w:rFonts w:ascii="Arial" w:cs="Arial" w:eastAsia="Arial" w:hAnsi="Arial"/>
                <w:sz w:val="18"/>
                <w:szCs w:val="18"/>
                <w:color w:val="auto"/>
              </w:rPr>
              <w:t>By: /s/ Amy E. Ruf</w:t>
            </w:r>
          </w:p>
        </w:tc>
      </w:tr>
      <w:tr>
        <w:trPr>
          <w:trHeight w:val="195"/>
        </w:trPr>
        <w:tc>
          <w:tcPr>
            <w:tcW w:w="3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Amy E. Ruf</w:t>
            </w:r>
          </w:p>
        </w:tc>
      </w:tr>
      <w:tr>
        <w:trPr>
          <w:trHeight w:val="230"/>
        </w:trPr>
        <w:tc>
          <w:tcPr>
            <w:tcW w:w="3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660" w:right="20" w:hanging="328"/>
        <w:spacing w:after="0" w:line="286"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25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 Simmons,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183"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14605</wp:posOffset>
            </wp:positionV>
            <wp:extent cx="3042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Michael S. Simmons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CompX International Inc. (the Company) on Form 10-Q for the period ending March 31, 2022, as filed with the Securities and Exchange Commission on the date hereof (the Report), I, Scott C. James, President and Chief Executive Officer of the Company and I, Michael S. Simmons, Senior Vice President and Chief Financial Officer of the Company, certify, pursuant to 18 U.S.C. §1350, as adopted pursuant to §906 of the Sarbanes-Oxley Act of 2002, that:</w:t>
      </w:r>
    </w:p>
    <w:p>
      <w:pPr>
        <w:spacing w:after="0" w:line="1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42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3042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Michael S. Simmons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04"/>
    </w:lvl>
    <w:lvl w:ilvl="1">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2022-05-03T15:37:22Z</dcterms:created>
  <dcterms:modified xsi:type="dcterms:W3CDTF">2022-05-03T15:37:22Z</dcterms:modified>
</cp:coreProperties>
</file>