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1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53975</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78105</wp:posOffset>
            </wp:positionV>
            <wp:extent cx="162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153" w:lineRule="exact"/>
        <w:rPr>
          <w:sz w:val="24"/>
          <w:szCs w:val="24"/>
          <w:color w:val="auto"/>
        </w:rPr>
      </w:pPr>
    </w:p>
    <w:p>
      <w:pPr>
        <w:ind w:left="2860" w:right="1560" w:hanging="1307"/>
        <w:spacing w:after="0" w:line="262" w:lineRule="auto"/>
        <w:tabs>
          <w:tab w:leader="none" w:pos="219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June 30, 2025</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70" w:lineRule="exact"/>
        <w:rPr>
          <w:sz w:val="24"/>
          <w:szCs w:val="24"/>
          <w:color w:val="auto"/>
        </w:rPr>
      </w:pPr>
    </w:p>
    <w:p>
      <w:pPr>
        <w:ind w:left="2860" w:right="1560" w:hanging="1315"/>
        <w:spacing w:after="0" w:line="262" w:lineRule="auto"/>
        <w:tabs>
          <w:tab w:leader="none" w:pos="2185"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30"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 to _________</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1-13905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124460</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COMPX INTERNATIONAL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133985</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17" w:lineRule="exact"/>
        <w:rPr>
          <w:sz w:val="24"/>
          <w:szCs w:val="24"/>
          <w:color w:val="auto"/>
        </w:rPr>
      </w:pPr>
    </w:p>
    <w:p>
      <w:pPr>
        <w:ind w:left="1980"/>
        <w:spacing w:after="0"/>
        <w:tabs>
          <w:tab w:leader="none" w:pos="726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57-0981653</w:t>
      </w:r>
    </w:p>
    <w:p>
      <w:pPr>
        <w:spacing w:after="0" w:line="31" w:lineRule="exact"/>
        <w:rPr>
          <w:sz w:val="24"/>
          <w:szCs w:val="24"/>
          <w:color w:val="auto"/>
        </w:rPr>
      </w:pPr>
    </w:p>
    <w:p>
      <w:pPr>
        <w:ind w:left="1380"/>
        <w:spacing w:after="0"/>
        <w:tabs>
          <w:tab w:leader="none" w:pos="7100" w:val="left"/>
        </w:tabs>
        <w:rPr>
          <w:sz w:val="20"/>
          <w:szCs w:val="20"/>
          <w:color w:val="auto"/>
        </w:rPr>
      </w:pPr>
      <w:r>
        <w:rPr>
          <w:rFonts w:ascii="Times New Roman" w:cs="Times New Roman" w:eastAsia="Times New Roman" w:hAnsi="Times New Roman"/>
          <w:sz w:val="18"/>
          <w:szCs w:val="18"/>
          <w:b w:val="1"/>
          <w:bCs w:val="1"/>
          <w:color w:val="auto"/>
        </w:rPr>
        <w:t>(State or other jurisdiction of</w:t>
      </w:r>
      <w:r>
        <w:rPr>
          <w:sz w:val="20"/>
          <w:szCs w:val="20"/>
          <w:color w:val="auto"/>
        </w:rPr>
        <w:tab/>
      </w: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ind w:left="1320"/>
        <w:spacing w:after="0"/>
        <w:tabs>
          <w:tab w:leader="none" w:pos="6980" w:val="left"/>
        </w:tabs>
        <w:rPr>
          <w:sz w:val="20"/>
          <w:szCs w:val="20"/>
          <w:color w:val="auto"/>
        </w:rPr>
      </w:pPr>
      <w:r>
        <w:rPr>
          <w:rFonts w:ascii="Times New Roman" w:cs="Times New Roman" w:eastAsia="Times New Roman" w:hAnsi="Times New Roman"/>
          <w:sz w:val="18"/>
          <w:szCs w:val="18"/>
          <w:b w:val="1"/>
          <w:bCs w:val="1"/>
          <w:color w:val="auto"/>
        </w:rPr>
        <w:t>incorporation or organization)</w:t>
      </w:r>
      <w:r>
        <w:rPr>
          <w:sz w:val="20"/>
          <w:szCs w:val="20"/>
          <w:color w:val="auto"/>
        </w:rPr>
        <w:tab/>
      </w:r>
      <w:r>
        <w:rPr>
          <w:rFonts w:ascii="Times New Roman" w:cs="Times New Roman" w:eastAsia="Times New Roman" w:hAnsi="Times New Roman"/>
          <w:sz w:val="18"/>
          <w:szCs w:val="18"/>
          <w:b w:val="1"/>
          <w:bCs w:val="1"/>
          <w:color w:val="auto"/>
        </w:rPr>
        <w:t>Identification No.)</w:t>
      </w:r>
    </w:p>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5430 LBJ Freeway, Suite 1700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Dallas, Texas 75240-2620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(972) 448-1400</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1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20" w:type="dxa"/>
            <w:vAlign w:val="bottom"/>
          </w:tcPr>
          <w:p>
            <w:pPr>
              <w:spacing w:after="0"/>
              <w:rPr>
                <w:sz w:val="18"/>
                <w:szCs w:val="18"/>
                <w:color w:val="auto"/>
              </w:rPr>
            </w:pPr>
          </w:p>
        </w:tc>
      </w:tr>
      <w:tr>
        <w:trPr>
          <w:trHeight w:val="311"/>
        </w:trPr>
        <w:tc>
          <w:tcPr>
            <w:tcW w:w="20" w:type="dxa"/>
            <w:vAlign w:val="bottom"/>
          </w:tcPr>
          <w:p>
            <w:pPr>
              <w:spacing w:after="0"/>
              <w:rPr>
                <w:sz w:val="24"/>
                <w:szCs w:val="24"/>
                <w:color w:val="auto"/>
              </w:rPr>
            </w:pPr>
          </w:p>
        </w:tc>
        <w:tc>
          <w:tcPr>
            <w:tcW w:w="4120" w:type="dxa"/>
            <w:vAlign w:val="bottom"/>
            <w:gridSpan w:val="3"/>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0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4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10"/>
        </w:trPr>
        <w:tc>
          <w:tcPr>
            <w:tcW w:w="20" w:type="dxa"/>
            <w:vAlign w:val="bottom"/>
          </w:tcPr>
          <w:p>
            <w:pPr>
              <w:spacing w:after="0"/>
              <w:rPr>
                <w:sz w:val="18"/>
                <w:szCs w:val="18"/>
                <w:color w:val="auto"/>
              </w:rPr>
            </w:pPr>
          </w:p>
        </w:tc>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Class A common stock</w:t>
            </w: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rPr>
              <w:t>CIX</w:t>
            </w:r>
          </w:p>
        </w:tc>
        <w:tc>
          <w:tcPr>
            <w:tcW w:w="160" w:type="dxa"/>
            <w:vAlign w:val="bottom"/>
          </w:tcPr>
          <w:p>
            <w:pPr>
              <w:spacing w:after="0"/>
              <w:rPr>
                <w:sz w:val="18"/>
                <w:szCs w:val="18"/>
                <w:color w:val="auto"/>
              </w:rPr>
            </w:pPr>
          </w:p>
        </w:tc>
        <w:tc>
          <w:tcPr>
            <w:tcW w:w="4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NYSE American</w:t>
            </w:r>
          </w:p>
        </w:tc>
      </w:tr>
    </w:tbl>
    <w:p>
      <w:pPr>
        <w:spacing w:after="0" w:line="9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b w:val="1"/>
          <w:bCs w:val="1"/>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74"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b w:val="1"/>
          <w:bCs w:val="1"/>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87"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0220"/>
          </w:cols>
          <w:pgMar w:left="840" w:top="661" w:right="839" w:bottom="1440" w:gutter="0" w:footer="0" w:header="0"/>
        </w:sectPr>
      </w:pPr>
    </w:p>
    <w:p>
      <w:pPr>
        <w:spacing w:after="0" w:line="1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Large accelerated filer</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Non-accelerated filer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Emerging growth company</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line="207" w:lineRule="exact"/>
        <w:tabs>
          <w:tab w:leader="none" w:pos="38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 xml:space="preserve">Accelerated filer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07" w:lineRule="exact"/>
        <w:tabs>
          <w:tab w:leader="none" w:pos="2900" w:val="left"/>
          <w:tab w:leader="none" w:pos="52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46" w:lineRule="exact"/>
        <w:rPr>
          <w:sz w:val="24"/>
          <w:szCs w:val="24"/>
          <w:color w:val="auto"/>
        </w:rPr>
      </w:pPr>
    </w:p>
    <w:p>
      <w:pPr>
        <w:sectPr>
          <w:pgSz w:w="11900" w:h="16838" w:orient="portrait"/>
          <w:cols w:equalWidth="0" w:num="2">
            <w:col w:w="4100" w:space="720"/>
            <w:col w:w="5400"/>
          </w:cols>
          <w:pgMar w:left="840" w:top="661" w:right="839" w:bottom="1440" w:gutter="0" w:footer="0" w:header="0"/>
          <w:type w:val="continuous"/>
        </w:sectPr>
      </w:pPr>
    </w:p>
    <w:p>
      <w:pPr>
        <w:ind w:right="20"/>
        <w:spacing w:after="0" w:line="221" w:lineRule="exact"/>
        <w:rPr>
          <w:sz w:val="20"/>
          <w:szCs w:val="20"/>
          <w:color w:val="auto"/>
        </w:rPr>
      </w:pPr>
      <w:r>
        <w:rPr>
          <w:rFonts w:ascii="Times New Roman" w:cs="Times New Roman" w:eastAsia="Times New Roman" w:hAnsi="Times New Roman"/>
          <w:sz w:val="16"/>
          <w:szCs w:val="16"/>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highlight w:val="black"/>
        </w:rPr>
        <w:t>☐</w:t>
      </w:r>
    </w:p>
    <w:p>
      <w:pPr>
        <w:spacing w:after="0" w:line="52" w:lineRule="exact"/>
        <w:rPr>
          <w:sz w:val="24"/>
          <w:szCs w:val="24"/>
          <w:color w:val="auto"/>
        </w:rPr>
      </w:pPr>
    </w:p>
    <w:p>
      <w:pPr>
        <w:spacing w:after="0" w:line="184" w:lineRule="exact"/>
        <w:tabs>
          <w:tab w:leader="none" w:pos="8520" w:val="left"/>
        </w:tabs>
        <w:rPr>
          <w:sz w:val="20"/>
          <w:szCs w:val="20"/>
          <w:color w:val="auto"/>
        </w:rPr>
      </w:pPr>
      <w:r>
        <w:rPr>
          <w:rFonts w:ascii="Times New Roman" w:cs="Times New Roman" w:eastAsia="Times New Roman" w:hAnsi="Times New Roman"/>
          <w:sz w:val="16"/>
          <w:szCs w:val="16"/>
          <w:b w:val="1"/>
          <w:bCs w:val="1"/>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b w:val="1"/>
          <w:bCs w:val="1"/>
          <w:color w:val="auto"/>
        </w:rPr>
        <w:tab/>
        <w:t xml:space="preserve">No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b w:val="1"/>
          <w:bCs w:val="1"/>
          <w:color w:val="auto"/>
        </w:rPr>
        <w:t>.</w:t>
      </w:r>
    </w:p>
    <w:p>
      <w:pPr>
        <w:spacing w:after="0" w:line="18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As of July 30, 2025, the registrant had 12,323,057 shares of Class A common stock, $.01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673100</wp:posOffset>
            </wp:positionV>
            <wp:extent cx="649795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175895</wp:posOffset>
            </wp:positionV>
            <wp:extent cx="6497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219075</wp:posOffset>
            </wp:positionV>
            <wp:extent cx="64979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COMPX INTERNATIONAL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748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6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 w:type="dxa"/>
            <w:vAlign w:val="bottom"/>
            <w:gridSpan w:val="4"/>
            <w:vMerge w:val="continue"/>
          </w:tcPr>
          <w:p>
            <w:pPr>
              <w:spacing w:after="0"/>
              <w:rPr>
                <w:sz w:val="18"/>
                <w:szCs w:val="18"/>
                <w:color w:val="auto"/>
              </w:rPr>
            </w:pPr>
          </w:p>
        </w:tc>
        <w:tc>
          <w:tcPr>
            <w:tcW w:w="7480" w:type="dxa"/>
            <w:vAlign w:val="bottom"/>
            <w:gridSpan w:val="16"/>
            <w:vMerge w:val="continue"/>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w:t>
            </w:r>
          </w:p>
        </w:tc>
        <w:tc>
          <w:tcPr>
            <w:tcW w:w="74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Condensed Consolidated Balance Sheets – December 31, 2024 and June 30, 2025 (unaudited)</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- 3 -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Income and Comprehensive Income (unaudited) – Three and six</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78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months ended June 30, 2024 and 2025</w:t>
            </w:r>
          </w:p>
        </w:tc>
        <w:tc>
          <w:tcPr>
            <w:tcW w:w="4520" w:type="dxa"/>
            <w:vAlign w:val="bottom"/>
            <w:tcBorders>
              <w:top w:val="single" w:sz="8" w:color="0000EE"/>
            </w:tcBorders>
            <w:gridSpan w:val="7"/>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- 4 -</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Stockholders’ Equity (unaudited) – Three and six months ended</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26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June 30, 2024 and 2025</w:t>
            </w:r>
          </w:p>
        </w:tc>
        <w:tc>
          <w:tcPr>
            <w:tcW w:w="40" w:type="dxa"/>
            <w:vAlign w:val="bottom"/>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- 5 -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(unaudited) – Six months ended June 30, 2024 and</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2025</w:t>
            </w:r>
          </w:p>
        </w:tc>
        <w:tc>
          <w:tcPr>
            <w:tcW w:w="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- 6 -</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8"/>
              </w:rPr>
              <w:t>Notes to Condensed Consolidated Financial Statements (unaudited)</w:t>
            </w:r>
          </w:p>
        </w:tc>
        <w:tc>
          <w:tcPr>
            <w:tcW w:w="2640" w:type="dxa"/>
            <w:vAlign w:val="bottom"/>
            <w:gridSpan w:val="5"/>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- 7 -</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2.</w:t>
            </w:r>
          </w:p>
        </w:tc>
        <w:tc>
          <w:tcPr>
            <w:tcW w:w="74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- 12 -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3.</w:t>
            </w:r>
          </w:p>
        </w:tc>
        <w:tc>
          <w:tcPr>
            <w:tcW w:w="74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- 18 -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3160" w:type="dxa"/>
            <w:vAlign w:val="bottom"/>
            <w:gridSpan w:val="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4.</w:t>
            </w:r>
          </w:p>
        </w:tc>
        <w:tc>
          <w:tcPr>
            <w:tcW w:w="74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- 18 -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80" w:type="dxa"/>
            <w:vAlign w:val="bottom"/>
            <w:gridSpan w:val="8"/>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EE"/>
              </w:rPr>
              <w:t>Part II.</w:t>
            </w:r>
          </w:p>
        </w:tc>
        <w:tc>
          <w:tcPr>
            <w:tcW w:w="748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EE"/>
              </w:rPr>
              <w:t>OTHER INFORMATION</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480" w:type="dxa"/>
            <w:vAlign w:val="bottom"/>
            <w:gridSpan w:val="8"/>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1.</w:t>
            </w:r>
          </w:p>
        </w:tc>
        <w:tc>
          <w:tcPr>
            <w:tcW w:w="260" w:type="dxa"/>
            <w:vAlign w:val="bottom"/>
            <w:gridSpan w:val="2"/>
          </w:tcPr>
          <w:p>
            <w:pPr>
              <w:spacing w:after="0"/>
              <w:rPr>
                <w:sz w:val="24"/>
                <w:szCs w:val="24"/>
                <w:color w:val="auto"/>
              </w:rPr>
            </w:pPr>
          </w:p>
        </w:tc>
        <w:tc>
          <w:tcPr>
            <w:tcW w:w="74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- 19 -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180" w:type="dxa"/>
            <w:vAlign w:val="bottom"/>
            <w:gridSpan w:val="11"/>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6"/>
              </w:rPr>
              <w:t>Item 1A.</w:t>
            </w:r>
          </w:p>
        </w:tc>
        <w:tc>
          <w:tcPr>
            <w:tcW w:w="180" w:type="dxa"/>
            <w:vAlign w:val="bottom"/>
          </w:tcPr>
          <w:p>
            <w:pPr>
              <w:spacing w:after="0"/>
              <w:rPr>
                <w:sz w:val="24"/>
                <w:szCs w:val="24"/>
                <w:color w:val="auto"/>
              </w:rPr>
            </w:pPr>
          </w:p>
        </w:tc>
        <w:tc>
          <w:tcPr>
            <w:tcW w:w="74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- 19 -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600" w:type="dxa"/>
            <w:vAlign w:val="bottom"/>
            <w:gridSpan w:val="1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6.</w:t>
            </w:r>
          </w:p>
        </w:tc>
        <w:tc>
          <w:tcPr>
            <w:tcW w:w="180" w:type="dxa"/>
            <w:vAlign w:val="bottom"/>
          </w:tcPr>
          <w:p>
            <w:pPr>
              <w:spacing w:after="0"/>
              <w:rPr>
                <w:sz w:val="24"/>
                <w:szCs w:val="24"/>
                <w:color w:val="auto"/>
              </w:rPr>
            </w:pPr>
          </w:p>
        </w:tc>
        <w:tc>
          <w:tcPr>
            <w:tcW w:w="74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Exhibits</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- 19 -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6900" w:type="dxa"/>
            <w:vAlign w:val="bottom"/>
            <w:gridSpan w:val="1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320" w:type="dxa"/>
            <w:vAlign w:val="bottom"/>
            <w:gridSpan w:val="21"/>
          </w:tcPr>
          <w:p>
            <w:pPr>
              <w:ind w:left="20"/>
              <w:spacing w:after="0"/>
              <w:rPr>
                <w:sz w:val="20"/>
                <w:szCs w:val="20"/>
                <w:color w:val="auto"/>
              </w:rPr>
            </w:pPr>
            <w:r>
              <w:rPr>
                <w:rFonts w:ascii="Times New Roman" w:cs="Times New Roman" w:eastAsia="Times New Roman" w:hAnsi="Times New Roman"/>
                <w:sz w:val="18"/>
                <w:szCs w:val="18"/>
                <w:color w:val="auto"/>
              </w:rPr>
              <w:t>Items 2, 3, 4 and 5 of Part II are omitted because there is no information to report.</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20" w:type="dxa"/>
            <w:vAlign w:val="bottom"/>
            <w:gridSpan w:val="10"/>
          </w:tcPr>
          <w:p>
            <w:pPr>
              <w:jc w:val="right"/>
              <w:ind w:right="540"/>
              <w:spacing w:after="0"/>
              <w:rPr>
                <w:sz w:val="20"/>
                <w:szCs w:val="20"/>
                <w:color w:val="auto"/>
              </w:rPr>
            </w:pPr>
            <w:r>
              <w:rPr>
                <w:rFonts w:ascii="Times New Roman" w:cs="Times New Roman" w:eastAsia="Times New Roman" w:hAnsi="Times New Roman"/>
                <w:sz w:val="18"/>
                <w:szCs w:val="18"/>
                <w:color w:val="auto"/>
              </w:rPr>
              <w:t>- 2 -</w:t>
            </w:r>
          </w:p>
        </w:tc>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5780" w:type="dxa"/>
            <w:vAlign w:val="bottom"/>
            <w:gridSpan w:val="4"/>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COMPX INTERNATIONAL INC.</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5780" w:type="dxa"/>
            <w:vAlign w:val="bottom"/>
            <w:gridSpan w:val="4"/>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960" w:type="dxa"/>
            <w:vAlign w:val="bottom"/>
          </w:tcPr>
          <w:p>
            <w:pPr>
              <w:jc w:val="center"/>
              <w:ind w:left="23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960" w:type="dxa"/>
            <w:vAlign w:val="bottom"/>
          </w:tcPr>
          <w:p>
            <w:pPr>
              <w:jc w:val="center"/>
              <w:ind w:right="1210"/>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60,782</w:t>
            </w:r>
          </w:p>
        </w:tc>
        <w:tc>
          <w:tcPr>
            <w:tcW w:w="4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105,296</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107,596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Note receivable from affiliate</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8"/>
                <w:szCs w:val="18"/>
                <w:color w:val="auto"/>
              </w:rPr>
              <w:t>Total other assets</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33,722</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33,276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Land</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Buildings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Equipment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75,605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104,846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80,820</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82,293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24,026</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23,896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163,044</w:t>
            </w:r>
          </w:p>
        </w:tc>
        <w:tc>
          <w:tcPr>
            <w:tcW w:w="2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164,768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LIABILITIES AND STOCKHOLDERS' EQUITY</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5200" w:type="dxa"/>
            <w:vAlign w:val="bottom"/>
            <w:gridSpan w:val="2"/>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14,971</w:t>
            </w:r>
          </w:p>
        </w:tc>
        <w:tc>
          <w:tcPr>
            <w:tcW w:w="4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taxes payable to affiliate</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15,775</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14,367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Preferred stock</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Class A common stock</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53,396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92,626</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95,817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146,145</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149,453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163,044</w:t>
            </w: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164,768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Commitments and contingencies (Note 7)</w:t>
      </w:r>
    </w:p>
    <w:p>
      <w:pPr>
        <w:spacing w:after="0" w:line="22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9019"/>
          </w:cols>
          <w:pgMar w:left="1440" w:top="50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COMPX INTERNATIONAL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AND COMPREHENSIVE INCOME</w:t>
      </w:r>
    </w:p>
    <w:p>
      <w:pPr>
        <w:spacing w:after="0" w:line="117"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500" w:type="dxa"/>
            <w:vAlign w:val="bottom"/>
            <w:gridSpan w:val="7"/>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gridSpan w:val="4"/>
          </w:tcPr>
          <w:p>
            <w:pPr>
              <w:jc w:val="right"/>
              <w:ind w:right="550"/>
              <w:spacing w:after="0" w:line="196" w:lineRule="exact"/>
              <w:rPr>
                <w:sz w:val="20"/>
                <w:szCs w:val="20"/>
                <w:color w:val="auto"/>
              </w:rPr>
            </w:pPr>
            <w:r>
              <w:rPr>
                <w:rFonts w:ascii="Times New Roman" w:cs="Times New Roman" w:eastAsia="Times New Roman" w:hAnsi="Times New Roman"/>
                <w:sz w:val="18"/>
                <w:szCs w:val="18"/>
                <w:b w:val="1"/>
                <w:bCs w:val="1"/>
                <w:color w:val="auto"/>
              </w:rPr>
              <w:t>(unaudited)</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4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35,887</w:t>
            </w:r>
          </w:p>
        </w:tc>
        <w:tc>
          <w:tcPr>
            <w:tcW w:w="4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40,366</w:t>
            </w:r>
          </w:p>
        </w:tc>
        <w:tc>
          <w:tcPr>
            <w:tcW w:w="4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73,858</w:t>
            </w:r>
          </w:p>
        </w:tc>
        <w:tc>
          <w:tcPr>
            <w:tcW w:w="4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24,722</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27,476</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53,026</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55,585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Gross margin</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12,890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6,084</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6,570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12,036</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6,320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846</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7,166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1,713</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5,453</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8,598</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 marketable securities</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adjustment: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Unrealized income arising during year, net</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5,453</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8,603</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income per common share</w:t>
            </w:r>
          </w:p>
        </w:tc>
        <w:tc>
          <w:tcPr>
            <w:tcW w:w="4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4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4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12,316</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12,321</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12,315</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COMPX INTERNATIONAL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120" w:type="dxa"/>
            <w:vAlign w:val="bottom"/>
            <w:tcBorders>
              <w:bottom w:val="single" w:sz="8" w:color="auto"/>
            </w:tcBorders>
            <w:gridSpan w:val="24"/>
          </w:tcPr>
          <w:p>
            <w:pPr>
              <w:jc w:val="right"/>
              <w:ind w:right="540"/>
              <w:spacing w:after="0"/>
              <w:rPr>
                <w:sz w:val="20"/>
                <w:szCs w:val="20"/>
                <w:color w:val="auto"/>
              </w:rPr>
            </w:pPr>
            <w:r>
              <w:rPr>
                <w:rFonts w:ascii="Times New Roman" w:cs="Times New Roman" w:eastAsia="Times New Roman" w:hAnsi="Times New Roman"/>
                <w:sz w:val="17"/>
                <w:szCs w:val="17"/>
                <w:b w:val="1"/>
                <w:bCs w:val="1"/>
                <w:color w:val="auto"/>
              </w:rPr>
              <w:t>Three months ended June 30, 2024 and 2025 (unaudited)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gridSpan w:val="3"/>
          </w:tcPr>
          <w:p>
            <w:pPr>
              <w:jc w:val="center"/>
              <w:ind w:right="20"/>
              <w:spacing w:after="0" w:line="172" w:lineRule="exact"/>
              <w:rPr>
                <w:sz w:val="20"/>
                <w:szCs w:val="20"/>
                <w:color w:val="auto"/>
              </w:rPr>
            </w:pPr>
            <w:r>
              <w:rPr>
                <w:rFonts w:ascii="Times New Roman" w:cs="Times New Roman" w:eastAsia="Times New Roman" w:hAnsi="Times New Roman"/>
                <w:sz w:val="17"/>
                <w:szCs w:val="17"/>
                <w:b w:val="1"/>
                <w:bCs w:val="1"/>
                <w:color w:val="auto"/>
                <w:w w:val="99"/>
              </w:rPr>
              <w:t>Accumulated</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Class A</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7"/>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common</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paid-in</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4"/>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Retained</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9"/>
              </w:rPr>
              <w:t>comprehensive</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stockholders'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6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stock</w:t>
            </w:r>
          </w:p>
        </w:tc>
        <w:tc>
          <w:tcPr>
            <w:tcW w:w="1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earnings</w:t>
            </w:r>
          </w:p>
        </w:tc>
        <w:tc>
          <w:tcPr>
            <w:tcW w:w="1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loss</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53,275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$ 115,517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168,904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($.30 per share)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(3,696)</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20" w:type="dxa"/>
            <w:vAlign w:val="bottom"/>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6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53,396</w:t>
            </w:r>
          </w:p>
        </w:tc>
        <w:tc>
          <w:tcPr>
            <w:tcW w:w="2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9"/>
              </w:rPr>
              <w:t>$ 116,665</w:t>
            </w:r>
          </w:p>
        </w:tc>
        <w:tc>
          <w:tcPr>
            <w:tcW w:w="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60" w:type="dxa"/>
            <w:vAlign w:val="bottom"/>
            <w:gridSpan w:val="2"/>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170,183</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6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6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53,396</w:t>
            </w:r>
          </w:p>
        </w:tc>
        <w:tc>
          <w:tcPr>
            <w:tcW w:w="2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94,062</w:t>
            </w:r>
          </w:p>
        </w:tc>
        <w:tc>
          <w:tcPr>
            <w:tcW w:w="4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5,453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5,453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($.30 per share)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(3,698)</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(3,698)</w:t>
            </w:r>
          </w:p>
        </w:tc>
        <w:tc>
          <w:tcPr>
            <w:tcW w:w="0" w:type="dxa"/>
            <w:vAlign w:val="bottom"/>
          </w:tcPr>
          <w:p>
            <w:pPr>
              <w:spacing w:after="0"/>
              <w:rPr>
                <w:sz w:val="1"/>
                <w:szCs w:val="1"/>
                <w:color w:val="auto"/>
              </w:rPr>
            </w:pPr>
          </w:p>
        </w:tc>
      </w:tr>
      <w:tr>
        <w:trPr>
          <w:trHeight w:val="210"/>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60" w:type="dxa"/>
            <w:vAlign w:val="bottom"/>
            <w:tcBorders>
              <w:top w:val="single" w:sz="8" w:color="auto"/>
            </w:tcBorders>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53,513</w:t>
            </w:r>
          </w:p>
        </w:tc>
        <w:tc>
          <w:tcPr>
            <w:tcW w:w="20" w:type="dxa"/>
            <w:vAlign w:val="bottom"/>
            <w:tcBorders>
              <w:top w:val="single" w:sz="8" w:color="auto"/>
            </w:tcBorders>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95,817</w:t>
            </w:r>
          </w:p>
        </w:tc>
        <w:tc>
          <w:tcPr>
            <w:tcW w:w="40" w:type="dxa"/>
            <w:vAlign w:val="bottom"/>
            <w:tcBorders>
              <w:top w:val="single" w:sz="8" w:color="auto"/>
            </w:tcBorders>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149,453</w:t>
            </w: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gridSpan w:val="2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Six months ended June 30, 2024 and 2025 (unaudited)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40" w:type="dxa"/>
            <w:vAlign w:val="bottom"/>
          </w:tcPr>
          <w:p>
            <w:pPr>
              <w:spacing w:after="0"/>
              <w:rPr>
                <w:sz w:val="17"/>
                <w:szCs w:val="17"/>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w w:val="97"/>
              </w:rPr>
              <w:t>Additional</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gridSpan w:val="3"/>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9"/>
              </w:rPr>
              <w:t>Accumulated</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4"/>
            <w:vMerge w:val="continue"/>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common</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140" w:type="dxa"/>
            <w:vAlign w:val="bottom"/>
          </w:tcPr>
          <w:p>
            <w:pPr>
              <w:spacing w:after="0"/>
              <w:rPr>
                <w:sz w:val="18"/>
                <w:szCs w:val="18"/>
                <w:color w:val="auto"/>
              </w:rPr>
            </w:pPr>
          </w:p>
        </w:tc>
        <w:tc>
          <w:tcPr>
            <w:tcW w:w="114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w w:val="99"/>
              </w:rPr>
              <w:t>comprehensive</w:t>
            </w:r>
          </w:p>
        </w:tc>
        <w:tc>
          <w:tcPr>
            <w:tcW w:w="100" w:type="dxa"/>
            <w:vAlign w:val="bottom"/>
          </w:tcPr>
          <w:p>
            <w:pPr>
              <w:spacing w:after="0"/>
              <w:rPr>
                <w:sz w:val="18"/>
                <w:szCs w:val="18"/>
                <w:color w:val="auto"/>
              </w:rPr>
            </w:pPr>
          </w:p>
        </w:tc>
        <w:tc>
          <w:tcPr>
            <w:tcW w:w="10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stock</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loss</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53,275</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$ 115,457</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8,598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dividends ($.60 per share)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(7,390)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53,396</w:t>
            </w: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7"/>
              </w:rPr>
              <w:t>$ 116,665</w:t>
            </w:r>
          </w:p>
        </w:tc>
        <w:tc>
          <w:tcPr>
            <w:tcW w:w="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60" w:type="dxa"/>
            <w:vAlign w:val="bottom"/>
          </w:tcPr>
          <w:p>
            <w:pPr>
              <w:spacing w:after="0"/>
              <w:rPr>
                <w:sz w:val="18"/>
                <w:szCs w:val="18"/>
                <w:color w:val="auto"/>
              </w:rPr>
            </w:pPr>
          </w:p>
        </w:tc>
        <w:tc>
          <w:tcPr>
            <w:tcW w:w="2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53,396</w:t>
            </w:r>
          </w:p>
        </w:tc>
        <w:tc>
          <w:tcPr>
            <w:tcW w:w="2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92,626</w:t>
            </w:r>
          </w:p>
        </w:tc>
        <w:tc>
          <w:tcPr>
            <w:tcW w:w="4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10,584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($.60 per share)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(7,393)</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53,513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95,817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149,453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tbl>
      <w:tblPr>
        <w:tblLayout w:type="fixed"/>
        <w:tblInd w:w="40" w:type="dxa"/>
        <w:tblCellMar>
          <w:top w:w="0" w:type="dxa"/>
          <w:left w:w="0" w:type="dxa"/>
          <w:bottom w:w="0" w:type="dxa"/>
          <w:right w:w="0" w:type="dxa"/>
        </w:tblCellMar>
      </w:tblPr>
      <w:tr>
        <w:trPr>
          <w:trHeight w:val="207"/>
        </w:trPr>
        <w:tc>
          <w:tcPr>
            <w:tcW w:w="5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EE"/>
              </w:rPr>
              <w:t>Table of Contents</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777"/>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4660" w:type="dxa"/>
            <w:vAlign w:val="bottom"/>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9"/>
              </w:rPr>
              <w:t>COMPX INTERNATIONAL INC.</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6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2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8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(unaudited)</w:t>
            </w:r>
          </w:p>
        </w:tc>
        <w:tc>
          <w:tcPr>
            <w:tcW w:w="940" w:type="dxa"/>
            <w:vAlign w:val="bottom"/>
          </w:tcPr>
          <w:p>
            <w:pPr>
              <w:spacing w:after="0"/>
              <w:rPr>
                <w:sz w:val="17"/>
                <w:szCs w:val="17"/>
                <w:color w:val="auto"/>
              </w:rPr>
            </w:pPr>
          </w:p>
        </w:tc>
      </w:tr>
      <w:tr>
        <w:trPr>
          <w:trHeight w:val="216"/>
        </w:trPr>
        <w:tc>
          <w:tcPr>
            <w:tcW w:w="5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8,598</w:t>
            </w:r>
          </w:p>
        </w:tc>
        <w:tc>
          <w:tcPr>
            <w:tcW w:w="280" w:type="dxa"/>
            <w:vAlign w:val="bottom"/>
          </w:tcPr>
          <w:p>
            <w:pPr>
              <w:spacing w:after="0"/>
              <w:rPr>
                <w:sz w:val="18"/>
                <w:szCs w:val="18"/>
                <w:color w:val="auto"/>
              </w:rPr>
            </w:pP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10,584</w:t>
            </w:r>
          </w:p>
        </w:tc>
      </w:tr>
      <w:tr>
        <w:trPr>
          <w:trHeight w:val="216"/>
        </w:trPr>
        <w:tc>
          <w:tcPr>
            <w:tcW w:w="2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1,868</w:t>
            </w:r>
          </w:p>
        </w:tc>
      </w:tr>
      <w:tr>
        <w:trPr>
          <w:trHeight w:val="216"/>
        </w:trPr>
        <w:tc>
          <w:tcPr>
            <w:tcW w:w="20" w:type="dxa"/>
            <w:vAlign w:val="bottom"/>
          </w:tcPr>
          <w:p>
            <w:pPr>
              <w:spacing w:after="0"/>
              <w:rPr>
                <w:sz w:val="18"/>
                <w:szCs w:val="18"/>
                <w:color w:val="auto"/>
              </w:rPr>
            </w:pPr>
          </w:p>
        </w:tc>
        <w:tc>
          <w:tcPr>
            <w:tcW w:w="5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(370)</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(191)</w:t>
            </w:r>
          </w:p>
        </w:tc>
      </w:tr>
      <w:tr>
        <w:trPr>
          <w:trHeight w:val="216"/>
        </w:trPr>
        <w:tc>
          <w:tcPr>
            <w:tcW w:w="2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Noncash interest income</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(574)</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20" w:type="dxa"/>
            <w:vAlign w:val="bottom"/>
          </w:tcPr>
          <w:p>
            <w:pPr>
              <w:spacing w:after="0"/>
              <w:rPr>
                <w:sz w:val="18"/>
                <w:szCs w:val="18"/>
                <w:color w:val="auto"/>
              </w:rPr>
            </w:pPr>
          </w:p>
        </w:tc>
        <w:tc>
          <w:tcPr>
            <w:tcW w:w="5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258</w:t>
            </w:r>
          </w:p>
        </w:tc>
      </w:tr>
      <w:tr>
        <w:trPr>
          <w:trHeight w:val="216"/>
        </w:trPr>
        <w:tc>
          <w:tcPr>
            <w:tcW w:w="2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(2,809)</w:t>
            </w:r>
          </w:p>
        </w:tc>
      </w:tr>
      <w:tr>
        <w:trPr>
          <w:trHeight w:val="216"/>
        </w:trPr>
        <w:tc>
          <w:tcPr>
            <w:tcW w:w="2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Inventories, net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(4,664)</w:t>
            </w:r>
          </w:p>
        </w:tc>
      </w:tr>
      <w:tr>
        <w:trPr>
          <w:trHeight w:val="216"/>
        </w:trPr>
        <w:tc>
          <w:tcPr>
            <w:tcW w:w="20" w:type="dxa"/>
            <w:vAlign w:val="bottom"/>
          </w:tcPr>
          <w:p>
            <w:pPr>
              <w:spacing w:after="0"/>
              <w:rPr>
                <w:sz w:val="18"/>
                <w:szCs w:val="18"/>
                <w:color w:val="auto"/>
              </w:rPr>
            </w:pPr>
          </w:p>
        </w:tc>
        <w:tc>
          <w:tcPr>
            <w:tcW w:w="59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8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(2,586)</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(1,137)</w:t>
            </w:r>
          </w:p>
        </w:tc>
      </w:tr>
      <w:tr>
        <w:trPr>
          <w:trHeight w:val="216"/>
        </w:trPr>
        <w:tc>
          <w:tcPr>
            <w:tcW w:w="2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with affiliates</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(900)</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w:t>
            </w:r>
          </w:p>
        </w:tc>
      </w:tr>
      <w:tr>
        <w:trPr>
          <w:trHeight w:val="216"/>
        </w:trPr>
        <w:tc>
          <w:tcPr>
            <w:tcW w:w="20" w:type="dxa"/>
            <w:vAlign w:val="bottom"/>
            <w:tcBorders>
              <w:bottom w:val="single" w:sz="8" w:color="CCEEFF"/>
            </w:tcBorders>
          </w:tcPr>
          <w:p>
            <w:pPr>
              <w:spacing w:after="0"/>
              <w:rPr>
                <w:sz w:val="18"/>
                <w:szCs w:val="18"/>
                <w:color w:val="auto"/>
              </w:rPr>
            </w:pPr>
          </w:p>
        </w:tc>
        <w:tc>
          <w:tcPr>
            <w:tcW w:w="5920" w:type="dxa"/>
            <w:vAlign w:val="bottom"/>
            <w:tcBorders>
              <w:bottom w:val="single" w:sz="8" w:color="CCEEFF"/>
            </w:tcBorders>
            <w:gridSpan w:val="2"/>
          </w:tcPr>
          <w:p>
            <w:pPr>
              <w:ind w:left="420"/>
              <w:spacing w:after="0"/>
              <w:rPr>
                <w:sz w:val="20"/>
                <w:szCs w:val="20"/>
                <w:color w:val="auto"/>
              </w:rPr>
            </w:pPr>
            <w:r>
              <w:rPr>
                <w:rFonts w:ascii="Times New Roman" w:cs="Times New Roman" w:eastAsia="Times New Roman" w:hAnsi="Times New Roman"/>
                <w:sz w:val="18"/>
                <w:szCs w:val="18"/>
                <w:color w:val="auto"/>
              </w:rPr>
              <w:t>Prepaids and other, net</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529</w:t>
            </w:r>
          </w:p>
        </w:tc>
      </w:tr>
      <w:tr>
        <w:trPr>
          <w:trHeight w:val="209"/>
        </w:trPr>
        <w:tc>
          <w:tcPr>
            <w:tcW w:w="2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11,499</w:t>
            </w:r>
          </w:p>
        </w:tc>
        <w:tc>
          <w:tcPr>
            <w:tcW w:w="2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4,591</w:t>
            </w:r>
          </w:p>
        </w:tc>
      </w:tr>
      <w:tr>
        <w:trPr>
          <w:trHeight w:val="209"/>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Capital expenditures</w:t>
            </w:r>
          </w:p>
        </w:tc>
        <w:tc>
          <w:tcPr>
            <w:tcW w:w="28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(730)</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(2,165)</w:t>
            </w:r>
          </w:p>
        </w:tc>
      </w:tr>
      <w:tr>
        <w:trPr>
          <w:trHeight w:val="216"/>
        </w:trPr>
        <w:tc>
          <w:tcPr>
            <w:tcW w:w="2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20" w:type="dxa"/>
            <w:vAlign w:val="bottom"/>
          </w:tcPr>
          <w:p>
            <w:pPr>
              <w:spacing w:after="0"/>
              <w:rPr>
                <w:sz w:val="18"/>
                <w:szCs w:val="18"/>
                <w:color w:val="auto"/>
              </w:rPr>
            </w:pPr>
          </w:p>
        </w:tc>
        <w:tc>
          <w:tcPr>
            <w:tcW w:w="5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Note receivable from affiliate:</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Collections</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13,400</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6,400</w:t>
            </w:r>
          </w:p>
        </w:tc>
      </w:tr>
      <w:tr>
        <w:trPr>
          <w:trHeight w:val="216"/>
        </w:trPr>
        <w:tc>
          <w:tcPr>
            <w:tcW w:w="20" w:type="dxa"/>
            <w:vAlign w:val="bottom"/>
          </w:tcPr>
          <w:p>
            <w:pPr>
              <w:spacing w:after="0"/>
              <w:rPr>
                <w:sz w:val="18"/>
                <w:szCs w:val="18"/>
                <w:color w:val="auto"/>
              </w:rPr>
            </w:pPr>
          </w:p>
        </w:tc>
        <w:tc>
          <w:tcPr>
            <w:tcW w:w="59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Advances</w:t>
            </w:r>
          </w:p>
        </w:tc>
        <w:tc>
          <w:tcPr>
            <w:tcW w:w="28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(12,000)</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(6,000)</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5920" w:type="dxa"/>
            <w:vAlign w:val="bottom"/>
            <w:tcBorders>
              <w:top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24,670</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(1,765)</w:t>
            </w: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 -</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Dividends paid</w:t>
            </w:r>
          </w:p>
        </w:tc>
        <w:tc>
          <w:tcPr>
            <w:tcW w:w="28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(7,390)</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(7,393)</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46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16"/>
        </w:trPr>
        <w:tc>
          <w:tcPr>
            <w:tcW w:w="5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Cash and cash equivalents - net change from:</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investing and financing activities</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28,779</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(4,567)</w:t>
            </w:r>
          </w:p>
        </w:tc>
      </w:tr>
      <w:tr>
        <w:trPr>
          <w:trHeight w:val="216"/>
        </w:trPr>
        <w:tc>
          <w:tcPr>
            <w:tcW w:w="59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41,393</w:t>
            </w:r>
          </w:p>
        </w:tc>
        <w:tc>
          <w:tcPr>
            <w:tcW w:w="2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60,782</w:t>
            </w:r>
          </w:p>
        </w:tc>
      </w:tr>
      <w:tr>
        <w:trPr>
          <w:trHeight w:val="210"/>
        </w:trPr>
        <w:tc>
          <w:tcPr>
            <w:tcW w:w="59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70,172</w:t>
            </w:r>
          </w:p>
        </w:tc>
        <w:tc>
          <w:tcPr>
            <w:tcW w:w="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56,215</w:t>
            </w:r>
          </w:p>
        </w:tc>
      </w:tr>
      <w:tr>
        <w:trPr>
          <w:trHeight w:val="20"/>
        </w:trPr>
        <w:tc>
          <w:tcPr>
            <w:tcW w:w="5940" w:type="dxa"/>
            <w:vAlign w:val="bottom"/>
            <w:gridSpan w:val="3"/>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5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disclosures -</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4,006</w:t>
            </w:r>
          </w:p>
        </w:tc>
        <w:tc>
          <w:tcPr>
            <w:tcW w:w="280" w:type="dxa"/>
            <w:vAlign w:val="bottom"/>
          </w:tcPr>
          <w:p>
            <w:pPr>
              <w:spacing w:after="0"/>
              <w:rPr>
                <w:sz w:val="18"/>
                <w:szCs w:val="18"/>
                <w:color w:val="auto"/>
              </w:rPr>
            </w:pP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3,364</w:t>
            </w:r>
          </w:p>
        </w:tc>
      </w:tr>
      <w:tr>
        <w:trPr>
          <w:trHeight w:val="216"/>
        </w:trPr>
        <w:tc>
          <w:tcPr>
            <w:tcW w:w="2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Noncash investing activities -</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59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Change in accruals for capital expenditures</w:t>
            </w:r>
          </w:p>
        </w:tc>
        <w:tc>
          <w:tcPr>
            <w:tcW w:w="28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w:t>
            </w: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(424)</w:t>
            </w:r>
          </w:p>
        </w:tc>
      </w:tr>
    </w:tbl>
    <w:p>
      <w:pPr>
        <w:spacing w:after="0" w:line="17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COMPX INTERNATIONAL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2025</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 Organization and basis of presentation:</w:t>
      </w:r>
    </w:p>
    <w:p>
      <w:pPr>
        <w:spacing w:after="0" w:line="227" w:lineRule="exact"/>
        <w:rPr>
          <w:sz w:val="20"/>
          <w:szCs w:val="20"/>
          <w:color w:val="auto"/>
        </w:rPr>
      </w:pPr>
    </w:p>
    <w:p>
      <w:pPr>
        <w:jc w:val="both"/>
        <w:ind w:left="60" w:right="59" w:firstLine="648"/>
        <w:spacing w:after="0" w:line="270" w:lineRule="auto"/>
        <w:rPr>
          <w:sz w:val="20"/>
          <w:szCs w:val="20"/>
          <w:color w:val="auto"/>
        </w:rPr>
      </w:pPr>
      <w:r>
        <w:rPr>
          <w:rFonts w:ascii="Times New Roman" w:cs="Times New Roman" w:eastAsia="Times New Roman" w:hAnsi="Times New Roman"/>
          <w:sz w:val="17"/>
          <w:szCs w:val="17"/>
          <w:i w:val="1"/>
          <w:iCs w:val="1"/>
          <w:color w:val="auto"/>
        </w:rPr>
        <w:t>Organization</w:t>
      </w:r>
      <w:r>
        <w:rPr>
          <w:rFonts w:ascii="Times New Roman" w:cs="Times New Roman" w:eastAsia="Times New Roman" w:hAnsi="Times New Roman"/>
          <w:sz w:val="17"/>
          <w:szCs w:val="17"/>
          <w:color w:val="auto"/>
        </w:rPr>
        <w:t>. We (NYSE American: CIX) were approximately 87% owned by NL Industries, Inc. (NYSE: NL) 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June 30, 2025. At June 30, 2025, Valhi, Inc. (NYSE: VHI) owned approximately 83% of NL’s outstanding common stock and a wholly-owned subsidiary of Contran Corporation owned approximately 91% of Valhi’s outstanding common stock. A majority of Contran’s outstanding voting stock is held directly by Lisa K. Simmons, and by family stockholders (Thomas C. Connelly (the husband of Ms. Simmons’ late sister), a family-owned entity and various family trusts established for the benefit of Ms. Simmons, Mr. Connelly and their children) who are required to vote their shares of Contran voting stock in the same manner as Ms. Simmons. Such voting rights are personal to Ms. Simmons and last through April 22, 2030. The remainder of Contran’s outstanding voting stock is held by another trust (the “Family Trust”), which was established for the benefit of Ms. Simmons and her late sister and their children and for which a third-party financial institution serves as trustee. Consequently, at June 30, 2025, Ms. Simmons and the Family Trust may be deemed to control Contran, and therefore may be deemed to indirectly control the wholly-owned subsidiary of Contran, Valhi, NL and us.</w:t>
      </w:r>
    </w:p>
    <w:p>
      <w:pPr>
        <w:spacing w:after="0" w:line="173"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Consolidated in this Quarterly Report are the results of CompX International Inc.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The unaudited Condensed Consolidated Financial Statements contained in this Quarterly Report have been prepared on the same basis as the audited Consolidated Financial Statements included in our Annual Report on Form 10-K for the year ended December 31, 2024 that we filed with the Securities and Exchange Commission (“SEC”) on March 5, 2025 (the “2024 Annual Report”). In our opinion, we have made all necessary adjustments (which include only normal recurring adjustments) in order to state fairly, in all material respects, our consolidated financial position, results of operations and cash flows as of the dates and for the periods presented. We have condensed the Consolidated Balance Sheet at December 31, 2024 contained in this Quarterly Report as compared to our audited Consolidated Financial Statements at that date, and we have omitted certain information and footnote disclosures (including those related to the Consolidated Balance Sheet at December 31, 2024) normally included in financial statements prepared in accordance with accounting principles generally accepted in the United States of America (“GAAP”). Our results of operations for the interim periods ended June 30, 2025 may not be indicative of our operating results for the full year. The Condensed Consolidated Financial Statements contained in this Quarterly Report should be read in conjunction with our 2024 Consolidated Financial Statements contained in our 2024 Annual Report.</w:t>
      </w:r>
    </w:p>
    <w:p>
      <w:pPr>
        <w:spacing w:after="0" w:line="187"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On August 5, 2025 our board of directors declared a special cash dividend of $1.00 per share on our Class A common stock payable on August 27, 2025 to stockholders of record at the close of business on August 18, 2025.</w:t>
      </w:r>
    </w:p>
    <w:p>
      <w:pPr>
        <w:spacing w:after="0" w:line="16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operations are reported on a 52 or 53-week year. For presentation purposes, annual and quarterly information in the Condensed Consolidated Financial Statements and accompanying notes are presented as ended June 30, 2024, December 31, 2024 and June 30, 2025. The actual dates of our annual and quarterly periods are June 30, 2024, December 29, 2024 and June 29, 2025, respectively. Unless otherwise indicated, references in this report to “we”, “us” or “our” refer to CompX International Inc. and its subsidiaries,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 – Business segment information:</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Our chief operating decision maker (“CODM”) evaluates segment performance based on segment operating income, which is defined as income before income taxes, exclusive of certain general corporate income and expense items (primarily interest income) and certain non-recurring items (such as gains or losses on the disposition of long-lived assets outside the ordinary course of business).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8"/>
                <w:szCs w:val="18"/>
                <w:color w:val="auto"/>
              </w:rPr>
            </w:pPr>
          </w:p>
        </w:tc>
        <w:tc>
          <w:tcPr>
            <w:tcW w:w="196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4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20" w:type="dxa"/>
            <w:vAlign w:val="bottom"/>
            <w:tcBorders>
              <w:bottom w:val="single" w:sz="8" w:color="auto"/>
            </w:tcBorders>
          </w:tcPr>
          <w:p>
            <w:pPr>
              <w:spacing w:after="0"/>
              <w:rPr>
                <w:sz w:val="20"/>
                <w:szCs w:val="20"/>
                <w:color w:val="auto"/>
              </w:rPr>
            </w:pPr>
          </w:p>
        </w:tc>
      </w:tr>
      <w:tr>
        <w:trPr>
          <w:trHeight w:val="210"/>
        </w:trPr>
        <w:tc>
          <w:tcPr>
            <w:tcW w:w="4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196"/>
        </w:trPr>
        <w:tc>
          <w:tcPr>
            <w:tcW w:w="4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gridSpan w:val="4"/>
          </w:tcPr>
          <w:p>
            <w:pPr>
              <w:jc w:val="right"/>
              <w:ind w:right="430"/>
              <w:spacing w:after="0" w:line="196"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Security Products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28,213</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30,683</w:t>
            </w:r>
          </w:p>
        </w:tc>
        <w:tc>
          <w:tcPr>
            <w:tcW w:w="2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58,100</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60,913</w:t>
            </w:r>
          </w:p>
        </w:tc>
      </w:tr>
      <w:tr>
        <w:trPr>
          <w:trHeight w:val="216"/>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Marine Components</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7,674</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9,683</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15,758</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19,725</w:t>
            </w:r>
          </w:p>
        </w:tc>
      </w:tr>
      <w:tr>
        <w:trPr>
          <w:trHeight w:val="250"/>
        </w:trPr>
        <w:tc>
          <w:tcPr>
            <w:tcW w:w="43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35,887</w:t>
            </w:r>
          </w:p>
        </w:tc>
        <w:tc>
          <w:tcPr>
            <w:tcW w:w="2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40,366</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73,858</w:t>
            </w:r>
          </w:p>
        </w:tc>
        <w:tc>
          <w:tcPr>
            <w:tcW w:w="2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80,638</w:t>
            </w:r>
          </w:p>
        </w:tc>
      </w:tr>
      <w:tr>
        <w:trPr>
          <w:trHeight w:val="196"/>
        </w:trPr>
        <w:tc>
          <w:tcPr>
            <w:tcW w:w="4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Security Products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21,129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42,361</w:t>
            </w:r>
          </w:p>
        </w:tc>
      </w:tr>
      <w:tr>
        <w:trPr>
          <w:trHeight w:val="216"/>
        </w:trPr>
        <w:tc>
          <w:tcPr>
            <w:tcW w:w="4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Marine Components</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5,461</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6,347</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12,650</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13,224</w:t>
            </w:r>
          </w:p>
        </w:tc>
      </w:tr>
      <w:tr>
        <w:trPr>
          <w:trHeight w:val="209"/>
        </w:trPr>
        <w:tc>
          <w:tcPr>
            <w:tcW w:w="43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24,722</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27,476</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53,026</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55,585</w:t>
            </w:r>
          </w:p>
        </w:tc>
      </w:tr>
      <w:tr>
        <w:trPr>
          <w:trHeight w:val="20"/>
        </w:trPr>
        <w:tc>
          <w:tcPr>
            <w:tcW w:w="4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97"/>
        </w:trPr>
        <w:tc>
          <w:tcPr>
            <w:tcW w:w="4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Security Products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8,952</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9,554</w:t>
            </w:r>
          </w:p>
        </w:tc>
        <w:tc>
          <w:tcPr>
            <w:tcW w:w="2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17,724</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18,552</w:t>
            </w:r>
          </w:p>
        </w:tc>
      </w:tr>
      <w:tr>
        <w:trPr>
          <w:trHeight w:val="216"/>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Marine Components</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3,336</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6,501</w:t>
            </w:r>
          </w:p>
        </w:tc>
      </w:tr>
      <w:tr>
        <w:trPr>
          <w:trHeight w:val="250"/>
        </w:trPr>
        <w:tc>
          <w:tcPr>
            <w:tcW w:w="43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11,165</w:t>
            </w:r>
          </w:p>
        </w:tc>
        <w:tc>
          <w:tcPr>
            <w:tcW w:w="2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12,890</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20,832</w:t>
            </w:r>
          </w:p>
        </w:tc>
        <w:tc>
          <w:tcPr>
            <w:tcW w:w="2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25,053</w:t>
            </w:r>
          </w:p>
        </w:tc>
      </w:tr>
      <w:tr>
        <w:trPr>
          <w:trHeight w:val="197"/>
        </w:trPr>
        <w:tc>
          <w:tcPr>
            <w:tcW w:w="4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selling, general and administrative expense:</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Security Products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3,786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7,263</w:t>
            </w:r>
          </w:p>
        </w:tc>
      </w:tr>
      <w:tr>
        <w:trPr>
          <w:trHeight w:val="216"/>
        </w:trPr>
        <w:tc>
          <w:tcPr>
            <w:tcW w:w="4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Marine Components</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942</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1,866</w:t>
            </w:r>
          </w:p>
        </w:tc>
      </w:tr>
      <w:tr>
        <w:trPr>
          <w:trHeight w:val="210"/>
        </w:trPr>
        <w:tc>
          <w:tcPr>
            <w:tcW w:w="43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4,728</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8,519</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9,129</w:t>
            </w:r>
          </w:p>
        </w:tc>
      </w:tr>
      <w:tr>
        <w:trPr>
          <w:trHeight w:val="20"/>
        </w:trPr>
        <w:tc>
          <w:tcPr>
            <w:tcW w:w="4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10"/>
        </w:trPr>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Security Products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5,442</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5,768</w:t>
            </w:r>
          </w:p>
        </w:tc>
        <w:tc>
          <w:tcPr>
            <w:tcW w:w="2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10,892</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11,289</w:t>
            </w:r>
          </w:p>
        </w:tc>
      </w:tr>
      <w:tr>
        <w:trPr>
          <w:trHeight w:val="216"/>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Marine Components</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2,394</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4,635</w:t>
            </w:r>
          </w:p>
        </w:tc>
      </w:tr>
      <w:tr>
        <w:trPr>
          <w:trHeight w:val="209"/>
        </w:trPr>
        <w:tc>
          <w:tcPr>
            <w:tcW w:w="4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8,162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15,924</w:t>
            </w:r>
          </w:p>
        </w:tc>
      </w:tr>
      <w:tr>
        <w:trPr>
          <w:trHeight w:val="216"/>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operating expenses</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(1,748)</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(1,842)</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(3,517)</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(3,735)</w:t>
            </w:r>
          </w:p>
        </w:tc>
      </w:tr>
      <w:tr>
        <w:trPr>
          <w:trHeight w:val="210"/>
        </w:trPr>
        <w:tc>
          <w:tcPr>
            <w:tcW w:w="4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operating income</w:t>
            </w: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5,081</w:t>
            </w: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6,320</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8,796</w:t>
            </w: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12,189</w:t>
            </w:r>
          </w:p>
        </w:tc>
      </w:tr>
      <w:tr>
        <w:trPr>
          <w:trHeight w:val="216"/>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846</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1,719</w:t>
            </w:r>
          </w:p>
        </w:tc>
      </w:tr>
      <w:tr>
        <w:trPr>
          <w:trHeight w:val="250"/>
        </w:trPr>
        <w:tc>
          <w:tcPr>
            <w:tcW w:w="43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6,376</w:t>
            </w:r>
          </w:p>
        </w:tc>
        <w:tc>
          <w:tcPr>
            <w:tcW w:w="2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7,166</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11,315</w:t>
            </w:r>
          </w:p>
        </w:tc>
        <w:tc>
          <w:tcPr>
            <w:tcW w:w="2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13,908</w:t>
            </w:r>
          </w:p>
        </w:tc>
      </w:tr>
      <w:tr>
        <w:trPr>
          <w:trHeight w:val="210"/>
        </w:trPr>
        <w:tc>
          <w:tcPr>
            <w:tcW w:w="4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Security Products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1,266</w:t>
            </w:r>
          </w:p>
        </w:tc>
      </w:tr>
      <w:tr>
        <w:trPr>
          <w:trHeight w:val="216"/>
        </w:trPr>
        <w:tc>
          <w:tcPr>
            <w:tcW w:w="4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Marine Components</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301</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602</w:t>
            </w:r>
          </w:p>
        </w:tc>
      </w:tr>
      <w:tr>
        <w:trPr>
          <w:trHeight w:val="209"/>
        </w:trPr>
        <w:tc>
          <w:tcPr>
            <w:tcW w:w="43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923</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1,868</w:t>
            </w:r>
          </w:p>
        </w:tc>
      </w:tr>
      <w:tr>
        <w:trPr>
          <w:trHeight w:val="20"/>
        </w:trPr>
        <w:tc>
          <w:tcPr>
            <w:tcW w:w="4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Intersegment sales are not material. Our CODM is not regularly provided financial information related to the assets of the reportable segments, including capital expenditures, and he does not evaluate the reportable segments’ performance or allocate resources to them based on assets. Therefore, total assets by reportable segment are not included in our segment disclosure.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20" w:type="dxa"/>
            <w:vAlign w:val="bottom"/>
          </w:tcPr>
          <w:p>
            <w:pPr>
              <w:spacing w:after="0"/>
              <w:rPr>
                <w:sz w:val="24"/>
                <w:szCs w:val="24"/>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3 – Accounts receivable, net:</w:t>
            </w: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0" w:type="dxa"/>
            <w:vAlign w:val="bottom"/>
            <w:gridSpan w:val="9"/>
          </w:tcPr>
          <w:p>
            <w:pPr>
              <w:jc w:val="right"/>
              <w:ind w:right="940"/>
              <w:spacing w:after="0" w:line="196"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Security Products</w:t>
            </w:r>
          </w:p>
        </w:tc>
        <w:tc>
          <w:tcPr>
            <w:tcW w:w="2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gridSpan w:val="3"/>
          </w:tcPr>
          <w:p>
            <w:pPr>
              <w:jc w:val="right"/>
              <w:ind w:right="6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Marine Components</w:t>
            </w:r>
          </w:p>
        </w:tc>
        <w:tc>
          <w:tcPr>
            <w:tcW w:w="1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4,051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8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18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14,113</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16,914</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4 – Inventories, net:</w:t>
            </w: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20" w:type="dxa"/>
            <w:vAlign w:val="bottom"/>
          </w:tcPr>
          <w:p>
            <w:pPr>
              <w:spacing w:after="0"/>
              <w:rPr>
                <w:sz w:val="24"/>
                <w:szCs w:val="24"/>
                <w:color w:val="auto"/>
              </w:rPr>
            </w:pPr>
          </w:p>
        </w:tc>
        <w:tc>
          <w:tcPr>
            <w:tcW w:w="4060" w:type="dxa"/>
            <w:vAlign w:val="bottom"/>
            <w:gridSpan w:val="2"/>
            <w:vMerge w:val="continue"/>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80" w:type="dxa"/>
            <w:vAlign w:val="bottom"/>
            <w:gridSpan w:val="8"/>
          </w:tcPr>
          <w:p>
            <w:pPr>
              <w:jc w:val="right"/>
              <w:ind w:right="830"/>
              <w:spacing w:after="0" w:line="196"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Security Products</w:t>
            </w:r>
          </w:p>
        </w:tc>
        <w:tc>
          <w:tcPr>
            <w:tcW w:w="2040" w:type="dxa"/>
            <w:vAlign w:val="bottom"/>
            <w:gridSpan w:val="4"/>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gridSpan w:val="3"/>
          </w:tcPr>
          <w:p>
            <w:pPr>
              <w:jc w:val="right"/>
              <w:ind w:right="8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Marine Components</w:t>
            </w:r>
          </w:p>
        </w:tc>
        <w:tc>
          <w:tcPr>
            <w:tcW w:w="18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4060" w:type="dxa"/>
            <w:vAlign w:val="bottom"/>
            <w:tcBorders>
              <w:bottom w:val="single" w:sz="8" w:color="CCEEFF"/>
            </w:tcBorders>
            <w:gridSpan w:val="2"/>
          </w:tcPr>
          <w:p>
            <w:pPr>
              <w:ind w:left="420"/>
              <w:spacing w:after="0"/>
              <w:rPr>
                <w:sz w:val="20"/>
                <w:szCs w:val="20"/>
                <w:color w:val="auto"/>
              </w:rPr>
            </w:pPr>
            <w:r>
              <w:rPr>
                <w:rFonts w:ascii="Times New Roman" w:cs="Times New Roman" w:eastAsia="Times New Roman" w:hAnsi="Times New Roman"/>
                <w:sz w:val="18"/>
                <w:szCs w:val="18"/>
                <w:color w:val="auto"/>
              </w:rPr>
              <w:t>Total raw materials</w:t>
            </w:r>
          </w:p>
        </w:tc>
        <w:tc>
          <w:tcPr>
            <w:tcW w:w="18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5,652</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1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Security Products</w:t>
            </w:r>
          </w:p>
        </w:tc>
        <w:tc>
          <w:tcPr>
            <w:tcW w:w="1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15,604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Marine Components</w:t>
            </w:r>
          </w:p>
        </w:tc>
        <w:tc>
          <w:tcPr>
            <w:tcW w:w="18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4060" w:type="dxa"/>
            <w:vAlign w:val="bottom"/>
            <w:tcBorders>
              <w:bottom w:val="single" w:sz="8" w:color="CCEEFF"/>
            </w:tcBorders>
            <w:gridSpan w:val="2"/>
          </w:tcPr>
          <w:p>
            <w:pPr>
              <w:ind w:left="420"/>
              <w:spacing w:after="0"/>
              <w:rPr>
                <w:sz w:val="20"/>
                <w:szCs w:val="20"/>
                <w:color w:val="auto"/>
              </w:rPr>
            </w:pPr>
            <w:r>
              <w:rPr>
                <w:rFonts w:ascii="Times New Roman" w:cs="Times New Roman" w:eastAsia="Times New Roman" w:hAnsi="Times New Roman"/>
                <w:sz w:val="18"/>
                <w:szCs w:val="18"/>
                <w:color w:val="auto"/>
              </w:rPr>
              <w:t>Total work-in-process</w:t>
            </w:r>
          </w:p>
        </w:tc>
        <w:tc>
          <w:tcPr>
            <w:tcW w:w="18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17,638</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22,213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Security Products</w:t>
            </w:r>
          </w:p>
        </w:tc>
        <w:tc>
          <w:tcPr>
            <w:tcW w:w="1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Marine Components</w:t>
            </w:r>
          </w:p>
        </w:tc>
        <w:tc>
          <w:tcPr>
            <w:tcW w:w="18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4060" w:type="dxa"/>
            <w:vAlign w:val="bottom"/>
            <w:tcBorders>
              <w:bottom w:val="single" w:sz="8" w:color="CCEEFF"/>
            </w:tcBorders>
            <w:gridSpan w:val="2"/>
          </w:tcPr>
          <w:p>
            <w:pPr>
              <w:ind w:left="420"/>
              <w:spacing w:after="0"/>
              <w:rPr>
                <w:sz w:val="20"/>
                <w:szCs w:val="20"/>
                <w:color w:val="auto"/>
              </w:rPr>
            </w:pPr>
            <w:r>
              <w:rPr>
                <w:rFonts w:ascii="Times New Roman" w:cs="Times New Roman" w:eastAsia="Times New Roman" w:hAnsi="Times New Roman"/>
                <w:sz w:val="18"/>
                <w:szCs w:val="18"/>
                <w:color w:val="auto"/>
              </w:rPr>
              <w:t>Total finished goods</w:t>
            </w:r>
          </w:p>
        </w:tc>
        <w:tc>
          <w:tcPr>
            <w:tcW w:w="18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5,076</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0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inventories, net</w:t>
            </w:r>
          </w:p>
        </w:tc>
        <w:tc>
          <w:tcPr>
            <w:tcW w:w="18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3"/>
            <w:shd w:val="clear" w:color="auto" w:fill="CCEEFF"/>
          </w:tcPr>
          <w:p>
            <w:pPr>
              <w:jc w:val="right"/>
              <w:ind w:right="12"/>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28,366</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gridSpan w:val="3"/>
            <w:shd w:val="clear" w:color="auto" w:fill="CCEEFF"/>
          </w:tcPr>
          <w:p>
            <w:pPr>
              <w:jc w:val="right"/>
              <w:ind w:right="8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32,901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 Accounts payable and accrued liabilities:</w:t>
            </w:r>
          </w:p>
        </w:tc>
        <w:tc>
          <w:tcPr>
            <w:tcW w:w="1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4060" w:type="dxa"/>
            <w:vAlign w:val="bottom"/>
            <w:gridSpan w:val="2"/>
            <w:vMerge w:val="continue"/>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0" w:type="dxa"/>
            <w:vAlign w:val="bottom"/>
            <w:gridSpan w:val="9"/>
          </w:tcPr>
          <w:p>
            <w:pPr>
              <w:jc w:val="right"/>
              <w:ind w:right="900"/>
              <w:spacing w:after="0" w:line="196"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Security Products</w:t>
            </w:r>
          </w:p>
        </w:tc>
        <w:tc>
          <w:tcPr>
            <w:tcW w:w="2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3,016</w:t>
            </w:r>
          </w:p>
        </w:tc>
        <w:tc>
          <w:tcPr>
            <w:tcW w:w="200" w:type="dxa"/>
            <w:vAlign w:val="bottom"/>
          </w:tcPr>
          <w:p>
            <w:pPr>
              <w:spacing w:after="0"/>
              <w:rPr>
                <w:sz w:val="18"/>
                <w:szCs w:val="18"/>
                <w:color w:val="auto"/>
              </w:rPr>
            </w:pPr>
          </w:p>
        </w:tc>
        <w:tc>
          <w:tcPr>
            <w:tcW w:w="220" w:type="dxa"/>
            <w:vAlign w:val="bottom"/>
            <w:gridSpan w:val="3"/>
          </w:tcPr>
          <w:p>
            <w:pPr>
              <w:jc w:val="right"/>
              <w:ind w:right="6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Marine Components</w:t>
            </w:r>
          </w:p>
        </w:tc>
        <w:tc>
          <w:tcPr>
            <w:tcW w:w="1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Corporate</w:t>
            </w:r>
          </w:p>
        </w:tc>
        <w:tc>
          <w:tcPr>
            <w:tcW w:w="1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benefits</w:t>
            </w:r>
          </w:p>
        </w:tc>
        <w:tc>
          <w:tcPr>
            <w:tcW w:w="1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9,794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7,723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Taxes other than on income</w:t>
            </w:r>
          </w:p>
        </w:tc>
        <w:tc>
          <w:tcPr>
            <w:tcW w:w="1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295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1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263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tooling</w:t>
            </w:r>
          </w:p>
        </w:tc>
        <w:tc>
          <w:tcPr>
            <w:tcW w:w="1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Advances from customers</w:t>
            </w:r>
          </w:p>
        </w:tc>
        <w:tc>
          <w:tcPr>
            <w:tcW w:w="1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8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308</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392</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accounts payable and accrued liabilities</w:t>
            </w:r>
          </w:p>
        </w:tc>
        <w:tc>
          <w:tcPr>
            <w:tcW w:w="1940" w:type="dxa"/>
            <w:vAlign w:val="bottom"/>
            <w:tcBorders>
              <w:bottom w:val="single" w:sz="8" w:color="CCEEFF"/>
            </w:tcBorders>
            <w:gridSpan w:val="3"/>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14,971</w:t>
            </w:r>
          </w:p>
        </w:tc>
        <w:tc>
          <w:tcPr>
            <w:tcW w:w="2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13,400</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60" w:type="dxa"/>
            <w:vAlign w:val="bottom"/>
            <w:vMerge w:val="restart"/>
          </w:tcPr>
          <w:p>
            <w:pPr>
              <w:jc w:val="right"/>
              <w:ind w:right="1230"/>
              <w:spacing w:after="0"/>
              <w:rPr>
                <w:sz w:val="20"/>
                <w:szCs w:val="20"/>
                <w:color w:val="auto"/>
              </w:rPr>
            </w:pPr>
            <w:r>
              <w:rPr>
                <w:rFonts w:ascii="Times New Roman" w:cs="Times New Roman" w:eastAsia="Times New Roman" w:hAnsi="Times New Roman"/>
                <w:sz w:val="18"/>
                <w:szCs w:val="18"/>
                <w:color w:val="auto"/>
              </w:rPr>
              <w:t>- 9 -</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00" w:right="1440" w:bottom="1440" w:gutter="0" w:footer="0" w:header="0"/>
        </w:sectPr>
      </w:pPr>
    </w:p>
    <w:bookmarkStart w:id="9" w:name="page10"/>
    <w:bookmarkEnd w:id="9"/>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6 – Income taxes: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gridSpan w:val="4"/>
          </w:tcPr>
          <w:p>
            <w:pPr>
              <w:jc w:val="right"/>
              <w:ind w:right="310"/>
              <w:spacing w:after="0" w:line="196"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Expected tax expense, at the U.S. federal statutory</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gridSpan w:val="2"/>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gridSpan w:val="2"/>
            <w:vMerge w:val="restart"/>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income tax rate of 21%</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420" w:type="dxa"/>
            <w:vAlign w:val="bottom"/>
            <w:gridSpan w:val="2"/>
            <w:vMerge w:val="continue"/>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4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460" w:type="dxa"/>
            <w:vAlign w:val="bottom"/>
            <w:gridSpan w:val="2"/>
            <w:vMerge w:val="continue"/>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income taxes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28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2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2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1,713</w:t>
            </w: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2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provision for income taxes allocable to:</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4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1,713</w:t>
            </w:r>
          </w:p>
        </w:tc>
        <w:tc>
          <w:tcPr>
            <w:tcW w:w="4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46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Other comprehensive income - marketable securities</w:t>
            </w: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1,713</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On July 4, 2025, the One Big Beautiful Bill Act (“OBBBA”) was signed into law in the United States. The OBBBA, among other provisions, provides for bonus depreciation of qualified property, permanently modifies the interest expense deduction to use an adjusted taxable income based on a calculation similar to EBITDA, and makes changes to international tax provisions including FDII (renamed Foreign-derived Deduction Eligible Income (“FDDEI”)). The legislation has multiple effective dates, with certain provisions effective in 2025 and others implemented through 2027. We are evaluating the relevant provisions of the Act and do not expect them to have a material impact on our tax provision.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7 – Commitments and contingencies:</w:t>
      </w:r>
    </w:p>
    <w:p>
      <w:pPr>
        <w:spacing w:after="0" w:line="121" w:lineRule="exact"/>
        <w:rPr>
          <w:sz w:val="20"/>
          <w:szCs w:val="20"/>
          <w:color w:val="auto"/>
        </w:rPr>
      </w:pPr>
    </w:p>
    <w:p>
      <w:pPr>
        <w:jc w:val="both"/>
        <w:ind w:left="60" w:right="59" w:firstLine="648"/>
        <w:spacing w:after="0" w:line="269" w:lineRule="auto"/>
        <w:rPr>
          <w:sz w:val="20"/>
          <w:szCs w:val="20"/>
          <w:color w:val="auto"/>
        </w:rPr>
      </w:pPr>
      <w:r>
        <w:rPr>
          <w:rFonts w:ascii="Times New Roman" w:cs="Times New Roman" w:eastAsia="Times New Roman" w:hAnsi="Times New Roman"/>
          <w:sz w:val="17"/>
          <w:szCs w:val="17"/>
          <w:color w:val="auto"/>
        </w:rPr>
        <w:t>From time to time, we may be involved in various environmental, contractual, product liability, patent (or intellectual property), employment and other claims and disputes incidental to our business. At least quarterly our management discusses and evaluates the status of any pending litigation to which we are a party. The factors considered in such evaluation include, among other things, the nature of such pending cases, the status of such pending cases, the advice of legal counsel and our experience in similar cases (if any). Based on such evaluation, we make a determination as to whether we believe (i) it is probable a loss has been incurred, and if so if the amount of such loss (or a range of loss) is reasonably estimable, or (ii) it is reasonably possible but not probable a loss has been incurred, and if so if the amount of such loss (or a range of loss) is reasonably estimable, or (iii) the probability a loss has been incurred is remote. We have not accrued any amounts for litigation matters because of the uncertainty of the liability and inability to reasonably estimate the liability, if any. We currently believe the disposition of all claims and disputes, individually or in the aggregate, should not have a material adverse effect on our Consolidated Financial Statements, results of operations or liquidity.</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 Financial instruments:</w:t>
      </w:r>
    </w:p>
    <w:p>
      <w:pPr>
        <w:spacing w:after="0" w:line="22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financial instruments that are not carried at fair value but which require fair value disclosure:</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June 30, 2025</w:t>
            </w:r>
          </w:p>
        </w:tc>
      </w:tr>
      <w:tr>
        <w:trPr>
          <w:trHeight w:val="187"/>
        </w:trPr>
        <w:tc>
          <w:tcPr>
            <w:tcW w:w="3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r>
      <w:tr>
        <w:trPr>
          <w:trHeight w:val="238"/>
        </w:trPr>
        <w:tc>
          <w:tcPr>
            <w:tcW w:w="3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196"/>
        </w:trPr>
        <w:tc>
          <w:tcPr>
            <w:tcW w:w="3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gridSpan w:val="4"/>
          </w:tcPr>
          <w:p>
            <w:pPr>
              <w:jc w:val="right"/>
              <w:ind w:right="450"/>
              <w:spacing w:after="0" w:line="196"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60,782</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60,782</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56,215</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56,215</w:t>
            </w:r>
          </w:p>
        </w:tc>
      </w:tr>
    </w:tbl>
    <w:p>
      <w:pPr>
        <w:spacing w:after="0" w:line="19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Due to their near-term maturities, the carrying amounts of accounts receivable and accounts payable are considered equivalent to fair value. See Notes 3 and 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 Related party transactions:</w:t>
      </w:r>
    </w:p>
    <w:p>
      <w:pPr>
        <w:spacing w:after="0" w:line="229" w:lineRule="exact"/>
        <w:rPr>
          <w:sz w:val="20"/>
          <w:szCs w:val="20"/>
          <w:color w:val="auto"/>
        </w:rPr>
      </w:pPr>
    </w:p>
    <w:p>
      <w:pPr>
        <w:jc w:val="both"/>
        <w:ind w:left="60" w:right="59" w:firstLine="648"/>
        <w:spacing w:after="0" w:line="269" w:lineRule="auto"/>
        <w:rPr>
          <w:sz w:val="20"/>
          <w:szCs w:val="20"/>
          <w:color w:val="auto"/>
        </w:rPr>
      </w:pPr>
      <w:r>
        <w:rPr>
          <w:rFonts w:ascii="Times New Roman" w:cs="Times New Roman" w:eastAsia="Times New Roman" w:hAnsi="Times New Roman"/>
          <w:sz w:val="17"/>
          <w:szCs w:val="17"/>
          <w:color w:val="auto"/>
        </w:rPr>
        <w:t>From time to time, we may have loans and advances outstanding between us and various related parties pursuant to term and demand notes. We generally enter into these loans and advances for cash management purposes. When we loan funds to related parties, we are generally able to earn a higher rate of return on the loan than we would earn if we invested the funds in other instruments, and when we borrow from related parties, we are generally able to pay a lower rate of interest than we would pay if we had incurred third-party indebtedness. While certain of these loans to affiliates may be of a lesser credit quality than cash equivalent instruments otherwise available to us, we believe we have considered the credit risks in the terms of the applicable loans. In this regard, we have an unsecured revolving demand promissory note with Valhi under which, as amended, we agreed to loan Valhi up to $25 million. Our loan to Valhi, as amended, bears interest at prime plus 1.00%, payable quarterly, with all principal due on demand, but in any event no earlier than December 31, 2026. Loans made to Valhi at any time under the agreement are at our discretion. At June 30, 2025, the outstanding principal balance receivable from Valhi under the promissory note was $8.9 million. Interest income (including unused commitment fees) on our loan to Valhi was $.5 million and $.4 million for the six months ended June 30, 2024 and 2025, respectively.</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 Recent Accounting Pronouncements:</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ASU 2023-09, Income Taxes (Topic 740):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The ASU requires additional annual disclosure and disaggregation for the rate reconciliation, income taxes paid and income tax expense by federal, state and non-U.S. tax jurisdictions. In addition, the standard increases the disclosure requirements for items included in the rate reconciliation that meet a quantitative threshold. The ASU is effective for us beginning with our 2025 Annual Report. The ASU may be applied prospectively; however, entities have the option to apply it retrospectively. We are in the process of evaluating the additional disclosure requirements.</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Reporting Comprehensive Income -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Disaggregation Disclosures</w:t>
      </w:r>
      <w:r>
        <w:rPr>
          <w:rFonts w:ascii="Times New Roman" w:cs="Times New Roman" w:eastAsia="Times New Roman" w:hAnsi="Times New Roman"/>
          <w:sz w:val="18"/>
          <w:szCs w:val="18"/>
          <w:color w:val="auto"/>
        </w:rPr>
        <w:t>. The ASU requires additional information about specific expense categories in the notes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for both interim and annual reporting periods. The ASU is effective for us beginning with our 2027 Annual Report, and for interim reporting in the first quarter of 2028, with early adoption permitted. We are in the process of evaluating the additional disclosure requirements.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340" w:right="739" w:hanging="1295"/>
        <w:spacing w:after="0" w:line="286" w:lineRule="auto"/>
        <w:tabs>
          <w:tab w:leader="none" w:pos="13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are a leading manufacturer of engineered components utilized in a variety of applications and industries. Through our Security Products segment we manufacture mechanical and electrical cabinet locks and other locking mechanisms used in postal, recreational transportation, office and institutional furniture, cabinetry, tool storage and healthcare applications. We also manufacture wake enhancement systems, stainless steel exhaust systems, gauges, throttle controls, trim tabs and related hardware and accessories for the recreational marine and other industries through our Marine Components segment.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as amended. Statements in this Quarterly Report that are not historical facts are forward-looking in nature and represent management’s beliefs and assumptions based on currently available information. In some cases, you can identify forward-looking statements by the use of words such as “believes,” “intends,” “may,” “should,” “could,” “anticipates,” “expects” or comparable terminology, or by discussions of strategies or trends. Although we believe that the expectations reflected in such forward-looking statements are reasonable, we do not know if these expectations will be correct. Such statements by their nature involve substantial risks and uncertainties that could significantly impact expected results. Actual future results could differ materially from those predicted. The factors that could cause actual future results to differ materially from those described herein are the risks and uncertainties discussed in this Quarterly Report and those described from time to time in our other filings with the SEC and include, but are not limited to, the following:</w:t>
      </w:r>
    </w:p>
    <w:p>
      <w:pPr>
        <w:spacing w:after="0" w:line="192" w:lineRule="exact"/>
        <w:rPr>
          <w:sz w:val="20"/>
          <w:szCs w:val="20"/>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supply and demand for our products;</w:t>
      </w:r>
    </w:p>
    <w:p>
      <w:pPr>
        <w:spacing w:after="0" w:line="117"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raw material and other operating costs (such as zinc, brass, aluminum, steel and energy costs), including as a result of additional or changed tariffs on imported raw materials, and our ability to pass those costs on to our customers or offset them with reductions in other operating costs;</w:t>
      </w:r>
    </w:p>
    <w:p>
      <w:pPr>
        <w:spacing w:after="0" w:line="6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product competition from low-cost manufacturing sources (such as China);</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pricing and production decisions;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and competitor strategies including substitute products;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new product development and the development of new product features;</w:t>
      </w:r>
    </w:p>
    <w:p>
      <w:pPr>
        <w:spacing w:after="0" w:line="117"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or possible future litigation (such as litigation related to our use of certain permitted chemicals in our production process) or other actions;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or defend our intellectual property rights;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difficulties in integrating future acquisitions;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to sell operating assets other than in the ordinary course of business;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 (such as those requiring emission and discharge standards for existing and new facilities);</w:t>
      </w:r>
    </w:p>
    <w:p>
      <w:pPr>
        <w:spacing w:after="0" w:line="117"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outcome of income tax audits, tax settlement initiatives or other tax matters, including future tax reform;</w:t>
      </w:r>
    </w:p>
    <w:p>
      <w:pPr>
        <w:spacing w:after="0" w:line="53"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laws and regulations and possible changes therein including new environmental, health and safety, sustainability or other regulations;</w:t>
      </w:r>
    </w:p>
    <w:p>
      <w:pPr>
        <w:spacing w:after="0" w:line="53"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global economic and political conditions that disrupt our supply chain, reduce demand or perceived demand for component products or impair our ability to operate our facilities (including changes in the level of gross domestic product in various regions of the world, natural disasters, terrorist acts, global conflicts and public health crises);</w:t>
      </w:r>
    </w:p>
    <w:p>
      <w:pPr>
        <w:spacing w:after="0" w:line="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interruptions (including, but not limited to, labor disputes, leaks, natural disasters, fires, explosions,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720" w:right="79"/>
        <w:spacing w:after="0" w:line="282" w:lineRule="auto"/>
        <w:rPr>
          <w:sz w:val="20"/>
          <w:szCs w:val="20"/>
          <w:color w:val="auto"/>
        </w:rPr>
      </w:pPr>
      <w:r>
        <w:rPr>
          <w:rFonts w:ascii="Times New Roman" w:cs="Times New Roman" w:eastAsia="Times New Roman" w:hAnsi="Times New Roman"/>
          <w:sz w:val="18"/>
          <w:szCs w:val="18"/>
          <w:color w:val="auto"/>
        </w:rPr>
        <w:t>unscheduled or unplanned downtime, transportation interruptions, certain regional and world events or economic conditions and public health crises);</w:t>
      </w:r>
    </w:p>
    <w:p>
      <w:pPr>
        <w:spacing w:after="0" w:line="54" w:lineRule="exact"/>
        <w:rPr>
          <w:sz w:val="20"/>
          <w:szCs w:val="20"/>
          <w:color w:val="auto"/>
        </w:rPr>
      </w:pPr>
    </w:p>
    <w:p>
      <w:pPr>
        <w:ind w:left="720" w:right="7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or changes in existing, tariffs, trade barriers or trade disputes (including tariffs imposed by the U.S. government on imports from China and Mexico);</w:t>
      </w:r>
    </w:p>
    <w:p>
      <w:pPr>
        <w:spacing w:after="0" w:line="53"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related disruptions (including, but not limited to, cyber-attacks; software implementation, upgrades or improvements; technology processing failures; or other events) related to our technology infrastructure that could impact our ability to continue operations, or at key vendors which could impact our supply chain, or at key customers which could impact their operations and cause them to curtail or pause orders; and</w:t>
      </w:r>
    </w:p>
    <w:p>
      <w:pPr>
        <w:spacing w:after="0" w:line="7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disruption of our business or increases in the cost of doing business resulting from terrorist activities or global conflicts.</w:t>
      </w:r>
    </w:p>
    <w:p>
      <w:pPr>
        <w:spacing w:after="0" w:line="16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Should one or more of these risks materialize (or the consequences of such development worsen), or should the underlying assumptions prove incorrect, actual results could differ materially from those currently forecasted or expected. We disclaim any intention or obligation to update or revise any forward-looking statement whether as a result of changes in information, future events or otherwise.</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Operating Income Overview</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Operating income in the second quarter of 2025 was $6.3 million compared to $5.1 million in the same period of 2024. Operating income for the first six months of 2025 was $12.2 million compared to $8.8 million for the comparable prior year period. Our operating income increased in the second quarter and for the first six months of 2025 due to higher sales and gross margin at each of the Security Products and Marine Components segments.</w:t>
      </w:r>
    </w:p>
    <w:p>
      <w:pPr>
        <w:spacing w:after="0" w:line="18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sell a large number of products that have a wide variation in selling price and manufacturing cost, which results in certain practical limitations on our ability to quantify the impact of changes in individual product sales quantities and selling prices on our net sales, cost of sales and gross margin. In addition, small variations in period-to-period net sales, cost of sales and gross margin can result from changes in the relative mix of our products sold.</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23"/>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gridSpan w:val="9"/>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5"/>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gridSpan w:val="4"/>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(Dollars in</w:t>
            </w:r>
          </w:p>
        </w:tc>
        <w:tc>
          <w:tcPr>
            <w:tcW w:w="8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40,366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24,722</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27,476</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68.1</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Gross margin</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12,890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6,084</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6,570</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7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income</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5,081</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6,320</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4"/>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gridSpan w:val="9"/>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5"/>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3"/>
          </w:tcPr>
          <w:p>
            <w:pPr>
              <w:jc w:val="right"/>
              <w:ind w:right="70"/>
              <w:spacing w:after="0" w:line="196" w:lineRule="exact"/>
              <w:rPr>
                <w:sz w:val="20"/>
                <w:szCs w:val="20"/>
                <w:color w:val="auto"/>
              </w:rPr>
            </w:pPr>
            <w:r>
              <w:rPr>
                <w:rFonts w:ascii="Times New Roman" w:cs="Times New Roman" w:eastAsia="Times New Roman" w:hAnsi="Times New Roman"/>
                <w:sz w:val="18"/>
                <w:szCs w:val="18"/>
                <w:b w:val="1"/>
                <w:bCs w:val="1"/>
                <w:color w:val="auto"/>
              </w:rPr>
              <w:t>(Dollars in</w:t>
            </w:r>
          </w:p>
        </w:tc>
        <w:tc>
          <w:tcPr>
            <w:tcW w:w="8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18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73,858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100.0 %</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80,638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20" w:type="dxa"/>
            <w:vAlign w:val="bottom"/>
          </w:tcPr>
          <w:p>
            <w:pPr>
              <w:spacing w:after="0"/>
              <w:rPr>
                <w:sz w:val="18"/>
                <w:szCs w:val="18"/>
                <w:color w:val="auto"/>
              </w:rPr>
            </w:pPr>
          </w:p>
        </w:tc>
      </w:tr>
      <w:tr>
        <w:trPr>
          <w:trHeight w:val="216"/>
        </w:trPr>
        <w:tc>
          <w:tcPr>
            <w:tcW w:w="4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53,026</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55,585</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68.9</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shd w:val="clear" w:color="auto" w:fill="CCEEFF"/>
          </w:tcPr>
          <w:p>
            <w:pPr>
              <w:spacing w:after="0"/>
              <w:rPr>
                <w:sz w:val="18"/>
                <w:szCs w:val="18"/>
                <w:color w:val="auto"/>
              </w:rPr>
            </w:pPr>
          </w:p>
        </w:tc>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Gross margin</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25,053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12,036</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12,864</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7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Borders>
              <w:bottom w:val="single" w:sz="8" w:color="auto"/>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8,796</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2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12,189</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left="60" w:right="5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increased $4.5 million and $6.8 million in the second quarter and for the first six months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respectively, compared to the same periods in 2024 due to higher Security Products sales to the government security market and higher Marine Component sales to the government and towboat markets. See segment discussion below.</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Cost of sales and gross margin. </w:t>
      </w:r>
      <w:r>
        <w:rPr>
          <w:rFonts w:ascii="Times New Roman" w:cs="Times New Roman" w:eastAsia="Times New Roman" w:hAnsi="Times New Roman"/>
          <w:sz w:val="18"/>
          <w:szCs w:val="18"/>
          <w:color w:val="auto"/>
        </w:rPr>
        <w:t>Cost of sales as a percentage of sales improved .8% in the second quarter of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2024. As a result, gross margin as a percentage of sales increased over the same period. Gross margin percentage increased in the second quarter of 2025 compared to the same period in 2024 primarily due to higher Marine Components gross margin percentage partially offset by lower Security Products gross margin percentage. Cost of sales as a percentage of sales improved 2.9% for the first six months of 2025 compared to the same period in 2024. As a result, gross margin as a percentage of sales increased over the same period. The increase in gross margin percentage for the six-month comparative period is primarily due to higher gross margin percentage at Marine Components, primarily in the first quarter. See segment discussion below.</w:t>
      </w:r>
    </w:p>
    <w:p>
      <w:pPr>
        <w:spacing w:after="0" w:line="185"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Operating costs and expenses. </w:t>
      </w:r>
      <w:r>
        <w:rPr>
          <w:rFonts w:ascii="Times New Roman" w:cs="Times New Roman" w:eastAsia="Times New Roman" w:hAnsi="Times New Roman"/>
          <w:sz w:val="18"/>
          <w:szCs w:val="18"/>
          <w:color w:val="auto"/>
        </w:rPr>
        <w:t>Operating costs and expenses consist primarily of sales and administrative-related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personnel costs, sales commissions and advertising expenses directly related to product sales and administrative costs relating to business unit and corporate management activities, as well as any gains and losses on property and equipment. Operating costs and expenses for the second quarter and the first six months of 2025 increased $.5 million and $.8 million, respectively, compared to the same periods in 2024 primarily due to higher employee related costs including salaries, benefits and medical expenses at both segments. Operating costs and expenses as a percentage of net sales decreased for the second quarter and for the first six months of 2025 due to higher coverage of operating costs and expenses as a result of higher sales.</w:t>
      </w:r>
    </w:p>
    <w:p>
      <w:pPr>
        <w:spacing w:after="0" w:line="77" w:lineRule="exact"/>
        <w:rPr>
          <w:sz w:val="20"/>
          <w:szCs w:val="20"/>
          <w:color w:val="auto"/>
        </w:rPr>
      </w:pPr>
    </w:p>
    <w:p>
      <w:pPr>
        <w:jc w:val="both"/>
        <w:ind w:left="60" w:right="5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income. </w:t>
      </w:r>
      <w:r>
        <w:rPr>
          <w:rFonts w:ascii="Times New Roman" w:cs="Times New Roman" w:eastAsia="Times New Roman" w:hAnsi="Times New Roman"/>
          <w:sz w:val="18"/>
          <w:szCs w:val="18"/>
          <w:color w:val="auto"/>
        </w:rPr>
        <w:t>As a percentage of net sales, operating income for the second quarter and the first six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2025 increased compared to the same periods of 2024 and was primarily impacted by the factors affecting sales, cost of sales, gross margin and operating costs and expenses. See segment discussion below.</w:t>
      </w:r>
    </w:p>
    <w:p>
      <w:pPr>
        <w:spacing w:after="0" w:line="65" w:lineRule="exact"/>
        <w:rPr>
          <w:sz w:val="20"/>
          <w:szCs w:val="20"/>
          <w:color w:val="auto"/>
        </w:rPr>
      </w:pPr>
    </w:p>
    <w:p>
      <w:pPr>
        <w:jc w:val="both"/>
        <w:ind w:left="60" w:right="5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decreased $.4 million and $.8 million in the second quarter and for the first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of 2025, respectively, compared to the same periods in 2024 primarily due to lower average interest rates and decreased cash balances.</w:t>
      </w:r>
    </w:p>
    <w:p>
      <w:pPr>
        <w:spacing w:after="0" w:line="17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A tabular reconciliation of our actual tax provision to the U.S. federal statutory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 rate is included in Note 6 to the Condensed Consolidated Financial Statements. Our operations are wholly within the U.S. and therefore our effective income tax rate is primarily reflective of the U.S. federal statutory rate and applicable state taxes.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Key performance indicators for our segments are gross margin and operating income.</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gridSpan w:val="6"/>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6"/>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4"/>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6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6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60" w:type="dxa"/>
            <w:vAlign w:val="bottom"/>
          </w:tcPr>
          <w:p>
            <w:pPr>
              <w:spacing w:after="0"/>
              <w:rPr>
                <w:sz w:val="18"/>
                <w:szCs w:val="18"/>
                <w:color w:val="auto"/>
              </w:rPr>
            </w:pPr>
          </w:p>
        </w:tc>
        <w:tc>
          <w:tcPr>
            <w:tcW w:w="7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gridSpan w:val="4"/>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(Dollars in</w:t>
            </w:r>
          </w:p>
        </w:tc>
        <w:tc>
          <w:tcPr>
            <w:tcW w:w="7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0"/>
              </w:rPr>
              <w:t>thousands)</w:t>
            </w: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4"/>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(Dollars in</w:t>
            </w:r>
          </w:p>
        </w:tc>
        <w:tc>
          <w:tcPr>
            <w:tcW w:w="7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3"/>
              </w:rPr>
              <w:t>thousands)</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Products: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sales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28,213</w:t>
            </w:r>
          </w:p>
        </w:tc>
        <w:tc>
          <w:tcPr>
            <w:tcW w:w="200" w:type="dxa"/>
            <w:vAlign w:val="bottom"/>
          </w:tcPr>
          <w:p>
            <w:pPr>
              <w:spacing w:after="0"/>
              <w:rPr>
                <w:sz w:val="18"/>
                <w:szCs w:val="18"/>
                <w:color w:val="auto"/>
              </w:rPr>
            </w:pP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30,683</w:t>
            </w:r>
          </w:p>
        </w:tc>
        <w:tc>
          <w:tcPr>
            <w:tcW w:w="26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9 %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58,100</w:t>
            </w:r>
          </w:p>
        </w:tc>
        <w:tc>
          <w:tcPr>
            <w:tcW w:w="180" w:type="dxa"/>
            <w:vAlign w:val="bottom"/>
          </w:tcPr>
          <w:p>
            <w:pPr>
              <w:spacing w:after="0"/>
              <w:rPr>
                <w:sz w:val="18"/>
                <w:szCs w:val="18"/>
                <w:color w:val="auto"/>
              </w:rPr>
            </w:pPr>
          </w:p>
        </w:tc>
        <w:tc>
          <w:tcPr>
            <w:tcW w:w="24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60,913</w:t>
            </w:r>
          </w:p>
        </w:tc>
        <w:tc>
          <w:tcPr>
            <w:tcW w:w="26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Cost of sales</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19,261</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21,129</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40,376</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42,361</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Gross margin</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9,554</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18,552</w:t>
            </w:r>
          </w:p>
        </w:tc>
        <w:tc>
          <w:tcPr>
            <w:tcW w:w="260" w:type="dxa"/>
            <w:vAlign w:val="bottom"/>
          </w:tcPr>
          <w:p>
            <w:pPr>
              <w:spacing w:after="0"/>
              <w:rPr>
                <w:sz w:val="18"/>
                <w:szCs w:val="18"/>
                <w:color w:val="auto"/>
              </w:rPr>
            </w:pPr>
          </w:p>
        </w:tc>
        <w:tc>
          <w:tcPr>
            <w:tcW w:w="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3,786</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6,832</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7,263</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6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Operating income</w:t>
            </w:r>
          </w:p>
        </w:tc>
        <w:tc>
          <w:tcPr>
            <w:tcW w:w="40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5,442</w:t>
            </w:r>
          </w:p>
        </w:tc>
        <w:tc>
          <w:tcPr>
            <w:tcW w:w="2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5,768</w:t>
            </w:r>
          </w:p>
        </w:tc>
        <w:tc>
          <w:tcPr>
            <w:tcW w:w="26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10,892</w:t>
            </w:r>
          </w:p>
        </w:tc>
        <w:tc>
          <w:tcPr>
            <w:tcW w:w="1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11,289</w:t>
            </w:r>
          </w:p>
        </w:tc>
        <w:tc>
          <w:tcPr>
            <w:tcW w:w="26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31.7 %</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31.1 %</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30.5 %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30.5 %</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margin</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Security Products</w:t>
      </w:r>
      <w:r>
        <w:rPr>
          <w:rFonts w:ascii="Times New Roman" w:cs="Times New Roman" w:eastAsia="Times New Roman" w:hAnsi="Times New Roman"/>
          <w:sz w:val="18"/>
          <w:szCs w:val="18"/>
          <w:color w:val="auto"/>
        </w:rPr>
        <w:t>. Security Products net sales increased 9% and 5% in each of the second quarter and first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of 2025, respectively, compared to the same periods in 2024. Relative to prior year, the increase in second quarter sales was primarily due to $3.3 million higher sales to the government security market and $.5 million higher sales to the healthcare market, partially offset by $.9 million lower sales to the transportation market, $.3 million lower sales to the tool storage market and $.2 million lower sales to distributors. Relative to prior year, the increase in sales for the first six months was primarily due to $4.9 million higher sales to the government security market and $.8 million higher sales to the healthcare market, partially offset by $1.5 million lower sales to the transportation market, $.6 million lower sales to the tool storage market and $.4 million lower sales to distributors.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Gross margin and operating income as a percentage of net sales for the second quarter of 2025 decreased slightly as compared to the same period in 2024 primarily due to higher employee related costs including salaries, benefits and medical expense partially offset by increased coverage of fixed costs and operating costs and expenses as a result of higher sales. Gross margin as a percentage of net sales in the first six months of 2025 were comparable to the same period in 2024. Operating income as a percentage of net sales in the first six months of 2025 decreased slightly compared to the same period in prior year due to higher employee related costs including salaries, benefits and medical expenses.</w:t>
      </w:r>
    </w:p>
    <w:p>
      <w:pPr>
        <w:spacing w:after="0" w:line="19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6"/>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6"/>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6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60" w:type="dxa"/>
            <w:vAlign w:val="bottom"/>
          </w:tcPr>
          <w:p>
            <w:pPr>
              <w:spacing w:after="0"/>
              <w:rPr>
                <w:sz w:val="18"/>
                <w:szCs w:val="18"/>
                <w:color w:val="auto"/>
              </w:rPr>
            </w:pPr>
          </w:p>
        </w:tc>
        <w:tc>
          <w:tcPr>
            <w:tcW w:w="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6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gridSpan w:val="4"/>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(Dollars in</w:t>
            </w:r>
          </w:p>
        </w:tc>
        <w:tc>
          <w:tcPr>
            <w:tcW w:w="7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3"/>
              </w:rPr>
              <w:t>thousands)</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4"/>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(Dollars in</w:t>
            </w:r>
          </w:p>
        </w:tc>
        <w:tc>
          <w:tcPr>
            <w:tcW w:w="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2"/>
              </w:rPr>
              <w:t>thousands)</w:t>
            </w: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Marine Components: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sales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7,674</w:t>
            </w:r>
          </w:p>
        </w:tc>
        <w:tc>
          <w:tcPr>
            <w:tcW w:w="200" w:type="dxa"/>
            <w:vAlign w:val="bottom"/>
          </w:tcPr>
          <w:p>
            <w:pPr>
              <w:spacing w:after="0"/>
              <w:rPr>
                <w:sz w:val="18"/>
                <w:szCs w:val="18"/>
                <w:color w:val="auto"/>
              </w:rPr>
            </w:pPr>
          </w:p>
        </w:tc>
        <w:tc>
          <w:tcPr>
            <w:tcW w:w="24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9,683</w:t>
            </w:r>
          </w:p>
        </w:tc>
        <w:tc>
          <w:tcPr>
            <w:tcW w:w="260" w:type="dxa"/>
            <w:vAlign w:val="bottom"/>
          </w:tcPr>
          <w:p>
            <w:pPr>
              <w:spacing w:after="0"/>
              <w:rPr>
                <w:sz w:val="18"/>
                <w:szCs w:val="18"/>
                <w:color w:val="auto"/>
              </w:rPr>
            </w:pPr>
          </w:p>
        </w:tc>
        <w:tc>
          <w:tcPr>
            <w:tcW w:w="10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26 % $</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15,758</w:t>
            </w:r>
          </w:p>
        </w:tc>
        <w:tc>
          <w:tcPr>
            <w:tcW w:w="180" w:type="dxa"/>
            <w:vAlign w:val="bottom"/>
          </w:tcPr>
          <w:p>
            <w:pPr>
              <w:spacing w:after="0"/>
              <w:rPr>
                <w:sz w:val="18"/>
                <w:szCs w:val="18"/>
                <w:color w:val="auto"/>
              </w:rPr>
            </w:pP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19,725</w:t>
            </w:r>
          </w:p>
        </w:tc>
        <w:tc>
          <w:tcPr>
            <w:tcW w:w="2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Cost of sales</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6,347</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13,224</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Gross margin</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3,336</w:t>
            </w:r>
          </w:p>
        </w:tc>
        <w:tc>
          <w:tcPr>
            <w:tcW w:w="260" w:type="dxa"/>
            <w:vAlign w:val="bottom"/>
          </w:tcPr>
          <w:p>
            <w:pPr>
              <w:spacing w:after="0"/>
              <w:rPr>
                <w:sz w:val="18"/>
                <w:szCs w:val="18"/>
                <w:color w:val="auto"/>
              </w:rPr>
            </w:pPr>
          </w:p>
        </w:tc>
        <w:tc>
          <w:tcPr>
            <w:tcW w:w="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6,501</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942</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1,866</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6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Operating income</w:t>
            </w:r>
          </w:p>
        </w:tc>
        <w:tc>
          <w:tcPr>
            <w:tcW w:w="4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2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2,394</w:t>
            </w:r>
          </w:p>
        </w:tc>
        <w:tc>
          <w:tcPr>
            <w:tcW w:w="26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4,635</w:t>
            </w:r>
          </w:p>
        </w:tc>
        <w:tc>
          <w:tcPr>
            <w:tcW w:w="26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28.8 %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34.5 %</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19.7 %</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33.0 %</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margin</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60" w:right="5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Marine Components</w:t>
      </w:r>
      <w:r>
        <w:rPr>
          <w:rFonts w:ascii="Times New Roman" w:cs="Times New Roman" w:eastAsia="Times New Roman" w:hAnsi="Times New Roman"/>
          <w:sz w:val="18"/>
          <w:szCs w:val="18"/>
          <w:color w:val="auto"/>
        </w:rPr>
        <w:t>. Marine Components net sales increased 26% in the second quarter of 2025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in 2024. Relative to prior year, the increase in second quarter sales was primarily due to $1.3 million higher sales to the government market and $.6 million higher sales to the towboat market. Marine Components net sales increased 25% in the first six months of 2025 compared to the same period in 2024. Relative to prior year, the increase in sales for the first six months was primarily due to $2.5 million higher sales to the government market and $2.4 million higher sales to the towboat market, partially offset by $.7 million lower sales to the center console market.</w:t>
      </w:r>
    </w:p>
    <w:p>
      <w:pPr>
        <w:spacing w:after="0" w:line="184"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Gross margin as a percentage of net sales increased in the second quarter and for the first six months of 2025 compared to the same periods last year primarily due to increased coverage of fixed costs as a result of higher sales and to a lesser extent a more favorable customer and product mix. Operating income margin increased primarily due to increases in gross margin discussed above partially offset by higher employee related costs including salaries, benefits and medical expense.</w:t>
      </w:r>
    </w:p>
    <w:p>
      <w:pPr>
        <w:spacing w:after="0" w:line="181"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Outlook. </w:t>
      </w:r>
      <w:r>
        <w:rPr>
          <w:rFonts w:ascii="Times New Roman" w:cs="Times New Roman" w:eastAsia="Times New Roman" w:hAnsi="Times New Roman"/>
          <w:sz w:val="18"/>
          <w:szCs w:val="18"/>
          <w:color w:val="auto"/>
        </w:rPr>
        <w:t>Sales for the first half of 2025 reflect continued robust demand across both of our segments, surpassing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first half of 2024 sales. Marine Components sales and operating income for the first six months of 2025 exceeded prior year on the strength of improved demand to the government market as well as increased sales to the towboat market primarily in the first quarter of 2025 related to a one-time stocking event for a towboat OEM customer. Security Products sales improved from prior year predominantly due to increased sales to the government security market and to a lesser extent increased sales to the healthcare market. The raw material price increases we began experiencing in the third quarter of 2024 have continued through the first half of 2025, and we are starting to see some surcharges related to tariffs on certain components, primarily electronic components from Asia.</w:t>
      </w:r>
    </w:p>
    <w:p>
      <w:pPr>
        <w:spacing w:after="0" w:line="18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expect Security Products net sales in 2025 to improve over 2024 primarily due to continued higher sales to the government security and healthcare markets; however, we expect these increases will be offset somewhat by certain other markets that continue to be challenging including transportation and distribution. Security Products gross margin and operating income percentages will be challenged during the last half of 2025 primarily due to higher cost inventory we began producing late in the second quarter due to higher raw material costs and tariff related surcharges on certain raw materials, primarily electronic components, which we expect to continue in the second half of 2025. As a result, we expect gross margin and operating income margin at Security Products to be in-line with prior year. We expect Marine Components net sales to increase in 2025 predominantly due to higher expected sales to the government market as well as higher expected sales to the industrial market in the second half of the year. Overall, we expect Marine Components to have improved gross margins and operating income percentages in 2025 compared to 2024 due to increased coverage of fixed costs on higher expected sales volumes.</w:t>
      </w:r>
    </w:p>
    <w:p>
      <w:pPr>
        <w:spacing w:after="0" w:line="192"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We manufacture substantially all of our products in the U.S. and source a substantial majority of our raw materials from U.S. suppliers. We also source certain components, primarily electronic components from Asia, including China.</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Early in the first quarter of 2025, in anticipation of the U.S. federal government tariffs announcements, we increased purchases of certain electronic components and other components to mitigate the potential near-term impact of tariffs. As noted above, late in the second quarter we began incurring tariff related surcharges on certain raw materials, primarily electronic components. We are working to increase selling prices to our customers to recoup these increased raw material costs, although the extent to which we can fully recover such costs will depend on a variety of factors including the ultimate tariff rate, the length of time tariffs are in effect, and the ability of our customers to substitute alternative products. We will continue to monitor current and anticipated near-term customer demand levels to ensure our production capabilities and inventories are aligned accordingly.</w:t>
      </w:r>
    </w:p>
    <w:p>
      <w:pPr>
        <w:spacing w:after="0" w:line="19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Our expectations for our operations and the markets we serve are based on a number of factors outside our control. Currently, our supply chains are stable and transportation and logistical delays are minimal. We have in the past experienced global and domestic supply chain challenges, and any future impacts on our operations will depend on, among other things, any future disruption in our operations or our suppliers’ operations, the effect of tariffs and the impact of economic conditions, consumer confidence and geopolitical events on demand for our products or our customers’ and suppliers’ operations, all of which remain uncertain and cannot be predicted.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Consolidated cash flows </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Operating activities</w:t>
      </w:r>
      <w:r>
        <w:rPr>
          <w:rFonts w:ascii="Times New Roman" w:cs="Times New Roman" w:eastAsia="Times New Roman" w:hAnsi="Times New Roman"/>
          <w:sz w:val="18"/>
          <w:szCs w:val="18"/>
          <w:color w:val="auto"/>
        </w:rPr>
        <w:t>. Trends in cash flows from operating activities, excluding changes in assets and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generally been similar to the trends in operating earnings. Changes in assets and liabilities result primarily from the timing of production, sales and purchases. Changes in assets and liabilities generally tend to even out over time. However, period-to-period relative changes in assets and liabilities can significantly affect the comparability of cash flows from operating activities.</w:t>
      </w:r>
    </w:p>
    <w:p>
      <w:pPr>
        <w:spacing w:after="0" w:line="185"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Our net cash provided by operating activities for the first six months of 2025 decreased by $6.9 million as compared to the first six months of 2024. The decrease in net cash provided is primarily due to the net effects of:</w:t>
      </w:r>
    </w:p>
    <w:p>
      <w:pPr>
        <w:spacing w:after="0" w:line="162" w:lineRule="exact"/>
        <w:rPr>
          <w:sz w:val="20"/>
          <w:szCs w:val="20"/>
          <w:color w:val="auto"/>
        </w:rPr>
      </w:pPr>
    </w:p>
    <w:p>
      <w:pPr>
        <w:ind w:left="1040" w:right="79" w:hanging="315"/>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$10.7 million increase in the amount of net cash used by relative changes in our inventories, receivables, prepaids, payables and non-tax related accruals in 2025;</w:t>
      </w:r>
    </w:p>
    <w:p>
      <w:pPr>
        <w:spacing w:after="0" w:line="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$3.4 million increase in operating income in 2025; and</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$.6 million decrease in cash paid for taxes in 2025 due to the relative timing of payments.</w:t>
      </w:r>
    </w:p>
    <w:p>
      <w:pPr>
        <w:spacing w:after="0" w:line="11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Changes in working capital can have a significant effect on cash flows from operating activities. As shown below, the change in our average days sales outstanding increased from December 31, 2024 to June 30, 2025 primarily as a result of a seasonal increase in sales during the second quarter as compared to the fourth quarter and the timing of sales and collections relative to the end of the quarter. For comparative purposes, we have provided December 31, 2023 and June 30, 2024 numbers below.</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38"/>
        </w:trPr>
        <w:tc>
          <w:tcPr>
            <w:tcW w:w="4720" w:type="dxa"/>
            <w:vAlign w:val="bottom"/>
            <w:gridSpan w:val="2"/>
          </w:tcPr>
          <w:p>
            <w:pPr>
              <w:ind w:left="1320"/>
              <w:spacing w:after="0"/>
              <w:rPr>
                <w:sz w:val="20"/>
                <w:szCs w:val="20"/>
                <w:color w:val="auto"/>
              </w:rPr>
            </w:pPr>
            <w:r>
              <w:rPr>
                <w:rFonts w:ascii="Times New Roman" w:cs="Times New Roman" w:eastAsia="Times New Roman" w:hAnsi="Times New Roman"/>
                <w:sz w:val="18"/>
                <w:szCs w:val="18"/>
                <w:b w:val="1"/>
                <w:bCs w:val="1"/>
                <w:color w:val="auto"/>
              </w:rPr>
              <w:t>Days Sales Outstanding:</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8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09"/>
        </w:trPr>
        <w:tc>
          <w:tcPr>
            <w:tcW w:w="4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Products</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 Days</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 Days</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36 Days</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38 Days</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Marine Components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 Days</w:t>
            </w:r>
          </w:p>
        </w:tc>
        <w:tc>
          <w:tcPr>
            <w:tcW w:w="18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34 Days</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23 Days</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38 Days</w:t>
            </w:r>
          </w:p>
        </w:tc>
      </w:tr>
      <w:tr>
        <w:trPr>
          <w:trHeight w:val="216"/>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CompX</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 Days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39 Days</w:t>
            </w:r>
          </w:p>
        </w:tc>
        <w:tc>
          <w:tcPr>
            <w:tcW w:w="13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7"/>
              </w:rPr>
              <w:t>33 Days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38 Days</w:t>
            </w:r>
          </w:p>
        </w:tc>
      </w:tr>
    </w:tbl>
    <w:p>
      <w:pPr>
        <w:spacing w:after="0" w:line="19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As shown below, our average number of days in inventory increased from December 31, 2024 to June 30, 2025 primarily due to increased inventory as a result of higher raw material and production costs and to meet expected customer demand at both Security Products and Marine Components. For comparative purposes, we have provided December 31, 2023 and June 30, 2024 numbers below.</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90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38"/>
        </w:trPr>
        <w:tc>
          <w:tcPr>
            <w:tcW w:w="4720" w:type="dxa"/>
            <w:vAlign w:val="bottom"/>
            <w:gridSpan w:val="2"/>
          </w:tcPr>
          <w:p>
            <w:pPr>
              <w:ind w:left="1540"/>
              <w:spacing w:after="0"/>
              <w:rPr>
                <w:sz w:val="20"/>
                <w:szCs w:val="20"/>
                <w:color w:val="auto"/>
              </w:rPr>
            </w:pPr>
            <w:r>
              <w:rPr>
                <w:rFonts w:ascii="Times New Roman" w:cs="Times New Roman" w:eastAsia="Times New Roman" w:hAnsi="Times New Roman"/>
                <w:sz w:val="18"/>
                <w:szCs w:val="18"/>
                <w:b w:val="1"/>
                <w:bCs w:val="1"/>
                <w:color w:val="auto"/>
              </w:rPr>
              <w:t>Days in Inventory:</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8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0"/>
                <w:szCs w:val="20"/>
                <w:color w:val="auto"/>
              </w:rPr>
            </w:pPr>
          </w:p>
        </w:tc>
      </w:tr>
      <w:tr>
        <w:trPr>
          <w:trHeight w:val="210"/>
        </w:trPr>
        <w:tc>
          <w:tcPr>
            <w:tcW w:w="4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Products</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77 Days</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88 Days</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85 Days</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97 Days</w:t>
            </w: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Marine Components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175 Days</w:t>
            </w:r>
          </w:p>
        </w:tc>
        <w:tc>
          <w:tcPr>
            <w:tcW w:w="10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144 Days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130 Days</w:t>
            </w:r>
          </w:p>
        </w:tc>
        <w:tc>
          <w:tcPr>
            <w:tcW w:w="90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9"/>
              </w:rPr>
              <w:t>149 Days</w:t>
            </w:r>
          </w:p>
        </w:tc>
      </w:tr>
      <w:tr>
        <w:trPr>
          <w:trHeight w:val="216"/>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CompX</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95 Days</w:t>
            </w:r>
          </w:p>
        </w:tc>
        <w:tc>
          <w:tcPr>
            <w:tcW w:w="106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101 Days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94 Days</w:t>
            </w:r>
          </w:p>
        </w:tc>
        <w:tc>
          <w:tcPr>
            <w:tcW w:w="900" w:type="dxa"/>
            <w:vAlign w:val="bottom"/>
            <w:gridSpan w:val="3"/>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109 Days</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Our capital expenditures were $2.2 million and $.7 million in the first six months of 2025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respectively. During the first six months of 2025, Valhi repaid a net $.4 million under the promissory note ($6.0 million of gross borrowings and $6.4 million of gross repayments). During the first six months of 2024, Valhi repaid a net $1.4 million under the promissory note ($12.0 million of gross borrowings and $13.4 million of gross repayments). See Note 9 to our Condensed Consolidated Financial Statements.</w:t>
      </w:r>
    </w:p>
    <w:p>
      <w:pPr>
        <w:spacing w:after="0" w:line="185"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During the first six months of 2024, we received gross proceeds totaling $24.0 million related to U.S. treasury bill maturities.</w:t>
      </w:r>
    </w:p>
    <w:p>
      <w:pPr>
        <w:spacing w:after="0" w:line="16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Financing activities consisted only of cash dividends. During each of the first six months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and 2024, we paid aggregate quarterly dividends to CompX stockholders of $.60 per share. The declaration and payment of future dividends and the amount thereof, if any, is discretionary and is dependent upon our results of operations, financial condition, cash requirements for our businesses, contractual requirements and restrictions and other factors deemed relevant by our board of directors. The amount and timing of past dividends is not necessarily indicative of the amount or timing of any future dividends which we might pay. In this regard, in August 2025, our board of directors declared a special dividend of $1.00 per share on our Class A common stock, par value $.01 per share. The special dividend is payable on August 27, 2025 to stockholders of record at the close of business on August 18, 2025.</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Future cash requirements </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Liquidity</w:t>
      </w:r>
      <w:r>
        <w:rPr>
          <w:rFonts w:ascii="Times New Roman" w:cs="Times New Roman" w:eastAsia="Times New Roman" w:hAnsi="Times New Roman"/>
          <w:sz w:val="18"/>
          <w:szCs w:val="18"/>
          <w:color w:val="auto"/>
        </w:rPr>
        <w:t>. Our primary source of liquidity on an ongoing basis is our cash flow from operating activities,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used to (i) fund capital expenditures, (ii) repay short-term or long-term indebtedness incurred primarily for capital expenditures, investment activities or reducing our outstanding stock, (iii) provide for the payment of dividends (if declared), and (iv) lend to affiliates. From time-to-time, we will incur indebtedness, primarily to fund capital expenditures or business combinations.</w:t>
      </w:r>
    </w:p>
    <w:p>
      <w:pPr>
        <w:spacing w:after="0" w:line="18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Periodically, we evaluate liquidity requirements, alternative uses of capital, capital needs and available resources in view of, among other things, our capital expenditure requirements, dividend policy and estimated future operating cash flows. As a result of this process, we have in the past and may in the future seek to raise additional capital, refinance or restructure indebtedness, issue additional securities, modify our dividend policy or take a combination of such steps to manage our liquidity and capital resources. In the normal course of business, we may review opportunities for acquisitions, joint ventures or other business combinations in the component products industry. In the event of any such transaction, we may consider using available cash, issuing additional equity securities or increasing our indebtedness or that of our subsidiaries.</w:t>
      </w:r>
    </w:p>
    <w:p>
      <w:pPr>
        <w:spacing w:after="0" w:line="19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believe that cash generated from operations together with cash on hand, as well as our ability to obtain external financing, will be sufficient to meet our liquidity needs for working capital, capital expenditures, debt service, dividends (if declared) and any amounts we might loan from time to time under the terms of our revolving loan to Valhi discussed in Note 9 to our Condensed Consolidated Financial Statements (which loans would be solely at our discretion) for both the next 12 months and five years. To the extent that our actual operating results or other developments differ from our expectations, our liquidity could be adversely affected.</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 of our $56.2 million aggregate cash and cash equivalents at June 30, 2025 were held in the U.S.</w:t>
      </w:r>
    </w:p>
    <w:p>
      <w:pPr>
        <w:spacing w:after="0" w:line="223" w:lineRule="exact"/>
        <w:rPr>
          <w:sz w:val="20"/>
          <w:szCs w:val="20"/>
          <w:color w:val="auto"/>
        </w:rPr>
      </w:pPr>
    </w:p>
    <w:p>
      <w:pPr>
        <w:jc w:val="both"/>
        <w:ind w:left="60" w:right="5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Firm purchase commitments for capital projects in process at June 30, 2025 totaled $.6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We expect our capital expenditures for 2025 will be approximately $3.4 million primarily to meet our existing customer demand and those required to properly maintain our facilities and technology infrastructure.</w:t>
      </w:r>
    </w:p>
    <w:p>
      <w:pPr>
        <w:spacing w:after="0" w:line="173" w:lineRule="exact"/>
        <w:rPr>
          <w:sz w:val="20"/>
          <w:szCs w:val="20"/>
          <w:color w:val="auto"/>
        </w:rPr>
      </w:pPr>
    </w:p>
    <w:p>
      <w:pPr>
        <w:jc w:val="both"/>
        <w:ind w:left="60" w:right="7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Stock repurchase program. </w:t>
      </w:r>
      <w:r>
        <w:rPr>
          <w:rFonts w:ascii="Times New Roman" w:cs="Times New Roman" w:eastAsia="Times New Roman" w:hAnsi="Times New Roman"/>
          <w:sz w:val="18"/>
          <w:szCs w:val="18"/>
          <w:color w:val="auto"/>
        </w:rPr>
        <w:t>At June 30, 2025, we have 523,647 shares available for repurchase under a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repurchase program authorized by our board of directors.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Commitments and contingencies </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We are subject to certain commitments and contingencies, as more fully described in our 2024 Annual Report or in Note 7 to our Condensed Consolidated Financial Statements.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Note 10 to our Condensed Consolidated Financial Statements.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changes in the first six months of 2025 with respect to our critical accounting policies presented in Management’s Discussion and Analysis of Financial Condition and Results of Operations in our 2024 Annual Report.</w:t>
      </w:r>
    </w:p>
    <w:p>
      <w:pPr>
        <w:spacing w:after="0" w:line="172"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are exposed to market risk from changes in interest rates and raw material prices. There have been no material changes in these market risks since we filed our 2024 Annual Report, and we refer you to Part I, Item 7A – “Quantitative and Qualitative Disclosure About Market Risk” in our 2024 Annual Report. See also Note 8 to our Condensed Consolidated Financial Statements.</w:t>
      </w:r>
    </w:p>
    <w:p>
      <w:pPr>
        <w:spacing w:after="0" w:line="176"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2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Evaluation of Disclosure Controls and Procedures. </w:t>
      </w:r>
      <w:r>
        <w:rPr>
          <w:rFonts w:ascii="Times New Roman" w:cs="Times New Roman" w:eastAsia="Times New Roman" w:hAnsi="Times New Roman"/>
          <w:sz w:val="18"/>
          <w:szCs w:val="18"/>
          <w:color w:val="auto"/>
        </w:rPr>
        <w:t>We maintain disclosure controls and procedures which,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in Exchange Act Rule 13a-15(e), means controls and other procedures that are designed to ensure that information required to be disclosed in the reports that we file or submit to the SEC under the Securities Exchange Act of 1934, as amended (the “Act”), is recorded, processed, summarized and reported within the time periods specified in the SEC’s rules and forms. Disclosure controls and procedures include, without limitation, controls and procedures designed to ensure that information we are required to disclose in the reports that we file or submit to the SEC under the Act is accumulated and communicated to our management, including our principal executive officer and our principal financial officer, or persons performing similar functions, as appropriate to allow timely decisions to be made regarding required disclosure. Our management with the participation of Scott C. James, our President and Chief Executive Officer, and Amy A. Samford, our Executive Vice President and Chief Financial Officer, has evaluated the design and operating effectiveness of our disclosure controls and procedures as of June 30, 2025. Based upon their evaluation, these executive officers have concluded that our disclosure controls and procedures are effective as of the date of such evaluation.</w:t>
      </w:r>
    </w:p>
    <w:p>
      <w:pPr>
        <w:spacing w:after="0" w:line="190" w:lineRule="exact"/>
        <w:rPr>
          <w:sz w:val="20"/>
          <w:szCs w:val="20"/>
          <w:color w:val="auto"/>
        </w:rPr>
      </w:pPr>
    </w:p>
    <w:p>
      <w:pPr>
        <w:jc w:val="both"/>
        <w:ind w:left="60" w:right="59"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Internal Control Over Financial Reporting</w:t>
      </w:r>
      <w:r>
        <w:rPr>
          <w:rFonts w:ascii="Times New Roman" w:cs="Times New Roman" w:eastAsia="Times New Roman" w:hAnsi="Times New Roman"/>
          <w:sz w:val="18"/>
          <w:szCs w:val="18"/>
          <w:color w:val="auto"/>
        </w:rPr>
        <w:t>. Our management is responsible for establishing and maintaining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adequate internal control over financial reporting which, as defined in Exchange Act Rule 13a-15(f), means a process designed by, or under the supervision of, our principal executive and principal financial officers, or persons performing similar functions,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86" w:lineRule="exact"/>
        <w:rPr>
          <w:sz w:val="20"/>
          <w:szCs w:val="20"/>
          <w:color w:val="auto"/>
        </w:rPr>
      </w:pPr>
    </w:p>
    <w:p>
      <w:pPr>
        <w:ind w:left="1040" w:right="79" w:hanging="315"/>
        <w:spacing w:after="0" w:line="282"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53"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GAAP, and that receipts and expenditures are being made only in accordance with authorizations of our management and directors, and</w:t>
      </w:r>
    </w:p>
    <w:p>
      <w:pPr>
        <w:spacing w:after="0" w:line="67"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an unauthorized acquisition, use or disposition of our assets that could have a material effect on our Condensed Consolidated Financial Statements.</w:t>
      </w:r>
    </w:p>
    <w:p>
      <w:pPr>
        <w:spacing w:after="0" w:line="172" w:lineRule="exact"/>
        <w:rPr>
          <w:sz w:val="20"/>
          <w:szCs w:val="20"/>
          <w:color w:val="auto"/>
        </w:rPr>
      </w:pPr>
    </w:p>
    <w:p>
      <w:pPr>
        <w:jc w:val="both"/>
        <w:ind w:left="60" w:right="5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r>
        <w:rPr>
          <w:rFonts w:ascii="Times New Roman" w:cs="Times New Roman" w:eastAsia="Times New Roman" w:hAnsi="Times New Roman"/>
          <w:sz w:val="18"/>
          <w:szCs w:val="18"/>
          <w:color w:val="auto"/>
        </w:rPr>
        <w:t>. There have been no changes in our internal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 financial reporting during the quarter ended June 30, 2025 that have materially affected, or are reasonably likely to materially affect, our internal control over financial reporting.</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Refer to Note 7 to our Condensed Consolidated Financial Statements and our 2024 Annual Report for descriptions of certain legal proceedings.</w:t>
      </w:r>
    </w:p>
    <w:p>
      <w:pPr>
        <w:spacing w:after="0" w:line="158"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Reference is made to the 2024 Annual Report for a discussion of risk factors related to our businesses.</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80" w:type="dxa"/>
            <w:vAlign w:val="bottom"/>
          </w:tcPr>
          <w:p>
            <w:pPr>
              <w:spacing w:after="0"/>
              <w:rPr>
                <w:sz w:val="20"/>
                <w:szCs w:val="20"/>
                <w:color w:val="auto"/>
              </w:rPr>
            </w:pPr>
          </w:p>
        </w:tc>
        <w:tc>
          <w:tcPr>
            <w:tcW w:w="79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445"/>
        </w:trPr>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Item No.</w:t>
            </w:r>
          </w:p>
        </w:tc>
        <w:tc>
          <w:tcPr>
            <w:tcW w:w="180" w:type="dxa"/>
            <w:vAlign w:val="bottom"/>
          </w:tcPr>
          <w:p>
            <w:pPr>
              <w:spacing w:after="0"/>
              <w:rPr>
                <w:sz w:val="24"/>
                <w:szCs w:val="24"/>
                <w:color w:val="auto"/>
              </w:rPr>
            </w:pPr>
          </w:p>
        </w:tc>
        <w:tc>
          <w:tcPr>
            <w:tcW w:w="7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85"/>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24"/>
                <w:szCs w:val="24"/>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Certification</w:t>
            </w:r>
          </w:p>
        </w:tc>
        <w:tc>
          <w:tcPr>
            <w:tcW w:w="0" w:type="dxa"/>
            <w:vAlign w:val="bottom"/>
          </w:tcPr>
          <w:p>
            <w:pPr>
              <w:spacing w:after="0"/>
              <w:rPr>
                <w:sz w:val="1"/>
                <w:szCs w:val="1"/>
                <w:color w:val="auto"/>
              </w:rPr>
            </w:pPr>
          </w:p>
        </w:tc>
      </w:tr>
      <w:tr>
        <w:trPr>
          <w:trHeight w:val="304"/>
        </w:trPr>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24"/>
                <w:szCs w:val="24"/>
                <w:color w:val="auto"/>
              </w:rPr>
            </w:pPr>
          </w:p>
        </w:tc>
        <w:tc>
          <w:tcPr>
            <w:tcW w:w="9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Certification</w:t>
            </w:r>
          </w:p>
        </w:tc>
        <w:tc>
          <w:tcPr>
            <w:tcW w:w="70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8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color w:val="0000EE"/>
                <w:w w:val="98"/>
              </w:rPr>
              <w:t>Certification</w:t>
            </w:r>
          </w:p>
        </w:tc>
        <w:tc>
          <w:tcPr>
            <w:tcW w:w="7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21"/>
                <w:szCs w:val="21"/>
                <w:color w:val="auto"/>
              </w:rPr>
            </w:pPr>
          </w:p>
        </w:tc>
        <w:tc>
          <w:tcPr>
            <w:tcW w:w="920" w:type="dxa"/>
            <w:vAlign w:val="bottom"/>
            <w:tcBorders>
              <w:bottom w:val="single" w:sz="8" w:color="0000EE"/>
            </w:tcBorders>
            <w:vMerge w:val="continue"/>
          </w:tcPr>
          <w:p>
            <w:pPr>
              <w:spacing w:after="0"/>
              <w:rPr>
                <w:sz w:val="21"/>
                <w:szCs w:val="21"/>
                <w:color w:val="auto"/>
              </w:rPr>
            </w:pPr>
          </w:p>
        </w:tc>
        <w:tc>
          <w:tcPr>
            <w:tcW w:w="7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8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w:t>
            </w:r>
          </w:p>
        </w:tc>
        <w:tc>
          <w:tcPr>
            <w:tcW w:w="0" w:type="dxa"/>
            <w:vAlign w:val="bottom"/>
          </w:tcPr>
          <w:p>
            <w:pPr>
              <w:spacing w:after="0"/>
              <w:rPr>
                <w:sz w:val="1"/>
                <w:szCs w:val="1"/>
                <w:color w:val="auto"/>
              </w:rPr>
            </w:pPr>
          </w:p>
        </w:tc>
      </w:tr>
      <w:tr>
        <w:trPr>
          <w:trHeight w:val="27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80" w:type="dxa"/>
            <w:vAlign w:val="bottom"/>
          </w:tcPr>
          <w:p>
            <w:pPr>
              <w:spacing w:after="0"/>
              <w:rPr>
                <w:sz w:val="23"/>
                <w:szCs w:val="23"/>
                <w:color w:val="auto"/>
              </w:rPr>
            </w:pPr>
          </w:p>
        </w:tc>
        <w:tc>
          <w:tcPr>
            <w:tcW w:w="792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because its XBRL tags are embedded within the Inline XBRL document.</w:t>
            </w:r>
          </w:p>
        </w:tc>
        <w:tc>
          <w:tcPr>
            <w:tcW w:w="0" w:type="dxa"/>
            <w:vAlign w:val="bottom"/>
          </w:tcPr>
          <w:p>
            <w:pPr>
              <w:spacing w:after="0"/>
              <w:rPr>
                <w:sz w:val="1"/>
                <w:szCs w:val="1"/>
                <w:color w:val="auto"/>
              </w:rPr>
            </w:pPr>
          </w:p>
        </w:tc>
      </w:tr>
      <w:tr>
        <w:trPr>
          <w:trHeight w:val="36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80" w:type="dxa"/>
            <w:vAlign w:val="bottom"/>
          </w:tcPr>
          <w:p>
            <w:pPr>
              <w:spacing w:after="0"/>
              <w:rPr>
                <w:sz w:val="24"/>
                <w:szCs w:val="24"/>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0" w:type="dxa"/>
            <w:vAlign w:val="bottom"/>
          </w:tcPr>
          <w:p>
            <w:pPr>
              <w:spacing w:after="0"/>
              <w:rPr>
                <w:sz w:val="1"/>
                <w:szCs w:val="1"/>
                <w:color w:val="auto"/>
              </w:rPr>
            </w:pPr>
          </w:p>
        </w:tc>
      </w:tr>
      <w:tr>
        <w:trPr>
          <w:trHeight w:val="32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80" w:type="dxa"/>
            <w:vAlign w:val="bottom"/>
          </w:tcPr>
          <w:p>
            <w:pPr>
              <w:spacing w:after="0"/>
              <w:rPr>
                <w:sz w:val="24"/>
                <w:szCs w:val="24"/>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0" w:type="dxa"/>
            <w:vAlign w:val="bottom"/>
          </w:tcPr>
          <w:p>
            <w:pPr>
              <w:spacing w:after="0"/>
              <w:rPr>
                <w:sz w:val="1"/>
                <w:szCs w:val="1"/>
                <w:color w:val="auto"/>
              </w:rPr>
            </w:pPr>
          </w:p>
        </w:tc>
      </w:tr>
      <w:tr>
        <w:trPr>
          <w:trHeight w:val="32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80" w:type="dxa"/>
            <w:vAlign w:val="bottom"/>
          </w:tcPr>
          <w:p>
            <w:pPr>
              <w:spacing w:after="0"/>
              <w:rPr>
                <w:sz w:val="24"/>
                <w:szCs w:val="24"/>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0" w:type="dxa"/>
            <w:vAlign w:val="bottom"/>
          </w:tcPr>
          <w:p>
            <w:pPr>
              <w:spacing w:after="0"/>
              <w:rPr>
                <w:sz w:val="1"/>
                <w:szCs w:val="1"/>
                <w:color w:val="auto"/>
              </w:rPr>
            </w:pPr>
          </w:p>
        </w:tc>
      </w:tr>
      <w:tr>
        <w:trPr>
          <w:trHeight w:val="32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80" w:type="dxa"/>
            <w:vAlign w:val="bottom"/>
          </w:tcPr>
          <w:p>
            <w:pPr>
              <w:spacing w:after="0"/>
              <w:rPr>
                <w:sz w:val="24"/>
                <w:szCs w:val="24"/>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0" w:type="dxa"/>
            <w:vAlign w:val="bottom"/>
          </w:tcPr>
          <w:p>
            <w:pPr>
              <w:spacing w:after="0"/>
              <w:rPr>
                <w:sz w:val="1"/>
                <w:szCs w:val="1"/>
                <w:color w:val="auto"/>
              </w:rPr>
            </w:pPr>
          </w:p>
        </w:tc>
      </w:tr>
      <w:tr>
        <w:trPr>
          <w:trHeight w:val="32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80" w:type="dxa"/>
            <w:vAlign w:val="bottom"/>
          </w:tcPr>
          <w:p>
            <w:pPr>
              <w:spacing w:after="0"/>
              <w:rPr>
                <w:sz w:val="24"/>
                <w:szCs w:val="24"/>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040" w:hanging="984"/>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6"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3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COMPX INTERNATIONAL INC.</w:t>
            </w:r>
          </w:p>
        </w:tc>
      </w:tr>
      <w:tr>
        <w:trPr>
          <w:trHeight w:val="237"/>
        </w:trPr>
        <w:tc>
          <w:tcPr>
            <w:tcW w:w="3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60" w:type="dxa"/>
            <w:vAlign w:val="bottom"/>
            <w:tcBorders>
              <w:top w:val="single" w:sz="8" w:color="auto"/>
            </w:tcBorders>
          </w:tcPr>
          <w:p>
            <w:pPr>
              <w:ind w:left="1200"/>
              <w:spacing w:after="0"/>
              <w:rPr>
                <w:sz w:val="20"/>
                <w:szCs w:val="20"/>
                <w:color w:val="auto"/>
              </w:rPr>
            </w:pPr>
            <w:r>
              <w:rPr>
                <w:rFonts w:ascii="Times New Roman" w:cs="Times New Roman" w:eastAsia="Times New Roman" w:hAnsi="Times New Roman"/>
                <w:sz w:val="18"/>
                <w:szCs w:val="18"/>
                <w:b w:val="1"/>
                <w:bCs w:val="1"/>
                <w:color w:val="auto"/>
              </w:rPr>
              <w:t>(Registrant)</w:t>
            </w:r>
          </w:p>
        </w:tc>
        <w:tc>
          <w:tcPr>
            <w:tcW w:w="800" w:type="dxa"/>
            <w:vAlign w:val="bottom"/>
          </w:tcPr>
          <w:p>
            <w:pPr>
              <w:spacing w:after="0"/>
              <w:rPr>
                <w:sz w:val="20"/>
                <w:szCs w:val="20"/>
                <w:color w:val="auto"/>
              </w:rPr>
            </w:pPr>
          </w:p>
        </w:tc>
      </w:tr>
      <w:tr>
        <w:trPr>
          <w:trHeight w:val="432"/>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5, 2025</w:t>
            </w:r>
          </w:p>
        </w:tc>
        <w:tc>
          <w:tcPr>
            <w:tcW w:w="5780" w:type="dxa"/>
            <w:vAlign w:val="bottom"/>
            <w:gridSpan w:val="4"/>
          </w:tcPr>
          <w:p>
            <w:pPr>
              <w:ind w:left="1540"/>
              <w:spacing w:after="0"/>
              <w:rPr>
                <w:sz w:val="20"/>
                <w:szCs w:val="20"/>
                <w:color w:val="auto"/>
              </w:rPr>
            </w:pPr>
            <w:r>
              <w:rPr>
                <w:rFonts w:ascii="Times New Roman" w:cs="Times New Roman" w:eastAsia="Times New Roman" w:hAnsi="Times New Roman"/>
                <w:sz w:val="18"/>
                <w:szCs w:val="18"/>
                <w:color w:val="auto"/>
              </w:rPr>
              <w:t>By: /s/ Amy A. Samford</w:t>
            </w:r>
          </w:p>
        </w:tc>
      </w:tr>
      <w:tr>
        <w:trPr>
          <w:trHeight w:val="191"/>
        </w:trPr>
        <w:tc>
          <w:tcPr>
            <w:tcW w:w="3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940" w:type="dxa"/>
            <w:vAlign w:val="bottom"/>
            <w:tcBorders>
              <w:top w:val="single" w:sz="8" w:color="auto"/>
            </w:tcBorders>
            <w:gridSpan w:val="3"/>
          </w:tcPr>
          <w:p>
            <w:pPr>
              <w:spacing w:after="0" w:line="191" w:lineRule="exact"/>
              <w:rPr>
                <w:sz w:val="20"/>
                <w:szCs w:val="20"/>
                <w:color w:val="auto"/>
              </w:rPr>
            </w:pPr>
            <w:r>
              <w:rPr>
                <w:rFonts w:ascii="Times New Roman" w:cs="Times New Roman" w:eastAsia="Times New Roman" w:hAnsi="Times New Roman"/>
                <w:sz w:val="18"/>
                <w:szCs w:val="18"/>
                <w:color w:val="auto"/>
              </w:rPr>
              <w:t>Amy A. Samford</w:t>
            </w:r>
          </w:p>
        </w:tc>
      </w:tr>
      <w:tr>
        <w:trPr>
          <w:trHeight w:val="234"/>
        </w:trPr>
        <w:tc>
          <w:tcPr>
            <w:tcW w:w="3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648"/>
        </w:trPr>
        <w:tc>
          <w:tcPr>
            <w:tcW w:w="3120" w:type="dxa"/>
            <w:vAlign w:val="bottom"/>
          </w:tcPr>
          <w:p>
            <w:pPr>
              <w:spacing w:after="0"/>
              <w:rPr>
                <w:sz w:val="24"/>
                <w:szCs w:val="24"/>
                <w:color w:val="auto"/>
              </w:rPr>
            </w:pPr>
          </w:p>
        </w:tc>
        <w:tc>
          <w:tcPr>
            <w:tcW w:w="5780" w:type="dxa"/>
            <w:vAlign w:val="bottom"/>
            <w:gridSpan w:val="4"/>
          </w:tcPr>
          <w:p>
            <w:pPr>
              <w:ind w:left="1540"/>
              <w:spacing w:after="0"/>
              <w:rPr>
                <w:sz w:val="20"/>
                <w:szCs w:val="20"/>
                <w:color w:val="auto"/>
              </w:rPr>
            </w:pPr>
            <w:r>
              <w:rPr>
                <w:rFonts w:ascii="Times New Roman" w:cs="Times New Roman" w:eastAsia="Times New Roman" w:hAnsi="Times New Roman"/>
                <w:sz w:val="18"/>
                <w:szCs w:val="18"/>
                <w:color w:val="auto"/>
              </w:rPr>
              <w:t>By: /s/ Amy E. Ruf</w:t>
            </w:r>
          </w:p>
        </w:tc>
      </w:tr>
      <w:tr>
        <w:trPr>
          <w:trHeight w:val="191"/>
        </w:trPr>
        <w:tc>
          <w:tcPr>
            <w:tcW w:w="3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940" w:type="dxa"/>
            <w:vAlign w:val="bottom"/>
            <w:tcBorders>
              <w:top w:val="single" w:sz="8" w:color="auto"/>
            </w:tcBorders>
            <w:gridSpan w:val="3"/>
          </w:tcPr>
          <w:p>
            <w:pPr>
              <w:spacing w:after="0" w:line="191" w:lineRule="exact"/>
              <w:rPr>
                <w:sz w:val="20"/>
                <w:szCs w:val="20"/>
                <w:color w:val="auto"/>
              </w:rPr>
            </w:pPr>
            <w:r>
              <w:rPr>
                <w:rFonts w:ascii="Times New Roman" w:cs="Times New Roman" w:eastAsia="Times New Roman" w:hAnsi="Times New Roman"/>
                <w:sz w:val="18"/>
                <w:szCs w:val="18"/>
                <w:color w:val="auto"/>
              </w:rPr>
              <w:t>Amy E. Ruf</w:t>
            </w:r>
          </w:p>
        </w:tc>
      </w:tr>
      <w:tr>
        <w:trPr>
          <w:trHeight w:val="234"/>
        </w:trPr>
        <w:tc>
          <w:tcPr>
            <w:tcW w:w="3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Senior Vice President and Controller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C. James, certify that:</w:t>
      </w:r>
    </w:p>
    <w:p>
      <w:pPr>
        <w:spacing w:after="0" w:line="225"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CompX International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w:t>
      </w: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206"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5,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Scott C.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17145</wp:posOffset>
            </wp:positionV>
            <wp:extent cx="30257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025775" cy="8890"/>
                    </a:xfrm>
                    <a:prstGeom prst="rect">
                      <a:avLst/>
                    </a:prstGeom>
                    <a:noFill/>
                  </pic:spPr>
                </pic:pic>
              </a:graphicData>
            </a:graphic>
          </wp:anchor>
        </w:drawing>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Scott C. James</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Amy A. Samford, certify that:</w:t>
      </w:r>
    </w:p>
    <w:p>
      <w:pPr>
        <w:spacing w:after="0" w:line="225"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CompX International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13d-15(f))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5, 2025</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Amy A. Samford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17145</wp:posOffset>
            </wp:positionV>
            <wp:extent cx="30429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Amy A. Samford</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CompX International Inc. (the Company) on Form 10-Q for the period ending June 30, 2025, as filed with the Securities and Exchange Commission on the date hereof (the Report), I, Scott C. James, President and Chief Executive Officer of the Company and I, Amy A. Samford, Executive Vice President and Chief Financial Officer of the Company, certify, pursuant to 18 U.S.C. §1350, as adopted pursuant to §906 of the Sarbanes-Oxley Act of 2002, that:</w:t>
      </w:r>
    </w:p>
    <w:p>
      <w:pPr>
        <w:spacing w:after="0" w:line="180"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Scott C.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17145</wp:posOffset>
            </wp:positionV>
            <wp:extent cx="30429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Scott C. James</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Amy A. Samford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17145</wp:posOffset>
            </wp:positionV>
            <wp:extent cx="30429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Amy A. Samford</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5, 2025</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Note: 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04"/>
    </w:lvl>
    <w:lvl w:ilvl="1">
      <w:lvlJc w:val="left"/>
      <w:lvlText w:val="-"/>
      <w:numFmt w:val="bullet"/>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2025-08-05T15:22:44Z</dcterms:created>
  <dcterms:modified xsi:type="dcterms:W3CDTF">2025-08-05T15:22:44Z</dcterms:modified>
</cp:coreProperties>
</file>