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the earliest event reported)</w:t>
      </w:r>
    </w:p>
    <w:p>
      <w:pPr>
        <w:jc w:val="center"/>
        <w:spacing w:after="0" w:line="236" w:lineRule="auto"/>
        <w:rPr>
          <w:sz w:val="20"/>
          <w:szCs w:val="20"/>
          <w:color w:val="auto"/>
        </w:rPr>
      </w:pPr>
      <w:r>
        <w:rPr>
          <w:rFonts w:ascii="Arial" w:cs="Arial" w:eastAsia="Arial" w:hAnsi="Arial"/>
          <w:sz w:val="22"/>
          <w:szCs w:val="22"/>
          <w:b w:val="1"/>
          <w:bCs w:val="1"/>
          <w:color w:val="auto"/>
        </w:rPr>
        <w:t>May 5, 2020</w:t>
      </w:r>
    </w:p>
    <w:p>
      <w:pPr>
        <w:jc w:val="center"/>
        <w:spacing w:after="0" w:line="239" w:lineRule="auto"/>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74" w:lineRule="exact"/>
        <w:rPr>
          <w:sz w:val="24"/>
          <w:szCs w:val="24"/>
          <w:color w:val="auto"/>
        </w:rPr>
      </w:pPr>
    </w:p>
    <w:tbl>
      <w:tblPr>
        <w:tblLayout w:type="fixed"/>
        <w:tblInd w:w="300" w:type="dxa"/>
        <w:tblCellMar>
          <w:top w:w="0" w:type="dxa"/>
          <w:left w:w="0" w:type="dxa"/>
          <w:bottom w:w="0" w:type="dxa"/>
          <w:right w:w="0" w:type="dxa"/>
        </w:tblCellMar>
      </w:tblPr>
      <w:tr>
        <w:trPr>
          <w:trHeight w:val="256"/>
        </w:trPr>
        <w:tc>
          <w:tcPr>
            <w:tcW w:w="4000" w:type="dxa"/>
            <w:vAlign w:val="bottom"/>
          </w:tcPr>
          <w:p>
            <w:pPr>
              <w:jc w:val="center"/>
              <w:ind w:right="741"/>
              <w:spacing w:after="0"/>
              <w:rPr>
                <w:sz w:val="20"/>
                <w:szCs w:val="20"/>
                <w:color w:val="auto"/>
              </w:rPr>
            </w:pPr>
            <w:r>
              <w:rPr>
                <w:rFonts w:ascii="Arial" w:cs="Arial" w:eastAsia="Arial" w:hAnsi="Arial"/>
                <w:sz w:val="22"/>
                <w:szCs w:val="22"/>
                <w:b w:val="1"/>
                <w:bCs w:val="1"/>
                <w:color w:val="auto"/>
                <w:w w:val="91"/>
              </w:rPr>
              <w:t>Delaware</w:t>
            </w:r>
          </w:p>
        </w:tc>
        <w:tc>
          <w:tcPr>
            <w:tcW w:w="3100" w:type="dxa"/>
            <w:vAlign w:val="bottom"/>
          </w:tcPr>
          <w:p>
            <w:pPr>
              <w:jc w:val="center"/>
              <w:ind w:right="364"/>
              <w:spacing w:after="0"/>
              <w:rPr>
                <w:sz w:val="20"/>
                <w:szCs w:val="20"/>
                <w:color w:val="auto"/>
              </w:rPr>
            </w:pPr>
            <w:r>
              <w:rPr>
                <w:rFonts w:ascii="Arial" w:cs="Arial" w:eastAsia="Arial" w:hAnsi="Arial"/>
                <w:sz w:val="22"/>
                <w:szCs w:val="22"/>
                <w:b w:val="1"/>
                <w:bCs w:val="1"/>
                <w:color w:val="auto"/>
                <w:w w:val="89"/>
              </w:rPr>
              <w:t>1-13905</w:t>
            </w:r>
          </w:p>
        </w:tc>
        <w:tc>
          <w:tcPr>
            <w:tcW w:w="2640" w:type="dxa"/>
            <w:vAlign w:val="bottom"/>
          </w:tcPr>
          <w:p>
            <w:pPr>
              <w:jc w:val="center"/>
              <w:ind w:left="1203"/>
              <w:spacing w:after="0"/>
              <w:rPr>
                <w:sz w:val="20"/>
                <w:szCs w:val="20"/>
                <w:color w:val="auto"/>
              </w:rPr>
            </w:pPr>
            <w:r>
              <w:rPr>
                <w:rFonts w:ascii="Arial" w:cs="Arial" w:eastAsia="Arial" w:hAnsi="Arial"/>
                <w:sz w:val="22"/>
                <w:szCs w:val="22"/>
                <w:b w:val="1"/>
                <w:bCs w:val="1"/>
                <w:color w:val="auto"/>
                <w:w w:val="90"/>
              </w:rPr>
              <w:t>57-0981653</w:t>
            </w:r>
          </w:p>
        </w:tc>
      </w:tr>
      <w:tr>
        <w:trPr>
          <w:trHeight w:val="216"/>
        </w:trPr>
        <w:tc>
          <w:tcPr>
            <w:tcW w:w="4000" w:type="dxa"/>
            <w:vAlign w:val="bottom"/>
          </w:tcPr>
          <w:p>
            <w:pPr>
              <w:jc w:val="center"/>
              <w:ind w:right="741"/>
              <w:spacing w:after="0"/>
              <w:rPr>
                <w:sz w:val="20"/>
                <w:szCs w:val="20"/>
                <w:color w:val="auto"/>
              </w:rPr>
            </w:pPr>
            <w:r>
              <w:rPr>
                <w:rFonts w:ascii="Arial" w:cs="Arial" w:eastAsia="Arial" w:hAnsi="Arial"/>
                <w:sz w:val="18"/>
                <w:szCs w:val="18"/>
                <w:color w:val="auto"/>
                <w:w w:val="92"/>
              </w:rPr>
              <w:t>(State or other jurisdiction of incorporation)</w:t>
            </w:r>
          </w:p>
        </w:tc>
        <w:tc>
          <w:tcPr>
            <w:tcW w:w="3100" w:type="dxa"/>
            <w:vAlign w:val="bottom"/>
          </w:tcPr>
          <w:p>
            <w:pPr>
              <w:jc w:val="center"/>
              <w:ind w:right="364"/>
              <w:spacing w:after="0"/>
              <w:rPr>
                <w:sz w:val="20"/>
                <w:szCs w:val="20"/>
                <w:color w:val="auto"/>
              </w:rPr>
            </w:pPr>
            <w:r>
              <w:rPr>
                <w:rFonts w:ascii="Arial" w:cs="Arial" w:eastAsia="Arial" w:hAnsi="Arial"/>
                <w:sz w:val="18"/>
                <w:szCs w:val="18"/>
                <w:color w:val="auto"/>
                <w:w w:val="91"/>
              </w:rPr>
              <w:t>(Commission</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spacing w:after="0"/>
              <w:rPr>
                <w:sz w:val="20"/>
                <w:szCs w:val="20"/>
                <w:color w:val="auto"/>
              </w:rPr>
            </w:pPr>
          </w:p>
        </w:tc>
        <w:tc>
          <w:tcPr>
            <w:tcW w:w="3100" w:type="dxa"/>
            <w:vAlign w:val="bottom"/>
          </w:tcPr>
          <w:p>
            <w:pPr>
              <w:jc w:val="center"/>
              <w:ind w:right="344"/>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7100" w:type="dxa"/>
            <w:vAlign w:val="bottom"/>
            <w:gridSpan w:val="2"/>
          </w:tcPr>
          <w:p>
            <w:pPr>
              <w:jc w:val="center"/>
              <w:ind w:right="8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640" w:type="dxa"/>
            <w:vAlign w:val="bottom"/>
          </w:tcPr>
          <w:p>
            <w:pPr>
              <w:jc w:val="center"/>
              <w:ind w:left="1223"/>
              <w:spacing w:after="0"/>
              <w:rPr>
                <w:sz w:val="20"/>
                <w:szCs w:val="20"/>
                <w:color w:val="auto"/>
              </w:rPr>
            </w:pPr>
            <w:r>
              <w:rPr>
                <w:rFonts w:ascii="Arial" w:cs="Arial" w:eastAsia="Arial" w:hAnsi="Arial"/>
                <w:sz w:val="22"/>
                <w:szCs w:val="22"/>
                <w:b w:val="1"/>
                <w:bCs w:val="1"/>
                <w:color w:val="auto"/>
                <w:w w:val="88"/>
              </w:rPr>
              <w:t>75240-2620</w:t>
            </w:r>
          </w:p>
        </w:tc>
      </w:tr>
      <w:tr>
        <w:trPr>
          <w:trHeight w:val="230"/>
        </w:trPr>
        <w:tc>
          <w:tcPr>
            <w:tcW w:w="7100" w:type="dxa"/>
            <w:vAlign w:val="bottom"/>
            <w:gridSpan w:val="2"/>
          </w:tcPr>
          <w:p>
            <w:pPr>
              <w:jc w:val="center"/>
              <w:ind w:right="84"/>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223"/>
              <w:spacing w:after="0"/>
              <w:rPr>
                <w:sz w:val="20"/>
                <w:szCs w:val="20"/>
                <w:color w:val="auto"/>
              </w:rPr>
            </w:pPr>
            <w:r>
              <w:rPr>
                <w:rFonts w:ascii="Arial" w:cs="Arial" w:eastAsia="Arial" w:hAnsi="Arial"/>
                <w:sz w:val="18"/>
                <w:szCs w:val="18"/>
                <w:color w:val="auto"/>
                <w:w w:val="94"/>
              </w:rPr>
              <w:t>(Zip Code)</w:t>
            </w:r>
          </w:p>
        </w:tc>
      </w:tr>
    </w:tbl>
    <w:p>
      <w:pPr>
        <w:spacing w:after="0" w:line="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1693545</wp:posOffset>
            </wp:positionH>
            <wp:positionV relativeFrom="paragraph">
              <wp:posOffset>201295</wp:posOffset>
            </wp:positionV>
            <wp:extent cx="37630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3010" cy="17145"/>
                    </a:xfrm>
                    <a:prstGeom prst="rect">
                      <a:avLst/>
                    </a:prstGeom>
                    <a:noFill/>
                  </pic:spPr>
                </pic:pic>
              </a:graphicData>
            </a:graphic>
          </wp:anchor>
        </w:drawing>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5" w:lineRule="exact"/>
        <w:rPr>
          <w:sz w:val="24"/>
          <w:szCs w:val="24"/>
          <w:color w:val="auto"/>
        </w:rPr>
      </w:pPr>
    </w:p>
    <w:p>
      <w:pPr>
        <w:ind w:right="40"/>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w:t>
      </w:r>
    </w:p>
    <w:p>
      <w:pPr>
        <w:spacing w:after="0" w:line="192" w:lineRule="exact"/>
        <w:rPr>
          <w:sz w:val="24"/>
          <w:szCs w:val="24"/>
          <w:color w:val="auto"/>
        </w:rPr>
      </w:pPr>
    </w:p>
    <w:p>
      <w:pPr>
        <w:ind w:left="800" w:hanging="477"/>
        <w:spacing w:after="0"/>
        <w:tabs>
          <w:tab w:leader="none" w:pos="800" w:val="left"/>
        </w:tabs>
        <w:numPr>
          <w:ilvl w:val="0"/>
          <w:numId w:val="1"/>
        </w:numPr>
        <w:rPr>
          <w:rFonts w:ascii="Arial" w:cs="Arial" w:eastAsia="Arial" w:hAnsi="Arial"/>
          <w:sz w:val="25"/>
          <w:szCs w:val="25"/>
          <w:color w:val="auto"/>
        </w:rPr>
      </w:pPr>
      <w:r>
        <w:rPr>
          <w:rFonts w:ascii="Arial" w:cs="Arial" w:eastAsia="Arial" w:hAnsi="Arial"/>
          <w:sz w:val="18"/>
          <w:szCs w:val="18"/>
          <w:color w:val="auto"/>
        </w:rPr>
        <w:t>Written communications pursuant to Rule 425 under the Securities Act (17 CFR 230.425)</w:t>
      </w:r>
    </w:p>
    <w:p>
      <w:pPr>
        <w:spacing w:after="0" w:line="260" w:lineRule="exact"/>
        <w:rPr>
          <w:sz w:val="24"/>
          <w:szCs w:val="24"/>
          <w:color w:val="auto"/>
        </w:rPr>
      </w:pPr>
    </w:p>
    <w:p>
      <w:pPr>
        <w:ind w:left="800" w:hanging="515"/>
        <w:spacing w:after="0"/>
        <w:tabs>
          <w:tab w:leader="none" w:pos="80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Soliciting material pursuant to Rule 14a-12 under the Exchange Act (17 CFR 240.14a-12)</w:t>
      </w:r>
    </w:p>
    <w:p>
      <w:pPr>
        <w:spacing w:after="0" w:line="260" w:lineRule="exact"/>
        <w:rPr>
          <w:rFonts w:ascii="MS PGothic" w:cs="MS PGothic" w:eastAsia="MS PGothic" w:hAnsi="MS PGothic"/>
          <w:sz w:val="25"/>
          <w:szCs w:val="25"/>
          <w:color w:val="auto"/>
        </w:rPr>
      </w:pPr>
    </w:p>
    <w:p>
      <w:pPr>
        <w:ind w:left="800" w:hanging="515"/>
        <w:spacing w:after="0"/>
        <w:tabs>
          <w:tab w:leader="none" w:pos="80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Pre-commencement communications pursuant to Rule 14d-2(b) under the Exchange Act (17 CFR 240.14d-2(b))</w:t>
      </w:r>
    </w:p>
    <w:p>
      <w:pPr>
        <w:spacing w:after="0" w:line="260" w:lineRule="exact"/>
        <w:rPr>
          <w:rFonts w:ascii="MS PGothic" w:cs="MS PGothic" w:eastAsia="MS PGothic" w:hAnsi="MS PGothic"/>
          <w:sz w:val="25"/>
          <w:szCs w:val="25"/>
          <w:color w:val="auto"/>
        </w:rPr>
      </w:pPr>
    </w:p>
    <w:p>
      <w:pPr>
        <w:ind w:left="800" w:hanging="515"/>
        <w:spacing w:after="0"/>
        <w:tabs>
          <w:tab w:leader="none" w:pos="80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8"/>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5"/>
                <w:szCs w:val="15"/>
                <w:color w:val="auto"/>
              </w:rPr>
            </w:pPr>
          </w:p>
        </w:tc>
        <w:tc>
          <w:tcPr>
            <w:tcW w:w="5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280" w:type="dxa"/>
            <w:vAlign w:val="bottom"/>
          </w:tcPr>
          <w:p>
            <w:pPr>
              <w:jc w:val="center"/>
              <w:spacing w:after="0" w:line="130" w:lineRule="exact"/>
              <w:rPr>
                <w:sz w:val="20"/>
                <w:szCs w:val="20"/>
                <w:color w:val="auto"/>
              </w:rPr>
            </w:pPr>
            <w:r>
              <w:rPr>
                <w:rFonts w:ascii="Arial" w:cs="Arial" w:eastAsia="Arial" w:hAnsi="Arial"/>
                <w:sz w:val="14"/>
                <w:szCs w:val="14"/>
                <w:color w:val="auto"/>
                <w:w w:val="94"/>
              </w:rPr>
              <w:t>Class A common stock</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280" w:type="dxa"/>
            <w:vAlign w:val="bottom"/>
          </w:tcPr>
          <w:p>
            <w:pPr>
              <w:jc w:val="center"/>
              <w:spacing w:after="0"/>
              <w:rPr>
                <w:sz w:val="20"/>
                <w:szCs w:val="20"/>
                <w:color w:val="auto"/>
              </w:rPr>
            </w:pPr>
            <w:r>
              <w:rPr>
                <w:rFonts w:ascii="Arial" w:cs="Arial" w:eastAsia="Arial" w:hAnsi="Arial"/>
                <w:sz w:val="14"/>
                <w:szCs w:val="14"/>
                <w:color w:val="auto"/>
                <w:w w:val="90"/>
              </w:rPr>
              <w:t>($.01 par value per share)</w:t>
            </w: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CIX</w:t>
            </w:r>
          </w:p>
        </w:tc>
        <w:tc>
          <w:tcPr>
            <w:tcW w:w="120" w:type="dxa"/>
            <w:vAlign w:val="bottom"/>
          </w:tcPr>
          <w:p>
            <w:pPr>
              <w:spacing w:after="0"/>
              <w:rPr>
                <w:sz w:val="15"/>
                <w:szCs w:val="15"/>
                <w:color w:val="auto"/>
              </w:rPr>
            </w:pPr>
          </w:p>
        </w:tc>
        <w:tc>
          <w:tcPr>
            <w:tcW w:w="5060" w:type="dxa"/>
            <w:vAlign w:val="bottom"/>
          </w:tcPr>
          <w:p>
            <w:pPr>
              <w:jc w:val="center"/>
              <w:spacing w:after="0"/>
              <w:rPr>
                <w:sz w:val="20"/>
                <w:szCs w:val="20"/>
                <w:color w:val="auto"/>
              </w:rPr>
            </w:pPr>
            <w:r>
              <w:rPr>
                <w:rFonts w:ascii="Arial" w:cs="Arial" w:eastAsia="Arial" w:hAnsi="Arial"/>
                <w:sz w:val="14"/>
                <w:szCs w:val="14"/>
                <w:color w:val="auto"/>
                <w:w w:val="96"/>
              </w:rPr>
              <w:t>NYSE American</w:t>
            </w:r>
          </w:p>
        </w:tc>
        <w:tc>
          <w:tcPr>
            <w:tcW w:w="0" w:type="dxa"/>
            <w:vAlign w:val="bottom"/>
          </w:tcPr>
          <w:p>
            <w:pPr>
              <w:spacing w:after="0"/>
              <w:rPr>
                <w:sz w:val="1"/>
                <w:szCs w:val="1"/>
                <w:color w:val="auto"/>
              </w:rPr>
            </w:pPr>
          </w:p>
        </w:tc>
      </w:tr>
    </w:tbl>
    <w:p>
      <w:pPr>
        <w:spacing w:after="0" w:line="207" w:lineRule="exact"/>
        <w:rPr>
          <w:sz w:val="24"/>
          <w:szCs w:val="24"/>
          <w:color w:val="auto"/>
        </w:rPr>
      </w:pPr>
    </w:p>
    <w:p>
      <w:pPr>
        <w:ind w:right="380"/>
        <w:spacing w:after="0" w:line="279"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jc w:val="right"/>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331"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registrant hereby furnishes the information set forth in its press release issued on May 5, 2020, a copy of which is attached hereto as Exhibit 99.1 and incorporated herein by reference.</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information, including the exhibit, the registrant furnishes in this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60" w:type="dxa"/>
            <w:vAlign w:val="bottom"/>
          </w:tcPr>
          <w:p>
            <w:pPr>
              <w:spacing w:after="0"/>
              <w:rPr>
                <w:sz w:val="20"/>
                <w:szCs w:val="20"/>
                <w:color w:val="auto"/>
              </w:rPr>
            </w:pPr>
            <w:r>
              <w:rPr>
                <w:rFonts w:ascii="Arial" w:cs="Arial" w:eastAsia="Arial" w:hAnsi="Arial"/>
                <w:sz w:val="22"/>
                <w:szCs w:val="22"/>
                <w:color w:val="auto"/>
              </w:rPr>
              <w:t>(d)</w:t>
            </w:r>
          </w:p>
        </w:tc>
        <w:tc>
          <w:tcPr>
            <w:tcW w:w="2440" w:type="dxa"/>
            <w:vAlign w:val="bottom"/>
            <w:gridSpan w:val="2"/>
          </w:tcPr>
          <w:p>
            <w:pPr>
              <w:ind w:left="200"/>
              <w:spacing w:after="0"/>
              <w:rPr>
                <w:sz w:val="20"/>
                <w:szCs w:val="20"/>
                <w:color w:val="auto"/>
              </w:rPr>
            </w:pPr>
            <w:r>
              <w:rPr>
                <w:rFonts w:ascii="Arial" w:cs="Arial" w:eastAsia="Arial" w:hAnsi="Arial"/>
                <w:sz w:val="22"/>
                <w:szCs w:val="22"/>
                <w:color w:val="auto"/>
              </w:rPr>
              <w:t>Exhibits</w:t>
            </w:r>
          </w:p>
        </w:tc>
        <w:tc>
          <w:tcPr>
            <w:tcW w:w="300" w:type="dxa"/>
            <w:vAlign w:val="bottom"/>
          </w:tcPr>
          <w:p>
            <w:pPr>
              <w:spacing w:after="0"/>
              <w:rPr>
                <w:sz w:val="23"/>
                <w:szCs w:val="23"/>
                <w:color w:val="auto"/>
              </w:rPr>
            </w:pPr>
          </w:p>
        </w:tc>
        <w:tc>
          <w:tcPr>
            <w:tcW w:w="8040" w:type="dxa"/>
            <w:vAlign w:val="bottom"/>
          </w:tcPr>
          <w:p>
            <w:pPr>
              <w:spacing w:after="0"/>
              <w:rPr>
                <w:sz w:val="23"/>
                <w:szCs w:val="23"/>
                <w:color w:val="auto"/>
              </w:rPr>
            </w:pPr>
          </w:p>
        </w:tc>
      </w:tr>
      <w:tr>
        <w:trPr>
          <w:trHeight w:val="456"/>
        </w:trPr>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Item No.</w:t>
            </w:r>
          </w:p>
        </w:tc>
        <w:tc>
          <w:tcPr>
            <w:tcW w:w="300" w:type="dxa"/>
            <w:vAlign w:val="bottom"/>
          </w:tcPr>
          <w:p>
            <w:pPr>
              <w:spacing w:after="0"/>
              <w:rPr>
                <w:sz w:val="24"/>
                <w:szCs w:val="24"/>
                <w:color w:val="auto"/>
              </w:rPr>
            </w:pPr>
          </w:p>
        </w:tc>
        <w:tc>
          <w:tcPr>
            <w:tcW w:w="8040" w:type="dxa"/>
            <w:vAlign w:val="bottom"/>
            <w:tcBorders>
              <w:bottom w:val="single" w:sz="8" w:color="auto"/>
            </w:tcBorders>
          </w:tcPr>
          <w:p>
            <w:pPr>
              <w:ind w:left="3400"/>
              <w:spacing w:after="0"/>
              <w:rPr>
                <w:sz w:val="20"/>
                <w:szCs w:val="20"/>
                <w:color w:val="auto"/>
              </w:rPr>
            </w:pPr>
            <w:r>
              <w:rPr>
                <w:rFonts w:ascii="Arial" w:cs="Arial" w:eastAsia="Arial" w:hAnsi="Arial"/>
                <w:sz w:val="22"/>
                <w:szCs w:val="22"/>
                <w:b w:val="1"/>
                <w:bCs w:val="1"/>
                <w:color w:val="auto"/>
              </w:rPr>
              <w:t>Exhibit Index</w:t>
            </w:r>
          </w:p>
        </w:tc>
      </w:tr>
      <w:tr>
        <w:trPr>
          <w:trHeight w:val="469"/>
        </w:trPr>
        <w:tc>
          <w:tcPr>
            <w:tcW w:w="460" w:type="dxa"/>
            <w:vAlign w:val="bottom"/>
          </w:tcPr>
          <w:p>
            <w:pPr>
              <w:spacing w:after="0"/>
              <w:rPr>
                <w:sz w:val="24"/>
                <w:szCs w:val="24"/>
                <w:color w:val="auto"/>
              </w:rPr>
            </w:pPr>
          </w:p>
        </w:tc>
        <w:tc>
          <w:tcPr>
            <w:tcW w:w="2440" w:type="dxa"/>
            <w:vAlign w:val="bottom"/>
            <w:gridSpan w:val="2"/>
          </w:tcPr>
          <w:p>
            <w:pPr>
              <w:jc w:val="right"/>
              <w:ind w:right="812"/>
              <w:spacing w:after="0"/>
              <w:rPr>
                <w:sz w:val="20"/>
                <w:szCs w:val="20"/>
                <w:color w:val="auto"/>
              </w:rPr>
            </w:pPr>
            <w:r>
              <w:rPr>
                <w:rFonts w:ascii="Arial" w:cs="Arial" w:eastAsia="Arial" w:hAnsi="Arial"/>
                <w:sz w:val="22"/>
                <w:szCs w:val="22"/>
                <w:color w:val="auto"/>
              </w:rPr>
              <w:t>99.1</w:t>
            </w:r>
          </w:p>
        </w:tc>
        <w:tc>
          <w:tcPr>
            <w:tcW w:w="8340" w:type="dxa"/>
            <w:vAlign w:val="bottom"/>
            <w:gridSpan w:val="2"/>
          </w:tcPr>
          <w:p>
            <w:pPr>
              <w:ind w:left="300"/>
              <w:spacing w:after="0"/>
              <w:rPr>
                <w:rFonts w:ascii="Arial" w:cs="Arial" w:eastAsia="Arial" w:hAnsi="Arial"/>
                <w:sz w:val="22"/>
                <w:szCs w:val="22"/>
                <w:color w:val="0000EE"/>
              </w:rPr>
            </w:pPr>
            <w:hyperlink w:anchor="page4">
              <w:r>
                <w:rPr>
                  <w:rFonts w:ascii="Arial" w:cs="Arial" w:eastAsia="Arial" w:hAnsi="Arial"/>
                  <w:sz w:val="22"/>
                  <w:szCs w:val="22"/>
                  <w:u w:val="single" w:color="auto"/>
                  <w:color w:val="0000EE"/>
                </w:rPr>
                <w:t>Press release dated May 5, 2020 issued by the registrant</w:t>
              </w:r>
            </w:hyperlink>
            <w:r>
              <w:rPr>
                <w:rFonts w:ascii="Arial" w:cs="Arial" w:eastAsia="Arial" w:hAnsi="Arial"/>
                <w:sz w:val="22"/>
                <w:szCs w:val="22"/>
                <w:color w:val="000000"/>
              </w:rPr>
              <w:t>.</w:t>
            </w:r>
          </w:p>
        </w:tc>
      </w:tr>
      <w:tr>
        <w:trPr>
          <w:trHeight w:val="902"/>
        </w:trPr>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980" w:type="dxa"/>
            <w:vAlign w:val="bottom"/>
            <w:gridSpan w:val="2"/>
          </w:tcPr>
          <w:p>
            <w:pPr>
              <w:ind w:left="5580"/>
              <w:spacing w:after="0"/>
              <w:rPr>
                <w:sz w:val="20"/>
                <w:szCs w:val="20"/>
                <w:color w:val="auto"/>
              </w:rPr>
            </w:pPr>
            <w:r>
              <w:rPr>
                <w:rFonts w:ascii="Arial" w:cs="Arial" w:eastAsia="Arial" w:hAnsi="Arial"/>
                <w:sz w:val="22"/>
                <w:szCs w:val="22"/>
                <w:color w:val="auto"/>
              </w:rPr>
              <w:t>By:</w:t>
            </w:r>
          </w:p>
        </w:tc>
        <w:tc>
          <w:tcPr>
            <w:tcW w:w="5260" w:type="dxa"/>
            <w:vAlign w:val="bottom"/>
          </w:tcPr>
          <w:p>
            <w:pPr>
              <w:ind w:left="380"/>
              <w:spacing w:after="0"/>
              <w:rPr>
                <w:sz w:val="20"/>
                <w:szCs w:val="20"/>
                <w:color w:val="auto"/>
              </w:rPr>
            </w:pPr>
            <w:r>
              <w:rPr>
                <w:rFonts w:ascii="Arial" w:cs="Arial" w:eastAsia="Arial" w:hAnsi="Arial"/>
                <w:sz w:val="22"/>
                <w:szCs w:val="22"/>
                <w:color w:val="auto"/>
              </w:rPr>
              <w:t>/s/ Amy A. Samford</w:t>
            </w:r>
          </w:p>
        </w:tc>
      </w:tr>
      <w:tr>
        <w:trPr>
          <w:trHeight w:val="222"/>
        </w:trPr>
        <w:tc>
          <w:tcPr>
            <w:tcW w:w="5580" w:type="dxa"/>
            <w:vAlign w:val="bottom"/>
          </w:tcPr>
          <w:p>
            <w:pPr>
              <w:spacing w:after="0" w:line="222" w:lineRule="exact"/>
              <w:rPr>
                <w:sz w:val="20"/>
                <w:szCs w:val="20"/>
                <w:color w:val="auto"/>
              </w:rPr>
            </w:pPr>
            <w:r>
              <w:rPr>
                <w:rFonts w:ascii="Arial" w:cs="Arial" w:eastAsia="Arial" w:hAnsi="Arial"/>
                <w:sz w:val="22"/>
                <w:szCs w:val="22"/>
                <w:color w:val="auto"/>
              </w:rPr>
              <w:t>Date: May 5, 2020</w:t>
            </w:r>
          </w:p>
        </w:tc>
        <w:tc>
          <w:tcPr>
            <w:tcW w:w="400" w:type="dxa"/>
            <w:vAlign w:val="bottom"/>
            <w:tcBorders>
              <w:top w:val="single" w:sz="8" w:color="auto"/>
            </w:tcBorders>
          </w:tcPr>
          <w:p>
            <w:pPr>
              <w:spacing w:after="0"/>
              <w:rPr>
                <w:sz w:val="19"/>
                <w:szCs w:val="19"/>
                <w:color w:val="auto"/>
              </w:rPr>
            </w:pPr>
          </w:p>
        </w:tc>
        <w:tc>
          <w:tcPr>
            <w:tcW w:w="5260" w:type="dxa"/>
            <w:vAlign w:val="bottom"/>
            <w:tcBorders>
              <w:top w:val="single" w:sz="8" w:color="auto"/>
            </w:tcBorders>
          </w:tcPr>
          <w:p>
            <w:pPr>
              <w:ind w:left="80"/>
              <w:spacing w:after="0" w:line="222" w:lineRule="exact"/>
              <w:rPr>
                <w:sz w:val="20"/>
                <w:szCs w:val="20"/>
                <w:color w:val="auto"/>
              </w:rPr>
            </w:pPr>
            <w:r>
              <w:rPr>
                <w:rFonts w:ascii="Arial" w:cs="Arial" w:eastAsia="Arial" w:hAnsi="Arial"/>
                <w:sz w:val="22"/>
                <w:szCs w:val="22"/>
                <w:i w:val="1"/>
                <w:iCs w:val="1"/>
                <w:color w:val="auto"/>
              </w:rPr>
              <w:t>Amy A. Samford</w:t>
            </w:r>
          </w:p>
        </w:tc>
      </w:tr>
      <w:tr>
        <w:trPr>
          <w:trHeight w:val="274"/>
        </w:trPr>
        <w:tc>
          <w:tcPr>
            <w:tcW w:w="5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22"/>
                <w:szCs w:val="22"/>
                <w:i w:val="1"/>
                <w:iCs w:val="1"/>
                <w:color w:val="auto"/>
              </w:rPr>
              <w:t>Vice President and Chief Financial Officer</w:t>
            </w:r>
          </w:p>
        </w:tc>
      </w:tr>
    </w:tbl>
    <w:p>
      <w:pPr>
        <w:sectPr>
          <w:pgSz w:w="11900" w:h="16838" w:orient="portrait"/>
          <w:cols w:equalWidth="0" w:num="1">
            <w:col w:w="11240"/>
          </w:cols>
          <w:pgMar w:left="320" w:top="59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2848610</wp:posOffset>
            </wp:positionH>
            <wp:positionV relativeFrom="page">
              <wp:posOffset>88900</wp:posOffset>
            </wp:positionV>
            <wp:extent cx="185166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51660" cy="514350"/>
                    </a:xfrm>
                    <a:prstGeom prst="rect">
                      <a:avLst/>
                    </a:prstGeom>
                    <a:noFill/>
                  </pic:spPr>
                </pic:pic>
              </a:graphicData>
            </a:graphic>
          </wp:anchor>
        </w:drawing>
        <w:t>PRESS RELEASE</w:t>
      </w:r>
    </w:p>
    <w:p>
      <w:pPr>
        <w:sectPr>
          <w:pgSz w:w="11900" w:h="16838" w:orient="portrait"/>
          <w:cols w:equalWidth="0" w:num="1">
            <w:col w:w="11240"/>
          </w:cols>
          <w:pgMar w:left="320" w:top="1394"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38" w:orient="portrait"/>
          <w:cols w:equalWidth="0" w:num="2">
            <w:col w:w="4920" w:space="720"/>
            <w:col w:w="5600"/>
          </w:cols>
          <w:pgMar w:left="320" w:top="1394"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234" w:lineRule="exact"/>
        <w:rPr>
          <w:sz w:val="20"/>
          <w:szCs w:val="20"/>
          <w:color w:val="auto"/>
        </w:rPr>
      </w:pPr>
    </w:p>
    <w:p>
      <w:pPr>
        <w:sectPr>
          <w:pgSz w:w="11900" w:h="16838" w:orient="portrait"/>
          <w:cols w:equalWidth="0" w:num="2">
            <w:col w:w="4920" w:space="720"/>
            <w:col w:w="5600"/>
          </w:cols>
          <w:pgMar w:left="320" w:top="1394" w:right="339" w:bottom="1440" w:gutter="0" w:footer="0" w:header="0"/>
          <w:type w:val="continuous"/>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COMPX REPORTS FIRST QUARTER 2020 RESULTS</w:t>
      </w:r>
    </w:p>
    <w:p>
      <w:pPr>
        <w:spacing w:after="0" w:line="200" w:lineRule="exact"/>
        <w:rPr>
          <w:sz w:val="20"/>
          <w:szCs w:val="20"/>
          <w:color w:val="auto"/>
        </w:rPr>
      </w:pPr>
    </w:p>
    <w:p>
      <w:pPr>
        <w:spacing w:after="0" w:line="29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DALLAS, TEXAS … May 5, 2020 … CompX International Inc. (NYSE American: CIX) announced today sales of $32.3 million for the first quarter of 2020 compared to $31.2 million in the same period of 2019. Operating income was $5.0 million in the first quarter of 2020 compared to $4.3 million in the same period of 2019. Net income was $4.3 million, or $0.34 per basic and diluted common share, for the first quarter of 2020 compared to $4.0 million, or $0.32 per basic and diluted common share, in the same period of 2019.</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Net sales increased for the quarter primarily due to higher Security Products sales to existing government security customers, partially offset by lower sales to transportation and distribution customers. Marine Components also contributed higher sales for the quarter, mainly to the towboat and center console boat markets, partially offset by lower sales to distribution customers. Operating income increased slightly for the quarter due to the favorable effects of customer and product mix on higher sales, partially offset by increased medical costs for both Security Products and Marine Components.</w:t>
      </w:r>
    </w:p>
    <w:p>
      <w:pPr>
        <w:spacing w:after="0" w:line="14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Although the COVID-19 pandemic had limited impact on our operations during the first quarter of 2020, we believe U.S. and worldwide gross domestic product will be significantly impacted for an indeterminate period, including the demand for our products and those of our customers. Consequently, we expect to report lower sales and earnings than would otherwise have been expected for the remainder of 2020. The extent of the impact will depend on numerous factors, including future developments, and therefore is uncertain and cannot be predicted.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type w:val="continuous"/>
        </w:sectPr>
      </w:pPr>
    </w:p>
    <w:bookmarkStart w:id="4" w:name="page5"/>
    <w:bookmarkEnd w:id="4"/>
    <w:p>
      <w:pPr>
        <w:jc w:val="both"/>
        <w:spacing w:after="0" w:line="234" w:lineRule="auto"/>
        <w:rPr>
          <w:sz w:val="20"/>
          <w:szCs w:val="20"/>
          <w:color w:val="auto"/>
        </w:rPr>
      </w:pPr>
      <w:r>
        <w:rPr>
          <w:rFonts w:ascii="Arial" w:cs="Arial" w:eastAsia="Arial" w:hAnsi="Arial"/>
          <w:sz w:val="22"/>
          <w:szCs w:val="22"/>
          <w:color w:val="auto"/>
        </w:rPr>
        <w:t>The statements in this press release relating to matters that are not historical facts are forward-looking statements that represent management’s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 The factors that could cause our actual future results to differ materially include, but are not limited to, the following:</w:t>
      </w:r>
    </w:p>
    <w:p>
      <w:pPr>
        <w:spacing w:after="0" w:line="191" w:lineRule="exact"/>
        <w:rPr>
          <w:sz w:val="20"/>
          <w:szCs w:val="20"/>
          <w:color w:val="auto"/>
        </w:rPr>
      </w:pPr>
    </w:p>
    <w:p>
      <w:pPr>
        <w:ind w:left="880" w:hanging="431"/>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Future demand for our products,</w:t>
      </w:r>
    </w:p>
    <w:p>
      <w:pPr>
        <w:spacing w:after="0" w:line="206" w:lineRule="exact"/>
        <w:rPr>
          <w:rFonts w:ascii="Arial" w:cs="Arial" w:eastAsia="Arial" w:hAnsi="Arial"/>
          <w:sz w:val="22"/>
          <w:szCs w:val="22"/>
          <w:color w:val="auto"/>
        </w:rPr>
      </w:pPr>
    </w:p>
    <w:p>
      <w:pPr>
        <w:ind w:left="880" w:hanging="431"/>
        <w:spacing w:after="0" w:line="274" w:lineRule="auto"/>
        <w:tabs>
          <w:tab w:leader="none" w:pos="880" w:val="left"/>
        </w:tabs>
        <w:numPr>
          <w:ilvl w:val="0"/>
          <w:numId w:val="3"/>
        </w:numPr>
        <w:rPr>
          <w:rFonts w:ascii="Arial" w:cs="Arial" w:eastAsia="Arial" w:hAnsi="Arial"/>
          <w:sz w:val="21"/>
          <w:szCs w:val="21"/>
          <w:color w:val="auto"/>
        </w:rPr>
      </w:pPr>
      <w:r>
        <w:rPr>
          <w:rFonts w:ascii="Arial" w:cs="Arial" w:eastAsia="Arial" w:hAnsi="Arial"/>
          <w:sz w:val="21"/>
          <w:szCs w:val="21"/>
          <w:color w:val="auto"/>
        </w:rPr>
        <w:t>Changes in our raw material and other operating costs (such as zinc, brass, aluminum, steel and energy costs) and our ability to pass those costs on to our customers or offset them with reductions in other operating costs,</w:t>
      </w:r>
    </w:p>
    <w:p>
      <w:pPr>
        <w:spacing w:after="0" w:line="150" w:lineRule="exact"/>
        <w:rPr>
          <w:rFonts w:ascii="Arial" w:cs="Arial" w:eastAsia="Arial" w:hAnsi="Arial"/>
          <w:sz w:val="21"/>
          <w:szCs w:val="21"/>
          <w:color w:val="auto"/>
        </w:rPr>
      </w:pPr>
    </w:p>
    <w:p>
      <w:pPr>
        <w:ind w:left="880" w:hanging="431"/>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Price and product competition from low-cost manufacturing sources (such as China),</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impact of pricing and production decisions,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Customer and competitor strategies including substitute products,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Uncertainties associated with the development of new products and product features,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Future litigation,</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protect or defend our intellectual property rights,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Potential difficulties in integrating future acquisitions,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Decisions to sell operating assets other than in the ordinary course of business,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3"/>
        </w:numPr>
        <w:rPr>
          <w:rFonts w:ascii="Arial" w:cs="Arial" w:eastAsia="Arial" w:hAnsi="Arial"/>
          <w:sz w:val="19"/>
          <w:szCs w:val="19"/>
          <w:color w:val="auto"/>
        </w:rPr>
      </w:pPr>
      <w:r>
        <w:rPr>
          <w:rFonts w:ascii="Arial" w:cs="Arial" w:eastAsia="Arial" w:hAnsi="Arial"/>
          <w:sz w:val="19"/>
          <w:szCs w:val="19"/>
          <w:color w:val="auto"/>
        </w:rPr>
        <w:t>Environmental matters (such as those requiring emission and discharge standards for existing and new facilities),</w:t>
      </w:r>
    </w:p>
    <w:p>
      <w:pPr>
        <w:spacing w:after="0" w:line="240" w:lineRule="exact"/>
        <w:rPr>
          <w:rFonts w:ascii="Arial" w:cs="Arial" w:eastAsia="Arial" w:hAnsi="Arial"/>
          <w:sz w:val="19"/>
          <w:szCs w:val="19"/>
          <w:color w:val="auto"/>
        </w:rPr>
      </w:pPr>
    </w:p>
    <w:p>
      <w:pPr>
        <w:ind w:left="880" w:hanging="431"/>
        <w:spacing w:after="0"/>
        <w:tabs>
          <w:tab w:leader="none" w:pos="88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ultimate outcome of income tax audits, tax settlement initiatives or other tax matters, including future tax reform,</w:t>
      </w:r>
    </w:p>
    <w:p>
      <w:pPr>
        <w:spacing w:after="0" w:line="240" w:lineRule="exact"/>
        <w:rPr>
          <w:rFonts w:ascii="Arial" w:cs="Arial" w:eastAsia="Arial" w:hAnsi="Arial"/>
          <w:sz w:val="19"/>
          <w:szCs w:val="19"/>
          <w:color w:val="auto"/>
        </w:rPr>
      </w:pPr>
    </w:p>
    <w:p>
      <w:pPr>
        <w:ind w:left="880" w:hanging="431"/>
        <w:spacing w:after="0"/>
        <w:tabs>
          <w:tab w:leader="none" w:pos="88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impact of current or future government regulations (including employee healthcare benefit related regulations),</w:t>
      </w:r>
    </w:p>
    <w:p>
      <w:pPr>
        <w:spacing w:after="0" w:line="240" w:lineRule="exact"/>
        <w:rPr>
          <w:rFonts w:ascii="Arial" w:cs="Arial" w:eastAsia="Arial" w:hAnsi="Arial"/>
          <w:sz w:val="19"/>
          <w:szCs w:val="19"/>
          <w:color w:val="auto"/>
        </w:rPr>
      </w:pPr>
    </w:p>
    <w:p>
      <w:pPr>
        <w:jc w:val="both"/>
        <w:ind w:left="880" w:hanging="431"/>
        <w:spacing w:after="0" w:line="238" w:lineRule="auto"/>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General global economic and political conditions that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184" w:lineRule="exact"/>
        <w:rPr>
          <w:rFonts w:ascii="Arial" w:cs="Arial" w:eastAsia="Arial" w:hAnsi="Arial"/>
          <w:sz w:val="22"/>
          <w:szCs w:val="22"/>
          <w:color w:val="auto"/>
        </w:rPr>
      </w:pPr>
    </w:p>
    <w:p>
      <w:pPr>
        <w:jc w:val="both"/>
        <w:ind w:left="880" w:hanging="431"/>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186" w:lineRule="exact"/>
        <w:rPr>
          <w:rFonts w:ascii="Arial" w:cs="Arial" w:eastAsia="Arial" w:hAnsi="Arial"/>
          <w:sz w:val="22"/>
          <w:szCs w:val="22"/>
          <w:color w:val="auto"/>
        </w:rPr>
      </w:pPr>
    </w:p>
    <w:p>
      <w:pPr>
        <w:ind w:left="880" w:hanging="431"/>
        <w:spacing w:after="0" w:line="250" w:lineRule="auto"/>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Possible disruption of our business or increases in the cost of doing business resulting from terrorist activities or global conflicts.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 w:name="page6"/>
    <w:bookmarkEnd w:id="5"/>
    <w:p>
      <w:pPr>
        <w:jc w:val="both"/>
        <w:spacing w:after="0" w:line="238" w:lineRule="auto"/>
        <w:rPr>
          <w:sz w:val="20"/>
          <w:szCs w:val="20"/>
          <w:color w:val="auto"/>
        </w:rPr>
      </w:pPr>
      <w:r>
        <w:rPr>
          <w:rFonts w:ascii="Arial" w:cs="Arial" w:eastAsia="Arial" w:hAnsi="Arial"/>
          <w:sz w:val="22"/>
          <w:szCs w:val="22"/>
          <w:color w:val="auto"/>
        </w:rPr>
        <w:t>Should one or more of these risks materialize (or the consequences of such development worsen), or should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CompX is a leading manufacturer of security products and recreational marine components. It operates from three locations in the U.S. and employs approximately 550 people.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OF CONSOLIDATED OPERATIONS</w:t>
      </w:r>
    </w:p>
    <w:p>
      <w:pPr>
        <w:jc w:val="center"/>
        <w:spacing w:after="0" w:line="230" w:lineRule="auto"/>
        <w:rPr>
          <w:sz w:val="20"/>
          <w:szCs w:val="20"/>
          <w:color w:val="auto"/>
        </w:rPr>
      </w:pPr>
      <w:r>
        <w:rPr>
          <w:rFonts w:ascii="Arial" w:cs="Arial" w:eastAsia="Arial" w:hAnsi="Arial"/>
          <w:sz w:val="22"/>
          <w:szCs w:val="22"/>
          <w:b w:val="1"/>
          <w:bCs w:val="1"/>
          <w:color w:val="auto"/>
        </w:rPr>
        <w:t>(In millions,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6"/>
          </w:tcPr>
          <w:p>
            <w:pPr>
              <w:ind w:left="44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6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r>
      <w:tr>
        <w:trPr>
          <w:trHeight w:val="432"/>
        </w:trPr>
        <w:tc>
          <w:tcPr>
            <w:tcW w:w="8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740" w:type="dxa"/>
            <w:vAlign w:val="bottom"/>
            <w:shd w:val="clear" w:color="auto" w:fill="CCEEFF"/>
          </w:tcPr>
          <w:p>
            <w:pPr>
              <w:jc w:val="right"/>
              <w:ind w:right="546"/>
              <w:spacing w:after="0"/>
              <w:rPr>
                <w:sz w:val="20"/>
                <w:szCs w:val="20"/>
                <w:color w:val="auto"/>
              </w:rPr>
            </w:pPr>
            <w:r>
              <w:rPr>
                <w:rFonts w:ascii="Arial" w:cs="Arial" w:eastAsia="Arial" w:hAnsi="Arial"/>
                <w:sz w:val="19"/>
                <w:szCs w:val="19"/>
                <w:color w:val="auto"/>
                <w:w w:val="75"/>
              </w:rPr>
              <w:t>$</w:t>
            </w:r>
          </w:p>
        </w:tc>
        <w:tc>
          <w:tcPr>
            <w:tcW w:w="3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31.2</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2"/>
              <w:spacing w:after="0" w:line="243" w:lineRule="exact"/>
              <w:rPr>
                <w:sz w:val="20"/>
                <w:szCs w:val="20"/>
                <w:color w:val="auto"/>
              </w:rPr>
            </w:pPr>
            <w:r>
              <w:rPr>
                <w:rFonts w:ascii="Arial" w:cs="Arial" w:eastAsia="Arial" w:hAnsi="Arial"/>
                <w:sz w:val="22"/>
                <w:szCs w:val="22"/>
                <w:color w:val="auto"/>
                <w:w w:val="81"/>
              </w:rPr>
              <w:t>$</w:t>
            </w:r>
          </w:p>
        </w:tc>
        <w:tc>
          <w:tcPr>
            <w:tcW w:w="9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32.3</w:t>
            </w:r>
          </w:p>
        </w:tc>
      </w:tr>
      <w:tr>
        <w:trPr>
          <w:trHeight w:val="250"/>
        </w:trPr>
        <w:tc>
          <w:tcPr>
            <w:tcW w:w="8680" w:type="dxa"/>
            <w:vAlign w:val="bottom"/>
          </w:tcPr>
          <w:p>
            <w:pPr>
              <w:spacing w:after="0" w:line="243" w:lineRule="exact"/>
              <w:rPr>
                <w:sz w:val="20"/>
                <w:szCs w:val="20"/>
                <w:color w:val="auto"/>
              </w:rPr>
            </w:pPr>
            <w:r>
              <w:rPr>
                <w:rFonts w:ascii="Arial" w:cs="Arial" w:eastAsia="Arial" w:hAnsi="Arial"/>
                <w:sz w:val="22"/>
                <w:szCs w:val="22"/>
                <w:color w:val="auto"/>
              </w:rPr>
              <w:t>Cost of goods sold</w:t>
            </w: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w w:val="83"/>
              </w:rPr>
              <w:t>21.6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21.9</w:t>
            </w:r>
          </w:p>
        </w:tc>
      </w:tr>
      <w:tr>
        <w:trPr>
          <w:trHeight w:val="243"/>
        </w:trPr>
        <w:tc>
          <w:tcPr>
            <w:tcW w:w="86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profit</w:t>
            </w: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9.6</w:t>
            </w:r>
          </w:p>
        </w:tc>
        <w:tc>
          <w:tcPr>
            <w:tcW w:w="22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10.4</w:t>
            </w:r>
          </w:p>
        </w:tc>
        <w:tc>
          <w:tcPr>
            <w:tcW w:w="100" w:type="dxa"/>
            <w:vAlign w:val="bottom"/>
            <w:shd w:val="clear" w:color="auto" w:fill="CCEEFF"/>
          </w:tcPr>
          <w:p>
            <w:pPr>
              <w:spacing w:after="0"/>
              <w:rPr>
                <w:sz w:val="21"/>
                <w:szCs w:val="21"/>
                <w:color w:val="auto"/>
              </w:rPr>
            </w:pPr>
          </w:p>
        </w:tc>
      </w:tr>
      <w:tr>
        <w:trPr>
          <w:trHeight w:val="250"/>
        </w:trPr>
        <w:tc>
          <w:tcPr>
            <w:tcW w:w="868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 expense</w:t>
            </w: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5.4</w:t>
            </w:r>
          </w:p>
        </w:tc>
      </w:tr>
      <w:tr>
        <w:trPr>
          <w:trHeight w:val="243"/>
        </w:trPr>
        <w:tc>
          <w:tcPr>
            <w:tcW w:w="86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income</w:t>
            </w: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4.3</w:t>
            </w:r>
          </w:p>
        </w:tc>
        <w:tc>
          <w:tcPr>
            <w:tcW w:w="22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5.0</w:t>
            </w:r>
          </w:p>
        </w:tc>
        <w:tc>
          <w:tcPr>
            <w:tcW w:w="100" w:type="dxa"/>
            <w:vAlign w:val="bottom"/>
            <w:shd w:val="clear" w:color="auto" w:fill="CCEEFF"/>
          </w:tcPr>
          <w:p>
            <w:pPr>
              <w:spacing w:after="0"/>
              <w:rPr>
                <w:sz w:val="21"/>
                <w:szCs w:val="21"/>
                <w:color w:val="auto"/>
              </w:rPr>
            </w:pPr>
          </w:p>
        </w:tc>
      </w:tr>
      <w:tr>
        <w:trPr>
          <w:trHeight w:val="250"/>
        </w:trPr>
        <w:tc>
          <w:tcPr>
            <w:tcW w:w="8680" w:type="dxa"/>
            <w:vAlign w:val="bottom"/>
          </w:tcPr>
          <w:p>
            <w:pPr>
              <w:spacing w:after="0" w:line="243" w:lineRule="exact"/>
              <w:rPr>
                <w:sz w:val="20"/>
                <w:szCs w:val="20"/>
                <w:color w:val="auto"/>
              </w:rPr>
            </w:pPr>
            <w:r>
              <w:rPr>
                <w:rFonts w:ascii="Arial" w:cs="Arial" w:eastAsia="Arial" w:hAnsi="Arial"/>
                <w:sz w:val="22"/>
                <w:szCs w:val="22"/>
                <w:color w:val="auto"/>
              </w:rPr>
              <w:t>Interest income</w:t>
            </w: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0.8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0.6</w:t>
            </w:r>
          </w:p>
        </w:tc>
      </w:tr>
      <w:tr>
        <w:trPr>
          <w:trHeight w:val="243"/>
        </w:trPr>
        <w:tc>
          <w:tcPr>
            <w:tcW w:w="86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Income before taxes</w:t>
            </w: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5.1</w:t>
            </w:r>
          </w:p>
        </w:tc>
        <w:tc>
          <w:tcPr>
            <w:tcW w:w="22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5.6</w:t>
            </w:r>
          </w:p>
        </w:tc>
        <w:tc>
          <w:tcPr>
            <w:tcW w:w="100" w:type="dxa"/>
            <w:vAlign w:val="bottom"/>
            <w:shd w:val="clear" w:color="auto" w:fill="CCEEFF"/>
          </w:tcPr>
          <w:p>
            <w:pPr>
              <w:spacing w:after="0"/>
              <w:rPr>
                <w:sz w:val="21"/>
                <w:szCs w:val="21"/>
                <w:color w:val="auto"/>
              </w:rPr>
            </w:pPr>
          </w:p>
        </w:tc>
      </w:tr>
      <w:tr>
        <w:trPr>
          <w:trHeight w:val="250"/>
        </w:trPr>
        <w:tc>
          <w:tcPr>
            <w:tcW w:w="8680" w:type="dxa"/>
            <w:vAlign w:val="bottom"/>
          </w:tcPr>
          <w:p>
            <w:pPr>
              <w:spacing w:after="0" w:line="243" w:lineRule="exact"/>
              <w:rPr>
                <w:sz w:val="20"/>
                <w:szCs w:val="20"/>
                <w:color w:val="auto"/>
              </w:rPr>
            </w:pPr>
            <w:r>
              <w:rPr>
                <w:rFonts w:ascii="Arial" w:cs="Arial" w:eastAsia="Arial" w:hAnsi="Arial"/>
                <w:sz w:val="22"/>
                <w:szCs w:val="22"/>
                <w:color w:val="auto"/>
              </w:rPr>
              <w:t>Provision for income taxes</w:t>
            </w: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1.3</w:t>
            </w:r>
          </w:p>
        </w:tc>
      </w:tr>
      <w:tr>
        <w:trPr>
          <w:trHeight w:val="283"/>
        </w:trPr>
        <w:tc>
          <w:tcPr>
            <w:tcW w:w="8680" w:type="dxa"/>
            <w:vAlign w:val="bottom"/>
            <w:tcBorders>
              <w:bottom w:val="single" w:sz="8" w:color="CCEEFF"/>
            </w:tcBorders>
            <w:shd w:val="clear" w:color="auto" w:fill="CCEEFF"/>
          </w:tcPr>
          <w:p>
            <w:pPr>
              <w:spacing w:after="0" w:line="243" w:lineRule="exact"/>
              <w:rPr>
                <w:sz w:val="20"/>
                <w:szCs w:val="20"/>
                <w:color w:val="auto"/>
              </w:rPr>
            </w:pPr>
            <w:r>
              <w:rPr>
                <w:rFonts w:ascii="Arial" w:cs="Arial" w:eastAsia="Arial" w:hAnsi="Arial"/>
                <w:sz w:val="22"/>
                <w:szCs w:val="22"/>
                <w:color w:val="auto"/>
              </w:rPr>
              <w:t>Net income</w:t>
            </w:r>
          </w:p>
        </w:tc>
        <w:tc>
          <w:tcPr>
            <w:tcW w:w="740" w:type="dxa"/>
            <w:vAlign w:val="bottom"/>
            <w:tcBorders>
              <w:top w:val="single" w:sz="8" w:color="auto"/>
              <w:bottom w:val="single" w:sz="8" w:color="auto"/>
            </w:tcBorders>
            <w:shd w:val="clear" w:color="auto" w:fill="CCEEFF"/>
          </w:tcPr>
          <w:p>
            <w:pPr>
              <w:jc w:val="right"/>
              <w:ind w:right="546"/>
              <w:spacing w:after="0"/>
              <w:rPr>
                <w:sz w:val="20"/>
                <w:szCs w:val="20"/>
                <w:color w:val="auto"/>
              </w:rPr>
            </w:pPr>
            <w:r>
              <w:rPr>
                <w:rFonts w:ascii="Arial" w:cs="Arial" w:eastAsia="Arial" w:hAnsi="Arial"/>
                <w:sz w:val="19"/>
                <w:szCs w:val="19"/>
                <w:color w:val="auto"/>
                <w:w w:val="75"/>
              </w:rPr>
              <w:t>$</w:t>
            </w:r>
          </w:p>
        </w:tc>
        <w:tc>
          <w:tcPr>
            <w:tcW w:w="3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4.0</w:t>
            </w:r>
          </w:p>
        </w:tc>
        <w:tc>
          <w:tcPr>
            <w:tcW w:w="2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92"/>
              <w:spacing w:after="0" w:line="243"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4.3</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9"/>
        </w:trPr>
        <w:tc>
          <w:tcPr>
            <w:tcW w:w="8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43"/>
        </w:trPr>
        <w:tc>
          <w:tcPr>
            <w:tcW w:w="8680" w:type="dxa"/>
            <w:vAlign w:val="bottom"/>
          </w:tcPr>
          <w:p>
            <w:pPr>
              <w:spacing w:after="0" w:line="243" w:lineRule="exact"/>
              <w:rPr>
                <w:sz w:val="20"/>
                <w:szCs w:val="20"/>
                <w:color w:val="auto"/>
              </w:rPr>
            </w:pPr>
            <w:r>
              <w:rPr>
                <w:rFonts w:ascii="Arial" w:cs="Arial" w:eastAsia="Arial" w:hAnsi="Arial"/>
                <w:sz w:val="22"/>
                <w:szCs w:val="22"/>
                <w:color w:val="auto"/>
              </w:rPr>
              <w:t>Basic and diluted net income per common share</w:t>
            </w:r>
          </w:p>
        </w:tc>
        <w:tc>
          <w:tcPr>
            <w:tcW w:w="740" w:type="dxa"/>
            <w:vAlign w:val="bottom"/>
          </w:tcPr>
          <w:p>
            <w:pPr>
              <w:jc w:val="right"/>
              <w:ind w:right="546"/>
              <w:spacing w:after="0"/>
              <w:rPr>
                <w:sz w:val="20"/>
                <w:szCs w:val="20"/>
                <w:color w:val="auto"/>
              </w:rPr>
            </w:pPr>
            <w:r>
              <w:rPr>
                <w:rFonts w:ascii="Arial" w:cs="Arial" w:eastAsia="Arial" w:hAnsi="Arial"/>
                <w:sz w:val="19"/>
                <w:szCs w:val="19"/>
                <w:color w:val="auto"/>
                <w:w w:val="75"/>
              </w:rPr>
              <w:t>$</w:t>
            </w: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w w:val="83"/>
              </w:rPr>
              <w:t>0.32</w:t>
            </w:r>
          </w:p>
        </w:tc>
        <w:tc>
          <w:tcPr>
            <w:tcW w:w="220" w:type="dxa"/>
            <w:vAlign w:val="bottom"/>
          </w:tcPr>
          <w:p>
            <w:pPr>
              <w:spacing w:after="0"/>
              <w:rPr>
                <w:sz w:val="21"/>
                <w:szCs w:val="21"/>
                <w:color w:val="auto"/>
              </w:rPr>
            </w:pPr>
          </w:p>
        </w:tc>
        <w:tc>
          <w:tcPr>
            <w:tcW w:w="320" w:type="dxa"/>
            <w:vAlign w:val="bottom"/>
          </w:tcPr>
          <w:p>
            <w:pPr>
              <w:jc w:val="right"/>
              <w:ind w:right="92"/>
              <w:spacing w:after="0" w:line="243" w:lineRule="exact"/>
              <w:rPr>
                <w:sz w:val="20"/>
                <w:szCs w:val="20"/>
                <w:color w:val="auto"/>
              </w:rPr>
            </w:pPr>
            <w:r>
              <w:rPr>
                <w:rFonts w:ascii="Arial" w:cs="Arial" w:eastAsia="Arial" w:hAnsi="Arial"/>
                <w:sz w:val="22"/>
                <w:szCs w:val="22"/>
                <w:color w:val="auto"/>
                <w:w w:val="81"/>
              </w:rPr>
              <w:t>$</w:t>
            </w: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0.34</w:t>
            </w:r>
          </w:p>
        </w:tc>
      </w:tr>
      <w:tr>
        <w:trPr>
          <w:trHeight w:val="21"/>
        </w:trPr>
        <w:tc>
          <w:tcPr>
            <w:tcW w:w="8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8680" w:type="dxa"/>
            <w:vAlign w:val="bottom"/>
          </w:tcPr>
          <w:p>
            <w:pPr>
              <w:spacing w:after="0" w:line="243" w:lineRule="exact"/>
              <w:rPr>
                <w:sz w:val="20"/>
                <w:szCs w:val="20"/>
                <w:color w:val="auto"/>
              </w:rPr>
            </w:pPr>
            <w:r>
              <w:rPr>
                <w:rFonts w:ascii="Arial" w:cs="Arial" w:eastAsia="Arial" w:hAnsi="Arial"/>
                <w:sz w:val="22"/>
                <w:szCs w:val="22"/>
                <w:color w:val="auto"/>
              </w:rPr>
              <w:t>Weighted average diluted common</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3"/>
        </w:trPr>
        <w:tc>
          <w:tcPr>
            <w:tcW w:w="8680" w:type="dxa"/>
            <w:vAlign w:val="bottom"/>
            <w:tcBorders>
              <w:bottom w:val="single" w:sz="8" w:color="CCEEFF"/>
            </w:tcBorders>
            <w:shd w:val="clear" w:color="auto" w:fill="CCEEFF"/>
          </w:tcPr>
          <w:p>
            <w:pPr>
              <w:ind w:left="180"/>
              <w:spacing w:after="0" w:line="243" w:lineRule="exact"/>
              <w:rPr>
                <w:sz w:val="20"/>
                <w:szCs w:val="20"/>
                <w:color w:val="auto"/>
              </w:rPr>
            </w:pPr>
            <w:r>
              <w:rPr>
                <w:rFonts w:ascii="Arial" w:cs="Arial" w:eastAsia="Arial" w:hAnsi="Arial"/>
                <w:sz w:val="22"/>
                <w:szCs w:val="22"/>
                <w:color w:val="auto"/>
              </w:rPr>
              <w:t>shares outstanding</w:t>
            </w:r>
          </w:p>
        </w:tc>
        <w:tc>
          <w:tcPr>
            <w:tcW w:w="74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12.4</w:t>
            </w:r>
          </w:p>
        </w:tc>
        <w:tc>
          <w:tcPr>
            <w:tcW w:w="2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12.4</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2020-05-05T15:21:15Z</dcterms:created>
  <dcterms:modified xsi:type="dcterms:W3CDTF">2020-05-05T15:21:15Z</dcterms:modified>
</cp:coreProperties>
</file>