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Report (Date of the earliest event reported)</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July 16, 2019</w:t>
      </w:r>
    </w:p>
    <w:p>
      <w:pPr>
        <w:spacing w:after="0" w:line="27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w:t>
      </w:r>
      <w:r>
        <w:rPr>
          <w:rFonts w:ascii="Arial" w:cs="Arial" w:eastAsia="Arial" w:hAnsi="Arial"/>
          <w:sz w:val="22"/>
          <w:szCs w:val="22"/>
          <w:b w:val="1"/>
          <w:bCs w:val="1"/>
          <w:color w:val="auto"/>
        </w:rPr>
        <w:t>OMP</w:t>
      </w:r>
      <w:r>
        <w:rPr>
          <w:rFonts w:ascii="Arial" w:cs="Arial" w:eastAsia="Arial" w:hAnsi="Arial"/>
          <w:sz w:val="32"/>
          <w:szCs w:val="32"/>
          <w:b w:val="1"/>
          <w:bCs w:val="1"/>
          <w:color w:val="auto"/>
        </w:rPr>
        <w:t>X I</w:t>
      </w:r>
      <w:r>
        <w:rPr>
          <w:rFonts w:ascii="Arial" w:cs="Arial" w:eastAsia="Arial" w:hAnsi="Arial"/>
          <w:sz w:val="22"/>
          <w:szCs w:val="22"/>
          <w:b w:val="1"/>
          <w:bCs w:val="1"/>
          <w:color w:val="auto"/>
        </w:rPr>
        <w:t>NTERNATIONAL</w:t>
      </w:r>
      <w:r>
        <w:rPr>
          <w:rFonts w:ascii="Arial" w:cs="Arial" w:eastAsia="Arial" w:hAnsi="Arial"/>
          <w:sz w:val="32"/>
          <w:szCs w:val="32"/>
          <w:b w:val="1"/>
          <w:bCs w:val="1"/>
          <w:color w:val="auto"/>
        </w:rPr>
        <w:t xml:space="preserve"> I</w:t>
      </w:r>
      <w:r>
        <w:rPr>
          <w:rFonts w:ascii="Arial" w:cs="Arial" w:eastAsia="Arial" w:hAnsi="Arial"/>
          <w:sz w:val="22"/>
          <w:szCs w:val="22"/>
          <w:b w:val="1"/>
          <w:bCs w:val="1"/>
          <w:color w:val="auto"/>
        </w:rPr>
        <w:t>NC</w:t>
      </w:r>
      <w:r>
        <w:rPr>
          <w:rFonts w:ascii="Arial" w:cs="Arial" w:eastAsia="Arial" w:hAnsi="Arial"/>
          <w:sz w:val="32"/>
          <w:szCs w:val="32"/>
          <w:b w:val="1"/>
          <w:bCs w:val="1"/>
          <w:color w:val="auto"/>
        </w:rPr>
        <w:t>.</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290" w:lineRule="exact"/>
        <w:rPr>
          <w:sz w:val="24"/>
          <w:szCs w:val="24"/>
          <w:color w:val="auto"/>
        </w:rPr>
      </w:pPr>
    </w:p>
    <w:tbl>
      <w:tblPr>
        <w:tblLayout w:type="fixed"/>
        <w:tblInd w:w="320" w:type="dxa"/>
        <w:tblCellMar>
          <w:top w:w="0" w:type="dxa"/>
          <w:left w:w="0" w:type="dxa"/>
          <w:bottom w:w="0" w:type="dxa"/>
          <w:right w:w="0" w:type="dxa"/>
        </w:tblCellMar>
      </w:tblPr>
      <w:tr>
        <w:trPr>
          <w:trHeight w:val="256"/>
        </w:trPr>
        <w:tc>
          <w:tcPr>
            <w:tcW w:w="4040" w:type="dxa"/>
            <w:vAlign w:val="bottom"/>
          </w:tcPr>
          <w:p>
            <w:pPr>
              <w:jc w:val="center"/>
              <w:ind w:right="781"/>
              <w:spacing w:after="0"/>
              <w:rPr>
                <w:sz w:val="20"/>
                <w:szCs w:val="20"/>
                <w:color w:val="auto"/>
              </w:rPr>
            </w:pPr>
            <w:r>
              <w:rPr>
                <w:rFonts w:ascii="Arial" w:cs="Arial" w:eastAsia="Arial" w:hAnsi="Arial"/>
                <w:sz w:val="22"/>
                <w:szCs w:val="22"/>
                <w:b w:val="1"/>
                <w:bCs w:val="1"/>
                <w:color w:val="auto"/>
                <w:w w:val="91"/>
              </w:rPr>
              <w:t>Delaware</w:t>
            </w:r>
          </w:p>
        </w:tc>
        <w:tc>
          <w:tcPr>
            <w:tcW w:w="3160" w:type="dxa"/>
            <w:vAlign w:val="bottom"/>
          </w:tcPr>
          <w:p>
            <w:pPr>
              <w:jc w:val="center"/>
              <w:ind w:right="384"/>
              <w:spacing w:after="0"/>
              <w:rPr>
                <w:sz w:val="20"/>
                <w:szCs w:val="20"/>
                <w:color w:val="auto"/>
              </w:rPr>
            </w:pPr>
            <w:r>
              <w:rPr>
                <w:rFonts w:ascii="Arial" w:cs="Arial" w:eastAsia="Arial" w:hAnsi="Arial"/>
                <w:sz w:val="22"/>
                <w:szCs w:val="22"/>
                <w:b w:val="1"/>
                <w:bCs w:val="1"/>
                <w:color w:val="auto"/>
                <w:w w:val="89"/>
              </w:rPr>
              <w:t>1-13905</w:t>
            </w:r>
          </w:p>
        </w:tc>
        <w:tc>
          <w:tcPr>
            <w:tcW w:w="2660" w:type="dxa"/>
            <w:vAlign w:val="bottom"/>
          </w:tcPr>
          <w:p>
            <w:pPr>
              <w:jc w:val="center"/>
              <w:ind w:left="1243"/>
              <w:spacing w:after="0"/>
              <w:rPr>
                <w:sz w:val="20"/>
                <w:szCs w:val="20"/>
                <w:color w:val="auto"/>
              </w:rPr>
            </w:pPr>
            <w:r>
              <w:rPr>
                <w:rFonts w:ascii="Arial" w:cs="Arial" w:eastAsia="Arial" w:hAnsi="Arial"/>
                <w:sz w:val="22"/>
                <w:szCs w:val="22"/>
                <w:b w:val="1"/>
                <w:bCs w:val="1"/>
                <w:color w:val="auto"/>
                <w:w w:val="88"/>
              </w:rPr>
              <w:t>57-0981653</w:t>
            </w:r>
          </w:p>
        </w:tc>
      </w:tr>
      <w:tr>
        <w:trPr>
          <w:trHeight w:val="216"/>
        </w:trPr>
        <w:tc>
          <w:tcPr>
            <w:tcW w:w="4040" w:type="dxa"/>
            <w:vAlign w:val="bottom"/>
          </w:tcPr>
          <w:p>
            <w:pPr>
              <w:jc w:val="center"/>
              <w:ind w:right="781"/>
              <w:spacing w:after="0"/>
              <w:rPr>
                <w:sz w:val="20"/>
                <w:szCs w:val="20"/>
                <w:color w:val="auto"/>
              </w:rPr>
            </w:pPr>
            <w:r>
              <w:rPr>
                <w:rFonts w:ascii="Arial" w:cs="Arial" w:eastAsia="Arial" w:hAnsi="Arial"/>
                <w:sz w:val="18"/>
                <w:szCs w:val="18"/>
                <w:color w:val="auto"/>
                <w:w w:val="92"/>
              </w:rPr>
              <w:t>(State or other jurisdiction of incorporation)</w:t>
            </w:r>
          </w:p>
        </w:tc>
        <w:tc>
          <w:tcPr>
            <w:tcW w:w="3160" w:type="dxa"/>
            <w:vAlign w:val="bottom"/>
          </w:tcPr>
          <w:p>
            <w:pPr>
              <w:jc w:val="center"/>
              <w:ind w:right="364"/>
              <w:spacing w:after="0"/>
              <w:rPr>
                <w:sz w:val="20"/>
                <w:szCs w:val="20"/>
                <w:color w:val="auto"/>
              </w:rPr>
            </w:pPr>
            <w:r>
              <w:rPr>
                <w:rFonts w:ascii="Arial" w:cs="Arial" w:eastAsia="Arial" w:hAnsi="Arial"/>
                <w:sz w:val="18"/>
                <w:szCs w:val="18"/>
                <w:color w:val="auto"/>
                <w:w w:val="93"/>
              </w:rPr>
              <w:t>(Commission</w:t>
            </w:r>
          </w:p>
        </w:tc>
        <w:tc>
          <w:tcPr>
            <w:tcW w:w="2660" w:type="dxa"/>
            <w:vAlign w:val="bottom"/>
          </w:tcPr>
          <w:p>
            <w:pPr>
              <w:jc w:val="center"/>
              <w:ind w:left="1223"/>
              <w:spacing w:after="0"/>
              <w:rPr>
                <w:sz w:val="20"/>
                <w:szCs w:val="20"/>
                <w:color w:val="auto"/>
              </w:rPr>
            </w:pPr>
            <w:r>
              <w:rPr>
                <w:rFonts w:ascii="Arial" w:cs="Arial" w:eastAsia="Arial" w:hAnsi="Arial"/>
                <w:sz w:val="18"/>
                <w:szCs w:val="18"/>
                <w:color w:val="auto"/>
                <w:w w:val="93"/>
              </w:rPr>
              <w:t>(IRS Employer</w:t>
            </w:r>
          </w:p>
        </w:tc>
      </w:tr>
      <w:tr>
        <w:trPr>
          <w:trHeight w:val="230"/>
        </w:trPr>
        <w:tc>
          <w:tcPr>
            <w:tcW w:w="4040" w:type="dxa"/>
            <w:vAlign w:val="bottom"/>
          </w:tcPr>
          <w:p>
            <w:pPr>
              <w:spacing w:after="0"/>
              <w:rPr>
                <w:sz w:val="20"/>
                <w:szCs w:val="20"/>
                <w:color w:val="auto"/>
              </w:rPr>
            </w:pPr>
          </w:p>
        </w:tc>
        <w:tc>
          <w:tcPr>
            <w:tcW w:w="3160" w:type="dxa"/>
            <w:vAlign w:val="bottom"/>
          </w:tcPr>
          <w:p>
            <w:pPr>
              <w:jc w:val="center"/>
              <w:ind w:right="364"/>
              <w:spacing w:after="0"/>
              <w:rPr>
                <w:sz w:val="20"/>
                <w:szCs w:val="20"/>
                <w:color w:val="auto"/>
              </w:rPr>
            </w:pPr>
            <w:r>
              <w:rPr>
                <w:rFonts w:ascii="Arial" w:cs="Arial" w:eastAsia="Arial" w:hAnsi="Arial"/>
                <w:sz w:val="18"/>
                <w:szCs w:val="18"/>
                <w:color w:val="auto"/>
                <w:w w:val="94"/>
              </w:rPr>
              <w:t>File Number)</w:t>
            </w:r>
          </w:p>
        </w:tc>
        <w:tc>
          <w:tcPr>
            <w:tcW w:w="2660" w:type="dxa"/>
            <w:vAlign w:val="bottom"/>
          </w:tcPr>
          <w:p>
            <w:pPr>
              <w:jc w:val="center"/>
              <w:ind w:left="1223"/>
              <w:spacing w:after="0"/>
              <w:rPr>
                <w:sz w:val="20"/>
                <w:szCs w:val="20"/>
                <w:color w:val="auto"/>
              </w:rPr>
            </w:pPr>
            <w:r>
              <w:rPr>
                <w:rFonts w:ascii="Arial" w:cs="Arial" w:eastAsia="Arial" w:hAnsi="Arial"/>
                <w:sz w:val="18"/>
                <w:szCs w:val="18"/>
                <w:color w:val="auto"/>
                <w:w w:val="95"/>
              </w:rPr>
              <w:t>Identification No.)</w:t>
            </w:r>
          </w:p>
        </w:tc>
      </w:tr>
      <w:tr>
        <w:trPr>
          <w:trHeight w:val="661"/>
        </w:trPr>
        <w:tc>
          <w:tcPr>
            <w:tcW w:w="7200" w:type="dxa"/>
            <w:vAlign w:val="bottom"/>
            <w:gridSpan w:val="2"/>
          </w:tcPr>
          <w:p>
            <w:pPr>
              <w:jc w:val="center"/>
              <w:ind w:right="104"/>
              <w:spacing w:after="0"/>
              <w:rPr>
                <w:sz w:val="20"/>
                <w:szCs w:val="20"/>
                <w:color w:val="auto"/>
              </w:rPr>
            </w:pPr>
            <w:r>
              <w:rPr>
                <w:rFonts w:ascii="Arial" w:cs="Arial" w:eastAsia="Arial" w:hAnsi="Arial"/>
                <w:sz w:val="22"/>
                <w:szCs w:val="22"/>
                <w:b w:val="1"/>
                <w:bCs w:val="1"/>
                <w:color w:val="auto"/>
                <w:w w:val="88"/>
              </w:rPr>
              <w:t>5430 LBJ Freeway, Suite 1700, Dallas, Texas</w:t>
            </w:r>
          </w:p>
        </w:tc>
        <w:tc>
          <w:tcPr>
            <w:tcW w:w="2660" w:type="dxa"/>
            <w:vAlign w:val="bottom"/>
          </w:tcPr>
          <w:p>
            <w:pPr>
              <w:jc w:val="center"/>
              <w:ind w:left="1263"/>
              <w:spacing w:after="0"/>
              <w:rPr>
                <w:sz w:val="20"/>
                <w:szCs w:val="20"/>
                <w:color w:val="auto"/>
              </w:rPr>
            </w:pPr>
            <w:r>
              <w:rPr>
                <w:rFonts w:ascii="Arial" w:cs="Arial" w:eastAsia="Arial" w:hAnsi="Arial"/>
                <w:sz w:val="22"/>
                <w:szCs w:val="22"/>
                <w:b w:val="1"/>
                <w:bCs w:val="1"/>
                <w:color w:val="auto"/>
                <w:w w:val="90"/>
              </w:rPr>
              <w:t>75240-2620</w:t>
            </w:r>
          </w:p>
        </w:tc>
      </w:tr>
      <w:tr>
        <w:trPr>
          <w:trHeight w:val="230"/>
        </w:trPr>
        <w:tc>
          <w:tcPr>
            <w:tcW w:w="7200" w:type="dxa"/>
            <w:vAlign w:val="bottom"/>
            <w:gridSpan w:val="2"/>
          </w:tcPr>
          <w:p>
            <w:pPr>
              <w:jc w:val="center"/>
              <w:ind w:right="84"/>
              <w:spacing w:after="0"/>
              <w:rPr>
                <w:sz w:val="20"/>
                <w:szCs w:val="20"/>
                <w:color w:val="auto"/>
              </w:rPr>
            </w:pPr>
            <w:r>
              <w:rPr>
                <w:rFonts w:ascii="Arial" w:cs="Arial" w:eastAsia="Arial" w:hAnsi="Arial"/>
                <w:sz w:val="18"/>
                <w:szCs w:val="18"/>
                <w:color w:val="auto"/>
                <w:w w:val="92"/>
              </w:rPr>
              <w:t>(Address of principal executive offices)</w:t>
            </w:r>
          </w:p>
        </w:tc>
        <w:tc>
          <w:tcPr>
            <w:tcW w:w="2660" w:type="dxa"/>
            <w:vAlign w:val="bottom"/>
          </w:tcPr>
          <w:p>
            <w:pPr>
              <w:jc w:val="center"/>
              <w:ind w:left="1263"/>
              <w:spacing w:after="0"/>
              <w:rPr>
                <w:sz w:val="20"/>
                <w:szCs w:val="20"/>
                <w:color w:val="auto"/>
              </w:rPr>
            </w:pPr>
            <w:r>
              <w:rPr>
                <w:rFonts w:ascii="Arial" w:cs="Arial" w:eastAsia="Arial" w:hAnsi="Arial"/>
                <w:sz w:val="18"/>
                <w:szCs w:val="18"/>
                <w:color w:val="auto"/>
                <w:w w:val="91"/>
              </w:rPr>
              <w:t>(Zip Code)</w:t>
            </w:r>
          </w:p>
        </w:tc>
      </w:tr>
    </w:tbl>
    <w:p>
      <w:pPr>
        <w:spacing w:after="0" w:line="19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(972) 448-1400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1720215</wp:posOffset>
            </wp:positionH>
            <wp:positionV relativeFrom="paragraph">
              <wp:posOffset>270510</wp:posOffset>
            </wp:positionV>
            <wp:extent cx="382460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24605" cy="17145"/>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8" w:lineRule="exact"/>
        <w:rPr>
          <w:sz w:val="24"/>
          <w:szCs w:val="24"/>
          <w:color w:val="auto"/>
        </w:rPr>
      </w:pPr>
    </w:p>
    <w:p>
      <w:pPr>
        <w:ind w:right="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(see General Instruction A.2):</w:t>
      </w:r>
    </w:p>
    <w:p>
      <w:pPr>
        <w:spacing w:after="0" w:line="164" w:lineRule="exact"/>
        <w:rPr>
          <w:sz w:val="24"/>
          <w:szCs w:val="24"/>
          <w:color w:val="auto"/>
        </w:rPr>
      </w:pPr>
    </w:p>
    <w:p>
      <w:pPr>
        <w:ind w:left="800" w:hanging="470"/>
        <w:spacing w:after="0"/>
        <w:tabs>
          <w:tab w:leader="none" w:pos="800" w:val="left"/>
        </w:tabs>
        <w:numPr>
          <w:ilvl w:val="0"/>
          <w:numId w:val="1"/>
        </w:numPr>
        <w:rPr>
          <w:rFonts w:ascii="Arial" w:cs="Arial" w:eastAsia="Arial" w:hAnsi="Arial"/>
          <w:sz w:val="25"/>
          <w:szCs w:val="25"/>
          <w:color w:val="auto"/>
        </w:rPr>
      </w:pPr>
      <w:r>
        <w:rPr>
          <w:rFonts w:ascii="Arial" w:cs="Arial" w:eastAsia="Arial" w:hAnsi="Arial"/>
          <w:sz w:val="18"/>
          <w:szCs w:val="18"/>
          <w:color w:val="auto"/>
        </w:rPr>
        <w:t>Written communications pursuant to Rule 425 under the Securities Act (17 CFR 230.425)</w:t>
      </w:r>
    </w:p>
    <w:p>
      <w:pPr>
        <w:spacing w:after="0" w:line="260" w:lineRule="exact"/>
        <w:rPr>
          <w:sz w:val="24"/>
          <w:szCs w:val="24"/>
          <w:color w:val="auto"/>
        </w:rPr>
      </w:pPr>
    </w:p>
    <w:p>
      <w:pPr>
        <w:ind w:left="800" w:hanging="508"/>
        <w:spacing w:after="0"/>
        <w:tabs>
          <w:tab w:leader="none" w:pos="800" w:val="left"/>
        </w:tabs>
        <w:numPr>
          <w:ilvl w:val="0"/>
          <w:numId w:val="2"/>
        </w:numPr>
        <w:rPr>
          <w:rFonts w:ascii="MS PGothic" w:cs="MS PGothic" w:eastAsia="MS PGothic" w:hAnsi="MS PGothic"/>
          <w:sz w:val="25"/>
          <w:szCs w:val="25"/>
          <w:color w:val="auto"/>
        </w:rPr>
      </w:pPr>
      <w:r>
        <w:rPr>
          <w:rFonts w:ascii="Arial" w:cs="Arial" w:eastAsia="Arial" w:hAnsi="Arial"/>
          <w:sz w:val="18"/>
          <w:szCs w:val="18"/>
          <w:color w:val="auto"/>
        </w:rPr>
        <w:t>Soliciting material pursuant to Rule 14a-12 under the Exchange Act (17 CFR 240.14a-12)</w:t>
      </w:r>
    </w:p>
    <w:p>
      <w:pPr>
        <w:spacing w:after="0" w:line="260" w:lineRule="exact"/>
        <w:rPr>
          <w:rFonts w:ascii="MS PGothic" w:cs="MS PGothic" w:eastAsia="MS PGothic" w:hAnsi="MS PGothic"/>
          <w:sz w:val="25"/>
          <w:szCs w:val="25"/>
          <w:color w:val="auto"/>
        </w:rPr>
      </w:pPr>
    </w:p>
    <w:p>
      <w:pPr>
        <w:ind w:left="800" w:hanging="508"/>
        <w:spacing w:after="0"/>
        <w:tabs>
          <w:tab w:leader="none" w:pos="800" w:val="left"/>
        </w:tabs>
        <w:numPr>
          <w:ilvl w:val="0"/>
          <w:numId w:val="2"/>
        </w:numPr>
        <w:rPr>
          <w:rFonts w:ascii="MS PGothic" w:cs="MS PGothic" w:eastAsia="MS PGothic" w:hAnsi="MS PGothic"/>
          <w:sz w:val="25"/>
          <w:szCs w:val="25"/>
          <w:color w:val="auto"/>
        </w:rPr>
      </w:pPr>
      <w:r>
        <w:rPr>
          <w:rFonts w:ascii="Arial" w:cs="Arial" w:eastAsia="Arial" w:hAnsi="Arial"/>
          <w:sz w:val="18"/>
          <w:szCs w:val="18"/>
          <w:color w:val="auto"/>
        </w:rPr>
        <w:t>Pre-commencement communications pursuant to Rule 14d-2(b) under the Exchange Act (17 CFR 240.14d-2(b))</w:t>
      </w:r>
    </w:p>
    <w:p>
      <w:pPr>
        <w:spacing w:after="0" w:line="260" w:lineRule="exact"/>
        <w:rPr>
          <w:rFonts w:ascii="MS PGothic" w:cs="MS PGothic" w:eastAsia="MS PGothic" w:hAnsi="MS PGothic"/>
          <w:sz w:val="25"/>
          <w:szCs w:val="25"/>
          <w:color w:val="auto"/>
        </w:rPr>
      </w:pPr>
    </w:p>
    <w:p>
      <w:pPr>
        <w:ind w:left="800" w:hanging="508"/>
        <w:spacing w:after="0"/>
        <w:tabs>
          <w:tab w:leader="none" w:pos="800" w:val="left"/>
        </w:tabs>
        <w:numPr>
          <w:ilvl w:val="0"/>
          <w:numId w:val="2"/>
        </w:numPr>
        <w:rPr>
          <w:rFonts w:ascii="MS PGothic" w:cs="MS PGothic" w:eastAsia="MS PGothic" w:hAnsi="MS PGothic"/>
          <w:sz w:val="25"/>
          <w:szCs w:val="25"/>
          <w:color w:val="auto"/>
        </w:rPr>
      </w:pPr>
      <w:r>
        <w:rPr>
          <w:rFonts w:ascii="Arial" w:cs="Arial" w:eastAsia="Arial" w:hAnsi="Arial"/>
          <w:sz w:val="18"/>
          <w:szCs w:val="18"/>
          <w:color w:val="auto"/>
        </w:rPr>
        <w:t>Pre-commencement communications pursuant to Rule 13e-4(c) under the Exchange Act (17 CFR 240.13e-4(c))</w:t>
      </w:r>
    </w:p>
    <w:p>
      <w:pPr>
        <w:spacing w:after="0" w:line="235" w:lineRule="exact"/>
        <w:rPr>
          <w:sz w:val="24"/>
          <w:szCs w:val="24"/>
          <w:color w:val="auto"/>
        </w:rPr>
      </w:pPr>
    </w:p>
    <w:p>
      <w:pPr>
        <w:spacing w:after="0"/>
        <w:rPr>
          <w:sz w:val="20"/>
          <w:szCs w:val="20"/>
          <w:color w:val="auto"/>
        </w:rPr>
      </w:pPr>
      <w:r>
        <w:rPr>
          <w:rFonts w:ascii="Arial" w:cs="Arial" w:eastAsia="Arial" w:hAnsi="Arial"/>
          <w:sz w:val="22"/>
          <w:szCs w:val="22"/>
          <w:color w:val="auto"/>
        </w:rPr>
        <w:t>Securities registered pursuant to Section 12(b) of the Act:</w:t>
      </w: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14"/>
                <w:szCs w:val="14"/>
                <w:color w:val="auto"/>
              </w:rPr>
            </w:pPr>
          </w:p>
        </w:tc>
        <w:tc>
          <w:tcPr>
            <w:tcW w:w="5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78"/>
        </w:trPr>
        <w:tc>
          <w:tcPr>
            <w:tcW w:w="43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5"/>
                <w:szCs w:val="15"/>
                <w:color w:val="auto"/>
              </w:rPr>
            </w:pPr>
          </w:p>
        </w:tc>
        <w:tc>
          <w:tcPr>
            <w:tcW w:w="51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4360" w:type="dxa"/>
            <w:vAlign w:val="bottom"/>
          </w:tcPr>
          <w:p>
            <w:pPr>
              <w:jc w:val="center"/>
              <w:spacing w:after="0" w:line="130" w:lineRule="exact"/>
              <w:rPr>
                <w:sz w:val="20"/>
                <w:szCs w:val="20"/>
                <w:color w:val="auto"/>
              </w:rPr>
            </w:pPr>
            <w:r>
              <w:rPr>
                <w:rFonts w:ascii="Arial" w:cs="Arial" w:eastAsia="Arial" w:hAnsi="Arial"/>
                <w:sz w:val="14"/>
                <w:szCs w:val="14"/>
                <w:color w:val="auto"/>
                <w:w w:val="92"/>
              </w:rPr>
              <w:t>Class A common stock</w:t>
            </w:r>
          </w:p>
        </w:tc>
        <w:tc>
          <w:tcPr>
            <w:tcW w:w="1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4360" w:type="dxa"/>
            <w:vAlign w:val="bottom"/>
          </w:tcPr>
          <w:p>
            <w:pPr>
              <w:jc w:val="center"/>
              <w:spacing w:after="0"/>
              <w:rPr>
                <w:sz w:val="20"/>
                <w:szCs w:val="20"/>
                <w:color w:val="auto"/>
              </w:rPr>
            </w:pPr>
            <w:r>
              <w:rPr>
                <w:rFonts w:ascii="Arial" w:cs="Arial" w:eastAsia="Arial" w:hAnsi="Arial"/>
                <w:sz w:val="14"/>
                <w:szCs w:val="14"/>
                <w:color w:val="auto"/>
                <w:w w:val="91"/>
              </w:rPr>
              <w:t>($.01 par value per share)</w:t>
            </w:r>
          </w:p>
        </w:tc>
        <w:tc>
          <w:tcPr>
            <w:tcW w:w="10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rPr>
              <w:t>CIX</w:t>
            </w:r>
          </w:p>
        </w:tc>
        <w:tc>
          <w:tcPr>
            <w:tcW w:w="120" w:type="dxa"/>
            <w:vAlign w:val="bottom"/>
          </w:tcPr>
          <w:p>
            <w:pPr>
              <w:spacing w:after="0"/>
              <w:rPr>
                <w:sz w:val="15"/>
                <w:szCs w:val="15"/>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6"/>
              </w:rPr>
              <w:t>NYSE American</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50" w:lineRule="exact"/>
        <w:rPr>
          <w:sz w:val="24"/>
          <w:szCs w:val="24"/>
          <w:color w:val="auto"/>
        </w:rPr>
      </w:pPr>
    </w:p>
    <w:p>
      <w:pPr>
        <w:ind w:right="80"/>
        <w:spacing w:after="0" w:line="274" w:lineRule="auto"/>
        <w:rPr>
          <w:sz w:val="20"/>
          <w:szCs w:val="20"/>
          <w:color w:val="auto"/>
        </w:rPr>
      </w:pPr>
      <w:r>
        <w:rPr>
          <w:rFonts w:ascii="Arial" w:cs="Arial" w:eastAsia="Arial" w:hAnsi="Arial"/>
          <w:sz w:val="21"/>
          <w:szCs w:val="21"/>
          <w:color w:val="auto"/>
        </w:rPr>
        <w:t>Indicate by check mark whether the registrant is an emerging growth company as defined in Rule 405 of the Securities Act of 1933 (17 CFR §230.405) or Rule 12b-2 of the Securities Exchange Act of 1934 (17 CFR §240.12b-2).</w:t>
      </w:r>
    </w:p>
    <w:p>
      <w:pPr>
        <w:spacing w:after="0" w:line="259" w:lineRule="exact"/>
        <w:rPr>
          <w:sz w:val="24"/>
          <w:szCs w:val="24"/>
          <w:color w:val="auto"/>
        </w:rPr>
      </w:pPr>
    </w:p>
    <w:p>
      <w:pPr>
        <w:jc w:val="right"/>
        <w:spacing w:after="0" w:line="253" w:lineRule="exact"/>
        <w:rPr>
          <w:sz w:val="20"/>
          <w:szCs w:val="20"/>
          <w:color w:val="auto"/>
        </w:rPr>
      </w:pPr>
      <w:r>
        <w:rPr>
          <w:rFonts w:ascii="Arial" w:cs="Arial" w:eastAsia="Arial" w:hAnsi="Arial"/>
          <w:sz w:val="22"/>
          <w:szCs w:val="22"/>
          <w:color w:val="auto"/>
        </w:rPr>
        <w:t xml:space="preserve">Emerging growth company </w:t>
      </w:r>
      <w:r>
        <w:rPr>
          <w:rFonts w:ascii="MS PGothic" w:cs="MS PGothic" w:eastAsia="MS PGothic" w:hAnsi="MS PGothic"/>
          <w:sz w:val="22"/>
          <w:szCs w:val="22"/>
          <w:color w:val="auto"/>
        </w:rPr>
        <w:t>☐</w:t>
      </w:r>
    </w:p>
    <w:p>
      <w:pPr>
        <w:spacing w:after="0" w:line="381" w:lineRule="exact"/>
        <w:rPr>
          <w:sz w:val="24"/>
          <w:szCs w:val="24"/>
          <w:color w:val="auto"/>
        </w:rPr>
      </w:pPr>
    </w:p>
    <w:p>
      <w:pPr>
        <w:ind w:right="320"/>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 w:name="page2"/>
    <w:bookmarkEnd w:id="1"/>
    <w:p>
      <w:pPr>
        <w:spacing w:after="0"/>
        <w:tabs>
          <w:tab w:leader="none" w:pos="2140" w:val="left"/>
        </w:tabs>
        <w:rPr>
          <w:sz w:val="20"/>
          <w:szCs w:val="20"/>
          <w:color w:val="auto"/>
        </w:rPr>
      </w:pPr>
      <w:r>
        <w:rPr>
          <w:rFonts w:ascii="Arial" w:cs="Arial" w:eastAsia="Arial" w:hAnsi="Arial"/>
          <w:sz w:val="22"/>
          <w:szCs w:val="22"/>
          <w:b w:val="1"/>
          <w:bCs w:val="1"/>
          <w:color w:val="auto"/>
        </w:rPr>
        <w:t>Item 5.01</w:t>
      </w:r>
      <w:r>
        <w:rPr>
          <w:sz w:val="20"/>
          <w:szCs w:val="20"/>
          <w:color w:val="auto"/>
        </w:rPr>
        <w:tab/>
      </w:r>
      <w:r>
        <w:rPr>
          <w:rFonts w:ascii="Arial" w:cs="Arial" w:eastAsia="Arial" w:hAnsi="Arial"/>
          <w:sz w:val="19"/>
          <w:szCs w:val="19"/>
          <w:b w:val="1"/>
          <w:bCs w:val="1"/>
          <w:color w:val="auto"/>
        </w:rPr>
        <w:t>Changes in Control of Registrant.</w:t>
      </w:r>
    </w:p>
    <w:p>
      <w:pPr>
        <w:spacing w:after="0" w:line="240"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Effective July 16, 2019, and upon entry of an agreed final judgment by the probate court of Dallas County in the state of Texas, Lisa K. Simmons and Serena Simmons Connelly appointed Kalita Blessing and Terri Lacy as successor co-trustees of the Harold C. Simmons Family Trust No. 2 (the “Family Trust”), which was established for the benefit of Ms. Simmons and Ms. Connelly and their children and for which Ms. Simmons and Ms. Connelly previously served as co-trustees. Ms. Simmons and Ms. Connelly retain the ability to appoint qualifying successor trustees of the Family Trust if either or both Ms. Blessing and Ms. Lacy resign or otherwise do not serve as trustee.</w:t>
      </w:r>
    </w:p>
    <w:p>
      <w:pPr>
        <w:spacing w:after="0" w:line="21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As of July 16, 2019, NL Industries, Inc. (“NL”) owns approximately 86% of the registrant’s outstanding common stock, Valhi owns approximately 83% of NL’s outstanding common stock, and a wholly-owned subsidiary of Contran Corporation (“Contran”) owns approximately 92% of Valhi’s outstanding common stock. A majority of Contran’s outstanding voting stock is held directly by Ms. Simmons and Ms. Connelly and various family trusts established for the benefit of Ms. Simmons and Ms. Connelly and their children and for which Ms. Simmons or Ms. Connelly, as applicable, serves as trustee. The remainder of Contran’s outstanding voting stock is held by the Family Trust.</w:t>
      </w:r>
    </w:p>
    <w:p>
      <w:pPr>
        <w:spacing w:after="0" w:line="21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Ms. Simmons and Ms. Connelly and the trustees of the Family Trust may be deemed to control Contran, Valhi, NL and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w:t>
      </w:r>
    </w:p>
    <w:p>
      <w:pPr>
        <w:spacing w:after="0" w:line="200" w:lineRule="exact"/>
        <w:rPr>
          <w:sz w:val="20"/>
          <w:szCs w:val="20"/>
          <w:color w:val="auto"/>
        </w:rPr>
      </w:pPr>
    </w:p>
    <w:p>
      <w:pPr>
        <w:spacing w:after="0" w:line="283"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194" w:lineRule="exact"/>
        <w:rPr>
          <w:sz w:val="20"/>
          <w:szCs w:val="20"/>
          <w:color w:val="auto"/>
        </w:rPr>
      </w:pPr>
    </w:p>
    <w:p>
      <w:pPr>
        <w:ind w:left="5680"/>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OMP</w:t>
      </w:r>
      <w:r>
        <w:rPr>
          <w:rFonts w:ascii="Arial" w:cs="Arial" w:eastAsia="Arial" w:hAnsi="Arial"/>
          <w:sz w:val="22"/>
          <w:szCs w:val="22"/>
          <w:b w:val="1"/>
          <w:bCs w:val="1"/>
          <w:color w:val="auto"/>
        </w:rPr>
        <w:t>X I</w:t>
      </w:r>
      <w:r>
        <w:rPr>
          <w:rFonts w:ascii="Arial" w:cs="Arial" w:eastAsia="Arial" w:hAnsi="Arial"/>
          <w:sz w:val="14"/>
          <w:szCs w:val="14"/>
          <w:b w:val="1"/>
          <w:bCs w:val="1"/>
          <w:color w:val="auto"/>
        </w:rPr>
        <w:t>NTERNATIONAL</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14"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6080" w:type="dxa"/>
            <w:vAlign w:val="bottom"/>
            <w:gridSpan w:val="2"/>
          </w:tcPr>
          <w:p>
            <w:pPr>
              <w:ind w:left="5680"/>
              <w:spacing w:after="0"/>
              <w:rPr>
                <w:sz w:val="20"/>
                <w:szCs w:val="20"/>
                <w:color w:val="auto"/>
              </w:rPr>
            </w:pPr>
            <w:r>
              <w:rPr>
                <w:rFonts w:ascii="Arial" w:cs="Arial" w:eastAsia="Arial" w:hAnsi="Arial"/>
                <w:sz w:val="22"/>
                <w:szCs w:val="22"/>
                <w:color w:val="auto"/>
              </w:rPr>
              <w:t>By:</w:t>
            </w:r>
          </w:p>
        </w:tc>
        <w:tc>
          <w:tcPr>
            <w:tcW w:w="5340" w:type="dxa"/>
            <w:vAlign w:val="bottom"/>
          </w:tcPr>
          <w:p>
            <w:pPr>
              <w:ind w:left="380"/>
              <w:spacing w:after="0"/>
              <w:rPr>
                <w:sz w:val="20"/>
                <w:szCs w:val="20"/>
                <w:color w:val="auto"/>
              </w:rPr>
            </w:pPr>
            <w:r>
              <w:rPr>
                <w:rFonts w:ascii="Arial" w:cs="Arial" w:eastAsia="Arial" w:hAnsi="Arial"/>
                <w:sz w:val="22"/>
                <w:szCs w:val="22"/>
                <w:color w:val="auto"/>
              </w:rPr>
              <w:t>/s/ Jane Grimm</w:t>
            </w:r>
          </w:p>
        </w:tc>
      </w:tr>
      <w:tr>
        <w:trPr>
          <w:trHeight w:val="275"/>
        </w:trPr>
        <w:tc>
          <w:tcPr>
            <w:tcW w:w="5680" w:type="dxa"/>
            <w:vAlign w:val="bottom"/>
          </w:tcPr>
          <w:p>
            <w:pPr>
              <w:spacing w:after="0"/>
              <w:rPr>
                <w:sz w:val="20"/>
                <w:szCs w:val="20"/>
                <w:color w:val="auto"/>
              </w:rPr>
            </w:pPr>
            <w:r>
              <w:rPr>
                <w:rFonts w:ascii="Arial" w:cs="Arial" w:eastAsia="Arial" w:hAnsi="Arial"/>
                <w:sz w:val="22"/>
                <w:szCs w:val="22"/>
                <w:color w:val="auto"/>
              </w:rPr>
              <w:t>Date: July 22, 2019</w:t>
            </w:r>
          </w:p>
        </w:tc>
        <w:tc>
          <w:tcPr>
            <w:tcW w:w="400" w:type="dxa"/>
            <w:vAlign w:val="bottom"/>
            <w:tcBorders>
              <w:top w:val="single" w:sz="8" w:color="auto"/>
            </w:tcBorders>
          </w:tcPr>
          <w:p>
            <w:pPr>
              <w:spacing w:after="0"/>
              <w:rPr>
                <w:sz w:val="23"/>
                <w:szCs w:val="23"/>
                <w:color w:val="auto"/>
              </w:rPr>
            </w:pPr>
          </w:p>
        </w:tc>
        <w:tc>
          <w:tcPr>
            <w:tcW w:w="5340" w:type="dxa"/>
            <w:vAlign w:val="bottom"/>
            <w:tcBorders>
              <w:top w:val="single" w:sz="8" w:color="auto"/>
            </w:tcBorders>
          </w:tcPr>
          <w:p>
            <w:pPr>
              <w:ind w:left="80"/>
              <w:spacing w:after="0"/>
              <w:rPr>
                <w:sz w:val="20"/>
                <w:szCs w:val="20"/>
                <w:color w:val="auto"/>
              </w:rPr>
            </w:pPr>
            <w:r>
              <w:rPr>
                <w:rFonts w:ascii="Arial" w:cs="Arial" w:eastAsia="Arial" w:hAnsi="Arial"/>
                <w:sz w:val="22"/>
                <w:szCs w:val="22"/>
                <w:i w:val="1"/>
                <w:iCs w:val="1"/>
                <w:color w:val="auto"/>
              </w:rPr>
              <w:t>Jane Grimm, Vice President and Secretary</w:t>
            </w:r>
          </w:p>
        </w:tc>
      </w:tr>
    </w:tbl>
    <w:p>
      <w:pPr>
        <w:spacing w:after="0" w:line="1" w:lineRule="exact"/>
        <w:rPr>
          <w:sz w:val="20"/>
          <w:szCs w:val="20"/>
          <w:color w:val="auto"/>
        </w:rPr>
      </w:pP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2019-11-30T21:26:42Z</dcterms:created>
  <dcterms:modified xsi:type="dcterms:W3CDTF">2019-11-30T21:26:42Z</dcterms:modified>
</cp:coreProperties>
</file>