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525145</wp:posOffset>
            </wp:positionH>
            <wp:positionV relativeFrom="page">
              <wp:posOffset>911860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980440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55880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9" w:lineRule="exact"/>
        <w:rPr>
          <w:sz w:val="24"/>
          <w:szCs w:val="24"/>
          <w:color w:val="auto"/>
        </w:rPr>
      </w:pPr>
    </w:p>
    <w:p>
      <w:pPr>
        <w:ind w:left="3040" w:hanging="178"/>
        <w:spacing w:after="0"/>
        <w:tabs>
          <w:tab w:leader="none" w:pos="30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66675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91" w:lineRule="exact"/>
        <w:rPr>
          <w:sz w:val="24"/>
          <w:szCs w:val="24"/>
          <w:color w:val="auto"/>
        </w:rPr>
      </w:pPr>
    </w:p>
    <w:p>
      <w:pPr>
        <w:ind w:left="3060" w:hanging="176"/>
        <w:spacing w:after="0"/>
        <w:tabs>
          <w:tab w:leader="none" w:pos="30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THE SECURITIES EXCHANGE ACT OF 1934</w:t>
      </w:r>
    </w:p>
    <w:p>
      <w:pPr>
        <w:spacing w:after="0" w:line="4"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For the transition period from ___ to ____</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1-13905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COMPX INTERNATIONAL INC.</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36195</wp:posOffset>
            </wp:positionV>
            <wp:extent cx="162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p>
      <w:pPr>
        <w:spacing w:after="0" w:line="219" w:lineRule="exact"/>
        <w:rPr>
          <w:sz w:val="24"/>
          <w:szCs w:val="24"/>
          <w:color w:val="auto"/>
        </w:rPr>
      </w:pPr>
    </w:p>
    <w:p>
      <w:pPr>
        <w:ind w:left="21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57-0981653</w:t>
      </w:r>
    </w:p>
    <w:p>
      <w:pPr>
        <w:spacing w:after="0" w:line="36" w:lineRule="exact"/>
        <w:rPr>
          <w:sz w:val="24"/>
          <w:szCs w:val="24"/>
          <w:color w:val="auto"/>
        </w:rPr>
      </w:pPr>
    </w:p>
    <w:p>
      <w:pPr>
        <w:sectPr>
          <w:pgSz w:w="11900" w:h="16838" w:orient="portrait"/>
          <w:cols w:equalWidth="0" w:num="2">
            <w:col w:w="6620" w:space="720"/>
            <w:col w:w="2900"/>
          </w:cols>
          <w:pgMar w:left="820" w:top="1440" w:right="839" w:bottom="1440" w:gutter="0" w:footer="0" w:header="0"/>
          <w:type w:val="continuous"/>
        </w:sectPr>
      </w:pPr>
    </w:p>
    <w:p>
      <w:pPr>
        <w:spacing w:after="0" w:line="13" w:lineRule="exact"/>
        <w:rPr>
          <w:sz w:val="24"/>
          <w:szCs w:val="24"/>
          <w:color w:val="auto"/>
        </w:rPr>
      </w:pPr>
    </w:p>
    <w:p>
      <w:pPr>
        <w:ind w:left="1720"/>
        <w:spacing w:after="0"/>
        <w:rPr>
          <w:sz w:val="20"/>
          <w:szCs w:val="20"/>
          <w:color w:val="auto"/>
        </w:rPr>
      </w:pPr>
      <w:r>
        <w:rPr>
          <w:rFonts w:ascii="Arial" w:cs="Arial" w:eastAsia="Arial" w:hAnsi="Arial"/>
          <w:sz w:val="10"/>
          <w:szCs w:val="10"/>
          <w:b w:val="1"/>
          <w:bCs w:val="1"/>
          <w:color w:val="auto"/>
        </w:rPr>
        <w:t>(State or other jurisdiction of</w:t>
      </w:r>
    </w:p>
    <w:p>
      <w:pPr>
        <w:spacing w:after="0" w:line="22" w:lineRule="exact"/>
        <w:rPr>
          <w:sz w:val="24"/>
          <w:szCs w:val="24"/>
          <w:color w:val="auto"/>
        </w:rPr>
      </w:pPr>
    </w:p>
    <w:p>
      <w:pPr>
        <w:ind w:left="17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20"/>
        <w:spacing w:after="0"/>
        <w:rPr>
          <w:sz w:val="20"/>
          <w:szCs w:val="20"/>
          <w:color w:val="auto"/>
        </w:rPr>
      </w:pPr>
      <w:r>
        <w:rPr>
          <w:rFonts w:ascii="Arial" w:cs="Arial" w:eastAsia="Arial" w:hAnsi="Arial"/>
          <w:sz w:val="13"/>
          <w:szCs w:val="13"/>
          <w:b w:val="1"/>
          <w:bCs w:val="1"/>
          <w:color w:val="auto"/>
        </w:rPr>
        <w:t>(IRS Employer</w:t>
      </w:r>
    </w:p>
    <w:p>
      <w:pPr>
        <w:jc w:val="center"/>
        <w:ind w:right="2020"/>
        <w:spacing w:after="0"/>
        <w:rPr>
          <w:sz w:val="20"/>
          <w:szCs w:val="20"/>
          <w:color w:val="auto"/>
        </w:rPr>
      </w:pPr>
      <w:r>
        <w:rPr>
          <w:rFonts w:ascii="Arial" w:cs="Arial" w:eastAsia="Arial" w:hAnsi="Arial"/>
          <w:sz w:val="10"/>
          <w:szCs w:val="10"/>
          <w:b w:val="1"/>
          <w:bCs w:val="1"/>
          <w:color w:val="auto"/>
        </w:rPr>
        <w:t>Identification No.)</w:t>
      </w:r>
    </w:p>
    <w:p>
      <w:pPr>
        <w:spacing w:after="0" w:line="159" w:lineRule="exact"/>
        <w:rPr>
          <w:sz w:val="24"/>
          <w:szCs w:val="24"/>
          <w:color w:val="auto"/>
        </w:rPr>
      </w:pPr>
    </w:p>
    <w:p>
      <w:pPr>
        <w:sectPr>
          <w:pgSz w:w="11900" w:h="16838" w:orient="portrait"/>
          <w:cols w:equalWidth="0" w:num="2">
            <w:col w:w="6520" w:space="720"/>
            <w:col w:w="3000"/>
          </w:cols>
          <w:pgMar w:left="820" w:top="1440" w:right="8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5430 LBJ Freeway, Suite 1700</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Dallas, Texas 75240-2620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(Address of principal executive offices)</w:t>
      </w:r>
    </w:p>
    <w:p>
      <w:pPr>
        <w:sectPr>
          <w:pgSz w:w="11900" w:h="16838" w:orient="portrait"/>
          <w:cols w:equalWidth="0" w:num="1">
            <w:col w:w="10240"/>
          </w:cols>
          <w:pgMar w:left="820" w:top="1440" w:right="839" w:bottom="1440" w:gutter="0" w:footer="0" w:header="0"/>
          <w:type w:val="continuous"/>
        </w:sectPr>
      </w:pPr>
    </w:p>
    <w:p>
      <w:pPr>
        <w:spacing w:after="0" w:line="29" w:lineRule="exact"/>
        <w:rPr>
          <w:sz w:val="24"/>
          <w:szCs w:val="24"/>
          <w:color w:val="auto"/>
        </w:rPr>
      </w:pPr>
    </w:p>
    <w:p>
      <w:pPr>
        <w:ind w:left="3060"/>
        <w:spacing w:after="0"/>
        <w:rPr>
          <w:sz w:val="20"/>
          <w:szCs w:val="20"/>
          <w:color w:val="auto"/>
        </w:rPr>
      </w:pPr>
      <w:r>
        <w:rPr>
          <w:rFonts w:ascii="Arial" w:cs="Arial" w:eastAsia="Arial" w:hAnsi="Arial"/>
          <w:sz w:val="14"/>
          <w:szCs w:val="14"/>
          <w:b w:val="1"/>
          <w:bCs w:val="1"/>
          <w:color w:val="auto"/>
        </w:rPr>
        <w:t>Registrant’s telephone number, including area code: (972) 448-1400</w:t>
      </w:r>
    </w:p>
    <w:p>
      <w:pPr>
        <w:spacing w:after="0" w:line="178"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80" w:type="dxa"/>
            <w:vAlign w:val="bottom"/>
            <w:gridSpan w:val="4"/>
          </w:tcPr>
          <w:p>
            <w:pPr>
              <w:jc w:val="center"/>
              <w:ind w:right="780"/>
              <w:spacing w:after="0"/>
              <w:rPr>
                <w:sz w:val="20"/>
                <w:szCs w:val="20"/>
                <w:color w:val="auto"/>
              </w:rPr>
            </w:pPr>
            <w:r>
              <w:rPr>
                <w:rFonts w:ascii="Arial" w:cs="Arial" w:eastAsia="Arial" w:hAnsi="Arial"/>
                <w:sz w:val="13"/>
                <w:szCs w:val="13"/>
                <w:b w:val="1"/>
                <w:bCs w:val="1"/>
                <w:color w:val="auto"/>
                <w:w w:val="92"/>
              </w:rPr>
              <w:t>Trading</w:t>
            </w:r>
          </w:p>
        </w:tc>
        <w:tc>
          <w:tcPr>
            <w:tcW w:w="3320" w:type="dxa"/>
            <w:vAlign w:val="bottom"/>
          </w:tcPr>
          <w:p>
            <w:pPr>
              <w:spacing w:after="0"/>
              <w:rPr>
                <w:sz w:val="12"/>
                <w:szCs w:val="12"/>
                <w:color w:val="auto"/>
              </w:rPr>
            </w:pPr>
          </w:p>
        </w:tc>
      </w:tr>
      <w:tr>
        <w:trPr>
          <w:trHeight w:val="153"/>
        </w:trPr>
        <w:tc>
          <w:tcPr>
            <w:tcW w:w="3040" w:type="dxa"/>
            <w:vAlign w:val="bottom"/>
          </w:tcPr>
          <w:p>
            <w:pPr>
              <w:jc w:val="center"/>
              <w:ind w:left="877"/>
              <w:spacing w:after="0"/>
              <w:rPr>
                <w:sz w:val="20"/>
                <w:szCs w:val="20"/>
                <w:color w:val="auto"/>
              </w:rPr>
            </w:pPr>
            <w:r>
              <w:rPr>
                <w:rFonts w:ascii="Arial" w:cs="Arial" w:eastAsia="Arial" w:hAnsi="Arial"/>
                <w:sz w:val="13"/>
                <w:szCs w:val="13"/>
                <w:b w:val="1"/>
                <w:bCs w:val="1"/>
                <w:color w:val="auto"/>
                <w:w w:val="83"/>
              </w:rPr>
              <w:t>Title of each class</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80" w:type="dxa"/>
            <w:vAlign w:val="bottom"/>
            <w:gridSpan w:val="4"/>
          </w:tcPr>
          <w:p>
            <w:pPr>
              <w:jc w:val="center"/>
              <w:ind w:right="780"/>
              <w:spacing w:after="0"/>
              <w:rPr>
                <w:sz w:val="20"/>
                <w:szCs w:val="20"/>
                <w:color w:val="auto"/>
              </w:rPr>
            </w:pPr>
            <w:r>
              <w:rPr>
                <w:rFonts w:ascii="Arial" w:cs="Arial" w:eastAsia="Arial" w:hAnsi="Arial"/>
                <w:sz w:val="13"/>
                <w:szCs w:val="13"/>
                <w:b w:val="1"/>
                <w:bCs w:val="1"/>
                <w:color w:val="auto"/>
                <w:w w:val="82"/>
              </w:rPr>
              <w:t>Symbol(s)</w:t>
            </w:r>
          </w:p>
        </w:tc>
        <w:tc>
          <w:tcPr>
            <w:tcW w:w="3320" w:type="dxa"/>
            <w:vAlign w:val="bottom"/>
          </w:tcPr>
          <w:p>
            <w:pPr>
              <w:jc w:val="center"/>
              <w:ind w:right="557"/>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54"/>
        </w:trPr>
        <w:tc>
          <w:tcPr>
            <w:tcW w:w="3040" w:type="dxa"/>
            <w:vAlign w:val="bottom"/>
            <w:tcBorders>
              <w:top w:val="single" w:sz="8" w:color="auto"/>
            </w:tcBorders>
          </w:tcPr>
          <w:p>
            <w:pPr>
              <w:jc w:val="center"/>
              <w:ind w:left="897"/>
              <w:spacing w:after="0"/>
              <w:rPr>
                <w:sz w:val="20"/>
                <w:szCs w:val="20"/>
                <w:color w:val="auto"/>
              </w:rPr>
            </w:pPr>
            <w:r>
              <w:rPr>
                <w:rFonts w:ascii="Arial" w:cs="Arial" w:eastAsia="Arial" w:hAnsi="Arial"/>
                <w:sz w:val="13"/>
                <w:szCs w:val="13"/>
                <w:color w:val="auto"/>
                <w:w w:val="87"/>
              </w:rPr>
              <w:t>Class A common stock</w:t>
            </w: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CIX</w:t>
            </w: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320" w:type="dxa"/>
            <w:vAlign w:val="bottom"/>
            <w:tcBorders>
              <w:top w:val="single" w:sz="8" w:color="auto"/>
            </w:tcBorders>
          </w:tcPr>
          <w:p>
            <w:pPr>
              <w:jc w:val="center"/>
              <w:ind w:right="557"/>
              <w:spacing w:after="0"/>
              <w:rPr>
                <w:sz w:val="20"/>
                <w:szCs w:val="20"/>
                <w:color w:val="auto"/>
              </w:rPr>
            </w:pPr>
            <w:r>
              <w:rPr>
                <w:rFonts w:ascii="Arial" w:cs="Arial" w:eastAsia="Arial" w:hAnsi="Arial"/>
                <w:sz w:val="13"/>
                <w:szCs w:val="13"/>
                <w:color w:val="auto"/>
                <w:w w:val="91"/>
              </w:rPr>
              <w:t>NYSE American</w:t>
            </w:r>
          </w:p>
        </w:tc>
      </w:tr>
      <w:tr>
        <w:trPr>
          <w:trHeight w:val="337"/>
        </w:trPr>
        <w:tc>
          <w:tcPr>
            <w:tcW w:w="3040" w:type="dxa"/>
            <w:vAlign w:val="bottom"/>
          </w:tcPr>
          <w:p>
            <w:pPr>
              <w:spacing w:after="0"/>
              <w:rPr>
                <w:sz w:val="24"/>
                <w:szCs w:val="24"/>
                <w:color w:val="auto"/>
              </w:rPr>
            </w:pPr>
          </w:p>
        </w:tc>
        <w:tc>
          <w:tcPr>
            <w:tcW w:w="3860" w:type="dxa"/>
            <w:vAlign w:val="bottom"/>
            <w:gridSpan w:val="7"/>
          </w:tcPr>
          <w:p>
            <w:pPr>
              <w:jc w:val="center"/>
              <w:ind w:left="257"/>
              <w:spacing w:after="0"/>
              <w:rPr>
                <w:sz w:val="20"/>
                <w:szCs w:val="20"/>
                <w:color w:val="auto"/>
              </w:rPr>
            </w:pPr>
            <w:r>
              <w:rPr>
                <w:rFonts w:ascii="Arial" w:cs="Arial" w:eastAsia="Arial" w:hAnsi="Arial"/>
                <w:sz w:val="13"/>
                <w:szCs w:val="13"/>
                <w:b w:val="1"/>
                <w:bCs w:val="1"/>
                <w:color w:val="auto"/>
                <w:w w:val="85"/>
              </w:rPr>
              <w:t>No securities registered pursuant to Section 12(g) of the Act.</w:t>
            </w:r>
          </w:p>
        </w:tc>
        <w:tc>
          <w:tcPr>
            <w:tcW w:w="3320" w:type="dxa"/>
            <w:vAlign w:val="bottom"/>
          </w:tcPr>
          <w:p>
            <w:pPr>
              <w:spacing w:after="0"/>
              <w:rPr>
                <w:sz w:val="24"/>
                <w:szCs w:val="24"/>
                <w:color w:val="auto"/>
              </w:rPr>
            </w:pPr>
          </w:p>
        </w:tc>
      </w:tr>
      <w:tr>
        <w:trPr>
          <w:trHeight w:val="84"/>
        </w:trPr>
        <w:tc>
          <w:tcPr>
            <w:tcW w:w="30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3320" w:type="dxa"/>
            <w:vAlign w:val="bottom"/>
          </w:tcPr>
          <w:p>
            <w:pPr>
              <w:spacing w:after="0"/>
              <w:rPr>
                <w:sz w:val="7"/>
                <w:szCs w:val="7"/>
                <w:color w:val="auto"/>
              </w:rPr>
            </w:pPr>
          </w:p>
        </w:tc>
      </w:tr>
    </w:tbl>
    <w:p>
      <w:pPr>
        <w:spacing w:after="0" w:line="148" w:lineRule="exact"/>
        <w:rPr>
          <w:sz w:val="24"/>
          <w:szCs w:val="24"/>
          <w:color w:val="auto"/>
        </w:rPr>
      </w:pPr>
    </w:p>
    <w:p>
      <w:pPr>
        <w:ind w:left="20"/>
        <w:spacing w:after="0"/>
        <w:rPr>
          <w:sz w:val="20"/>
          <w:szCs w:val="20"/>
          <w:color w:val="auto"/>
        </w:rPr>
      </w:pPr>
      <w:r>
        <w:rPr>
          <w:rFonts w:ascii="Arial" w:cs="Arial" w:eastAsia="Arial" w:hAnsi="Arial"/>
          <w:sz w:val="13"/>
          <w:szCs w:val="13"/>
          <w:color w:val="auto"/>
        </w:rPr>
        <w:t>Indicate by check mark:</w:t>
      </w:r>
    </w:p>
    <w:p>
      <w:pPr>
        <w:spacing w:after="0" w:line="42" w:lineRule="exact"/>
        <w:rPr>
          <w:sz w:val="24"/>
          <w:szCs w:val="24"/>
          <w:color w:val="auto"/>
        </w:rPr>
      </w:pPr>
    </w:p>
    <w:p>
      <w:pPr>
        <w:ind w:left="20" w:right="4500"/>
        <w:spacing w:after="0" w:line="207" w:lineRule="exact"/>
        <w:rPr>
          <w:sz w:val="20"/>
          <w:szCs w:val="20"/>
          <w:color w:val="auto"/>
        </w:rPr>
      </w:pPr>
      <w:r>
        <w:rPr>
          <w:rFonts w:ascii="Arial" w:cs="Arial" w:eastAsia="Arial" w:hAnsi="Arial"/>
          <w:sz w:val="10"/>
          <w:szCs w:val="10"/>
          <w:color w:val="auto"/>
        </w:rPr>
        <w:t xml:space="preserve">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9" w:lineRule="exact"/>
        <w:rPr>
          <w:sz w:val="24"/>
          <w:szCs w:val="24"/>
          <w:color w:val="auto"/>
        </w:rPr>
      </w:pPr>
    </w:p>
    <w:p>
      <w:pPr>
        <w:ind w:left="20"/>
        <w:spacing w:after="0" w:line="162" w:lineRule="exact"/>
        <w:rPr>
          <w:sz w:val="20"/>
          <w:szCs w:val="20"/>
          <w:color w:val="auto"/>
        </w:rPr>
      </w:pPr>
      <w:r>
        <w:rPr>
          <w:rFonts w:ascii="Arial" w:cs="Arial" w:eastAsia="Arial" w:hAnsi="Arial"/>
          <w:sz w:val="13"/>
          <w:szCs w:val="13"/>
          <w:color w:val="auto"/>
        </w:rPr>
        <w:t xml:space="preserve">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ind w:left="20" w:right="20"/>
        <w:spacing w:after="0" w:line="162" w:lineRule="exact"/>
        <w:rPr>
          <w:sz w:val="20"/>
          <w:szCs w:val="20"/>
          <w:color w:val="auto"/>
        </w:rPr>
      </w:pPr>
      <w:r>
        <w:rPr>
          <w:rFonts w:ascii="Arial" w:cs="Arial" w:eastAsia="Arial" w:hAnsi="Arial"/>
          <w:sz w:val="13"/>
          <w:szCs w:val="13"/>
          <w:color w:val="auto"/>
        </w:rPr>
        <w:t xml:space="preserve">Whether the registrant has submitted electronically every Interactive Data File required to be submitted pursuant to Rule 405 of Regulation S-T during the preceding 12 months (or for such shorter period that the registration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ind w:left="20" w:right="20"/>
        <w:spacing w:after="0" w:line="236" w:lineRule="auto"/>
        <w:rPr>
          <w:sz w:val="20"/>
          <w:szCs w:val="20"/>
          <w:color w:val="auto"/>
        </w:rPr>
      </w:pPr>
      <w:r>
        <w:rPr>
          <w:rFonts w:ascii="Arial" w:cs="Arial" w:eastAsia="Arial" w:hAnsi="Arial"/>
          <w:sz w:val="13"/>
          <w:szCs w:val="13"/>
          <w:color w:val="auto"/>
        </w:rPr>
        <w:t>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17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840"/>
              <w:spacing w:after="0"/>
              <w:rPr>
                <w:sz w:val="20"/>
                <w:szCs w:val="20"/>
                <w:color w:val="auto"/>
              </w:rPr>
            </w:pPr>
            <w:r>
              <w:rPr>
                <w:rFonts w:ascii="Arial" w:cs="Arial" w:eastAsia="Arial" w:hAnsi="Arial"/>
                <w:sz w:val="13"/>
                <w:szCs w:val="13"/>
                <w:color w:val="auto"/>
              </w:rPr>
              <w:t>Accelerated filer</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700" w:type="dxa"/>
            <w:vAlign w:val="bottom"/>
          </w:tcPr>
          <w:p>
            <w:pPr>
              <w:spacing w:after="0"/>
              <w:rPr>
                <w:sz w:val="20"/>
                <w:szCs w:val="20"/>
                <w:color w:val="auto"/>
              </w:rPr>
            </w:pPr>
            <w:r>
              <w:rPr>
                <w:rFonts w:ascii="Arial" w:cs="Arial" w:eastAsia="Arial" w:hAnsi="Arial"/>
                <w:sz w:val="13"/>
                <w:szCs w:val="13"/>
                <w:color w:val="auto"/>
              </w:rPr>
              <w:t>Non-accelerated filer</w:t>
            </w:r>
          </w:p>
        </w:tc>
        <w:tc>
          <w:tcPr>
            <w:tcW w:w="33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840"/>
              <w:spacing w:after="0"/>
              <w:rPr>
                <w:sz w:val="20"/>
                <w:szCs w:val="20"/>
                <w:color w:val="auto"/>
              </w:rPr>
            </w:pPr>
            <w:r>
              <w:rPr>
                <w:rFonts w:ascii="Arial" w:cs="Arial" w:eastAsia="Arial" w:hAnsi="Arial"/>
                <w:sz w:val="13"/>
                <w:szCs w:val="13"/>
                <w:color w:val="auto"/>
              </w:rPr>
              <w:t>Smaller reporting company</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7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3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line="177" w:lineRule="exact"/>
        <w:rPr>
          <w:sz w:val="24"/>
          <w:szCs w:val="24"/>
          <w:color w:val="auto"/>
        </w:rPr>
      </w:pPr>
    </w:p>
    <w:p>
      <w:pPr>
        <w:ind w:left="20" w:right="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8" w:lineRule="exact"/>
        <w:rPr>
          <w:sz w:val="24"/>
          <w:szCs w:val="24"/>
          <w:color w:val="auto"/>
        </w:rPr>
      </w:pPr>
    </w:p>
    <w:p>
      <w:pPr>
        <w:ind w:left="20"/>
        <w:spacing w:after="0" w:line="162" w:lineRule="exact"/>
        <w:rPr>
          <w:sz w:val="20"/>
          <w:szCs w:val="20"/>
          <w:color w:val="auto"/>
        </w:rPr>
      </w:pPr>
      <w:r>
        <w:rPr>
          <w:rFonts w:ascii="Arial" w:cs="Arial" w:eastAsia="Arial" w:hAnsi="Arial"/>
          <w:sz w:val="13"/>
          <w:szCs w:val="13"/>
          <w:color w:val="auto"/>
        </w:rPr>
        <w:t xml:space="preserve">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1" w:lineRule="exact"/>
        <w:rPr>
          <w:sz w:val="24"/>
          <w:szCs w:val="24"/>
          <w:color w:val="auto"/>
        </w:rPr>
      </w:pPr>
    </w:p>
    <w:p>
      <w:pPr>
        <w:ind w:left="20"/>
        <w:spacing w:after="0" w:line="138" w:lineRule="exact"/>
        <w:tabs>
          <w:tab w:leader="none" w:pos="5140" w:val="left"/>
        </w:tabs>
        <w:rPr>
          <w:sz w:val="20"/>
          <w:szCs w:val="20"/>
          <w:color w:val="auto"/>
        </w:rPr>
      </w:pPr>
      <w:r>
        <w:rPr>
          <w:rFonts w:ascii="Arial" w:cs="Arial" w:eastAsia="Arial" w:hAnsi="Arial"/>
          <w:sz w:val="12"/>
          <w:szCs w:val="12"/>
          <w:color w:val="auto"/>
        </w:rPr>
        <w:t xml:space="preserve">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ab/>
        <w:t xml:space="preserve">No </w:t>
      </w:r>
      <w:r>
        <w:rPr>
          <w:rFonts w:ascii="MS PGothic" w:cs="MS PGothic" w:eastAsia="MS PGothic" w:hAnsi="MS PGothic"/>
          <w:sz w:val="12"/>
          <w:szCs w:val="12"/>
          <w:color w:val="auto"/>
        </w:rPr>
        <w:t>☒</w:t>
      </w:r>
    </w:p>
    <w:p>
      <w:pPr>
        <w:spacing w:after="0" w:line="89" w:lineRule="exact"/>
        <w:rPr>
          <w:sz w:val="24"/>
          <w:szCs w:val="24"/>
          <w:color w:val="auto"/>
        </w:rPr>
      </w:pPr>
    </w:p>
    <w:p>
      <w:pPr>
        <w:ind w:left="20"/>
        <w:spacing w:after="0" w:line="236" w:lineRule="auto"/>
        <w:rPr>
          <w:sz w:val="20"/>
          <w:szCs w:val="20"/>
          <w:color w:val="auto"/>
        </w:rPr>
      </w:pPr>
      <w:r>
        <w:rPr>
          <w:rFonts w:ascii="Arial" w:cs="Arial" w:eastAsia="Arial" w:hAnsi="Arial"/>
          <w:sz w:val="13"/>
          <w:szCs w:val="13"/>
          <w:color w:val="auto"/>
        </w:rPr>
        <w:t>The aggregate market value of the 1.6 million shares of voting stock held by nonaffiliates of CompX International Inc. as of June 30, 2021 (the last business day of the Registrant’s most recently completed second fiscal quarter) approximated $34.1 million.</w:t>
      </w:r>
    </w:p>
    <w:p>
      <w:pPr>
        <w:spacing w:after="0" w:line="43" w:lineRule="exact"/>
        <w:rPr>
          <w:sz w:val="24"/>
          <w:szCs w:val="24"/>
          <w:color w:val="auto"/>
        </w:rPr>
      </w:pPr>
    </w:p>
    <w:p>
      <w:pPr>
        <w:ind w:left="20"/>
        <w:spacing w:after="0"/>
        <w:rPr>
          <w:sz w:val="20"/>
          <w:szCs w:val="20"/>
          <w:color w:val="auto"/>
        </w:rPr>
      </w:pPr>
      <w:r>
        <w:rPr>
          <w:rFonts w:ascii="Arial" w:cs="Arial" w:eastAsia="Arial" w:hAnsi="Arial"/>
          <w:sz w:val="13"/>
          <w:szCs w:val="13"/>
          <w:color w:val="auto"/>
        </w:rPr>
        <w:t>As of February 22, 2022, registrant had 12,380,657 shares of Class A common stock, $.01 par value per share, outstanding.</w:t>
      </w:r>
    </w:p>
    <w:p>
      <w:pPr>
        <w:spacing w:after="0" w:line="63" w:lineRule="exact"/>
        <w:rPr>
          <w:sz w:val="24"/>
          <w:szCs w:val="24"/>
          <w:color w:val="auto"/>
        </w:rPr>
      </w:pPr>
    </w:p>
    <w:p>
      <w:pPr>
        <w:ind w:left="4120"/>
        <w:spacing w:after="0"/>
        <w:rPr>
          <w:sz w:val="20"/>
          <w:szCs w:val="20"/>
          <w:color w:val="auto"/>
        </w:rPr>
      </w:pPr>
      <w:r>
        <w:rPr>
          <w:rFonts w:ascii="Arial" w:cs="Arial" w:eastAsia="Arial" w:hAnsi="Arial"/>
          <w:sz w:val="13"/>
          <w:szCs w:val="13"/>
          <w:b w:val="1"/>
          <w:bCs w:val="1"/>
          <w:u w:val="single" w:color="auto"/>
          <w:color w:val="auto"/>
        </w:rPr>
        <w:t>Documents incorporated by reference</w:t>
      </w:r>
    </w:p>
    <w:p>
      <w:pPr>
        <w:spacing w:after="0" w:line="57" w:lineRule="exact"/>
        <w:rPr>
          <w:sz w:val="24"/>
          <w:szCs w:val="24"/>
          <w:color w:val="auto"/>
        </w:rPr>
      </w:pPr>
    </w:p>
    <w:p>
      <w:pPr>
        <w:ind w:left="20" w:firstLine="648"/>
        <w:spacing w:after="0" w:line="236" w:lineRule="auto"/>
        <w:rPr>
          <w:sz w:val="20"/>
          <w:szCs w:val="20"/>
          <w:color w:val="auto"/>
        </w:rPr>
      </w:pPr>
      <w:r>
        <w:rPr>
          <w:rFonts w:ascii="Arial" w:cs="Arial" w:eastAsia="Arial" w:hAnsi="Arial"/>
          <w:sz w:val="13"/>
          <w:szCs w:val="13"/>
          <w:color w:val="auto"/>
        </w:rPr>
        <w:t>The information required by Part III is incorporated by reference from the Registrant’s definitive proxy statement to be filed with the Commission pursuant to Regulation 14A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730885</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79375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CompX International Inc. (NYSE American: CIX), incorporated in Delaware in 1993, is a leading manufacturer of security products used in the recreational transportation, postal, office and institutional furniture, cabinetry, tool storage, healthcare and a variety of other industries. We are also a leading manufacturer of stainless steel exhaust systems, gauges, throttle controls, wake enhancement systems and trim tabs for the recreational marine industry. Our products are principally designed for use in medium to high-end product applications where design, quality and durability are valued by our customers.</w:t>
      </w:r>
    </w:p>
    <w:p>
      <w:pPr>
        <w:spacing w:after="0" w:line="19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At December 31, 2021, NL Industries, Inc. (NYSE: NL) owns approximately 87% of our outstanding common stock, Valhi, Inc. (NYSE: VHI) owns approximately 83% of NL’s outstanding common stock and a subsidiary of Contran Corporation owns approximately 92% of Valhi’s outstanding common stock. As discussed in Note 1 to our Consolidated Financial Statements,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December 31, 2021, Ms. Simmons and the Family Trust may be deemed to control Contran, and therefore may be deemed to indirectly control the wholly-owned subsidiary of Contran, Valhi, NL and us.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corporate offices are located at Three Lincoln Centre, 5430 LBJ Freeway, Suite 1700, Dallas, Texas 75240.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Our telephone number is (972) 448-1400. We maintain a website at </w:t>
      </w:r>
      <w:r>
        <w:rPr>
          <w:rFonts w:ascii="Arial" w:cs="Arial" w:eastAsia="Arial" w:hAnsi="Arial"/>
          <w:sz w:val="18"/>
          <w:szCs w:val="18"/>
          <w:u w:val="single" w:color="auto"/>
          <w:color w:val="auto"/>
        </w:rPr>
        <w:t>www.compxinternational.com</w:t>
      </w:r>
      <w:r>
        <w:rPr>
          <w:rFonts w:ascii="Arial" w:cs="Arial" w:eastAsia="Arial" w:hAnsi="Arial"/>
          <w:sz w:val="18"/>
          <w:szCs w:val="18"/>
          <w:color w:val="auto"/>
        </w:rPr>
        <w:t>.</w:t>
      </w:r>
    </w:p>
    <w:p>
      <w:pPr>
        <w:spacing w:after="0" w:line="21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Unless otherwise indicated, references in this report to “we,” “us,” or “our” refer to CompX International Inc. and its subsidiaries taken as a whole.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as amended. Statements in this Annual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Annual Report and those described from time to time in our other filings with the U.S. Securities and Exchange Commission (the “SEC”) and include, but are not limited to, the following:</w:t>
      </w:r>
    </w:p>
    <w:p>
      <w:pPr>
        <w:spacing w:after="0" w:line="182"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7"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5" w:lineRule="exact"/>
        <w:rPr>
          <w:rFonts w:ascii="Arial" w:cs="Arial" w:eastAsia="Arial" w:hAnsi="Arial"/>
          <w:sz w:val="16"/>
          <w:szCs w:val="16"/>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products and product features,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 w:name="page3"/>
    <w:bookmarkEnd w:id="2"/>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Environmental matters (such as those requiring emission and discharge standards for existing and new facilities),</w:t>
      </w:r>
    </w:p>
    <w:p>
      <w:pPr>
        <w:spacing w:after="0" w:line="140"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62" w:lineRule="exact"/>
        <w:rPr>
          <w:rFonts w:ascii="Arial" w:cs="Arial" w:eastAsia="Arial" w:hAnsi="Arial"/>
          <w:sz w:val="18"/>
          <w:szCs w:val="18"/>
          <w:color w:val="auto"/>
        </w:rPr>
      </w:pPr>
    </w:p>
    <w:p>
      <w:pPr>
        <w:jc w:val="both"/>
        <w:ind w:left="720" w:right="79" w:hanging="319"/>
        <w:spacing w:after="0" w:line="279"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63"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7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manufacture engineered components utilized in a variety of applications and industries.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wake enhancement systems, trim tabs and related hardware and accessories for the recreational marine and other industries. We continuously seek to diversify into new markets and identify new applications and features for our products, which we believe provide a greater potential for higher rates of earnings growth as well as diversification of risk. See also Item 7 – “Management’s Discussion and Analysis of Financial Condition and Results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two operating business segments – Security Products and Marine Components. For additional information regarding our segments, see “Part II – Item 7. Management’s Discussion and Analysis of Financial Condition and Results of Operations” and Note 2 to the Consolidated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 Operations and Products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i w:val="1"/>
          <w:iCs w:val="1"/>
          <w:color w:val="auto"/>
        </w:rPr>
        <w:t>Security Products</w:t>
      </w:r>
      <w:r>
        <w:rPr>
          <w:rFonts w:ascii="Arial" w:cs="Arial" w:eastAsia="Arial" w:hAnsi="Arial"/>
          <w:sz w:val="17"/>
          <w:szCs w:val="17"/>
          <w:color w:val="auto"/>
        </w:rPr>
        <w:t>. Our Security Products segment manufactures mechanical and electrical cabinet locks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locking mechanisms used in a variety of applications including ignition systems, mailboxes, file cabinets, desk drawers, tool storage cabinets, high security medical cabinetry, integrated inventory and access control secured narcotics boxes, electronic circuit panels, storage compartments, gas station security, vending and cash containment machines. Our Security Products segment has one manufacturing facility in Mauldin, South Carolina and one in Grayslake, Illinois which is shared with Marine Components. We believe we are a North American market leader in the manufacture and sale of cabinet locks and other locking mechanisms. These products include:</w:t>
      </w:r>
    </w:p>
    <w:p>
      <w:pPr>
        <w:spacing w:after="0" w:line="177"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disc tumbler locks which provide moderate security and generally represent the lowest cost lock we produce;</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3" w:name="page4"/>
    <w:bookmarkEnd w:id="3"/>
    <w:p>
      <w:pPr>
        <w:jc w:val="both"/>
        <w:ind w:left="720" w:right="79" w:hanging="319"/>
        <w:spacing w:after="0" w:line="267"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pin tumbler locking mechanisms which are more costly to produce and are used in applications requiring higher levels of security, including </w:t>
      </w:r>
      <w:r>
        <w:rPr>
          <w:rFonts w:ascii="Arial" w:cs="Arial" w:eastAsia="Arial" w:hAnsi="Arial"/>
          <w:sz w:val="17"/>
          <w:szCs w:val="17"/>
          <w:i w:val="1"/>
          <w:iCs w:val="1"/>
          <w:color w:val="auto"/>
        </w:rPr>
        <w:t>KeSet</w:t>
      </w:r>
      <w:r>
        <w:rPr>
          <w:rFonts w:ascii="Arial" w:cs="Arial" w:eastAsia="Arial" w:hAnsi="Arial"/>
          <w:sz w:val="21"/>
          <w:szCs w:val="21"/>
          <w:i w:val="1"/>
          <w:iCs w:val="1"/>
          <w:color w:val="auto"/>
          <w:vertAlign w:val="superscript"/>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System 64</w:t>
      </w:r>
      <w:r>
        <w:rPr>
          <w:rFonts w:ascii="Arial" w:cs="Arial" w:eastAsia="Arial" w:hAnsi="Arial"/>
          <w:sz w:val="21"/>
          <w:szCs w:val="21"/>
          <w:i w:val="1"/>
          <w:iCs w:val="1"/>
          <w:color w:val="auto"/>
          <w:vertAlign w:val="superscript"/>
        </w:rPr>
        <w:t>®</w:t>
      </w:r>
      <w:r>
        <w:rPr>
          <w:rFonts w:ascii="Arial" w:cs="Arial" w:eastAsia="Arial" w:hAnsi="Arial"/>
          <w:sz w:val="17"/>
          <w:szCs w:val="17"/>
          <w:color w:val="auto"/>
        </w:rPr>
        <w:t xml:space="preserve"> (which each allow the user to change the keying on a single lock 64 times without removing the lock from its enclosure), </w:t>
      </w:r>
      <w:r>
        <w:rPr>
          <w:rFonts w:ascii="Arial" w:cs="Arial" w:eastAsia="Arial" w:hAnsi="Arial"/>
          <w:sz w:val="17"/>
          <w:szCs w:val="17"/>
          <w:i w:val="1"/>
          <w:iCs w:val="1"/>
          <w:color w:val="auto"/>
        </w:rPr>
        <w:t>TuBar</w:t>
      </w:r>
      <w:r>
        <w:rPr>
          <w:rFonts w:ascii="Arial" w:cs="Arial" w:eastAsia="Arial" w:hAnsi="Arial"/>
          <w:sz w:val="21"/>
          <w:szCs w:val="21"/>
          <w:i w:val="1"/>
          <w:iCs w:val="1"/>
          <w:color w:val="auto"/>
          <w:vertAlign w:val="superscript"/>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Turbine</w:t>
      </w:r>
      <w:r>
        <w:rPr>
          <w:rFonts w:ascii="Arial" w:cs="Arial" w:eastAsia="Arial" w:hAnsi="Arial"/>
          <w:sz w:val="20"/>
          <w:szCs w:val="20"/>
          <w:i w:val="1"/>
          <w:iCs w:val="1"/>
          <w:color w:val="auto"/>
        </w:rPr>
        <w:t>™</w:t>
      </w:r>
      <w:r>
        <w:rPr>
          <w:rFonts w:ascii="Arial" w:cs="Arial" w:eastAsia="Arial" w:hAnsi="Arial"/>
          <w:sz w:val="17"/>
          <w:szCs w:val="17"/>
          <w:color w:val="auto"/>
        </w:rPr>
        <w:t>; and</w:t>
      </w:r>
    </w:p>
    <w:p>
      <w:pPr>
        <w:spacing w:after="0" w:line="24" w:lineRule="exact"/>
        <w:rPr>
          <w:rFonts w:ascii="Arial" w:cs="Arial" w:eastAsia="Arial" w:hAnsi="Arial"/>
          <w:sz w:val="17"/>
          <w:szCs w:val="17"/>
          <w:color w:val="auto"/>
        </w:rPr>
      </w:pPr>
    </w:p>
    <w:p>
      <w:pPr>
        <w:jc w:val="both"/>
        <w:ind w:left="720" w:right="79" w:hanging="319"/>
        <w:spacing w:after="0" w:line="23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innovative </w:t>
      </w:r>
      <w:r>
        <w:rPr>
          <w:rFonts w:ascii="Arial" w:cs="Arial" w:eastAsia="Arial" w:hAnsi="Arial"/>
          <w:sz w:val="18"/>
          <w:szCs w:val="18"/>
          <w:i w:val="1"/>
          <w:iCs w:val="1"/>
          <w:color w:val="auto"/>
        </w:rPr>
        <w:t>CompX eLock</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StealthLock</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electronic locks which provide stand-alone or networked security and audit trail capability for drug storage and other valuables through the use of a proximity card, magnetic stripe, radio frequency or other keypad credential.</w:t>
      </w:r>
    </w:p>
    <w:p>
      <w:pPr>
        <w:spacing w:after="0" w:line="203" w:lineRule="exact"/>
        <w:rPr>
          <w:sz w:val="20"/>
          <w:szCs w:val="20"/>
          <w:color w:val="auto"/>
        </w:rPr>
      </w:pPr>
    </w:p>
    <w:p>
      <w:pPr>
        <w:jc w:val="both"/>
        <w:ind w:left="60" w:right="59" w:firstLine="648"/>
        <w:spacing w:after="0" w:line="265" w:lineRule="auto"/>
        <w:rPr>
          <w:sz w:val="20"/>
          <w:szCs w:val="20"/>
          <w:color w:val="auto"/>
        </w:rPr>
      </w:pPr>
      <w:r>
        <w:rPr>
          <w:rFonts w:ascii="Arial" w:cs="Arial" w:eastAsia="Arial" w:hAnsi="Arial"/>
          <w:sz w:val="18"/>
          <w:szCs w:val="18"/>
          <w:color w:val="auto"/>
        </w:rPr>
        <w:t xml:space="preserve">A substantial portion of our Security Products’ sales consist of products with specialized adaptations to an individual customer’s specifications, some of which are listed above. We also have a standardized product line suitable for many customers, which is offered through a North American distribution network to locksmith and smaller original equipment manufacturer distributors via our </w:t>
      </w:r>
      <w:r>
        <w:rPr>
          <w:rFonts w:ascii="Arial" w:cs="Arial" w:eastAsia="Arial" w:hAnsi="Arial"/>
          <w:sz w:val="18"/>
          <w:szCs w:val="18"/>
          <w:i w:val="1"/>
          <w:iCs w:val="1"/>
          <w:color w:val="auto"/>
        </w:rPr>
        <w:t>STOCK LOCKS</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distribution program.</w:t>
      </w:r>
    </w:p>
    <w:p>
      <w:pPr>
        <w:spacing w:after="0" w:line="11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i w:val="1"/>
          <w:iCs w:val="1"/>
          <w:color w:val="auto"/>
        </w:rPr>
        <w:t>Marine Components</w:t>
      </w:r>
      <w:r>
        <w:rPr>
          <w:rFonts w:ascii="Arial" w:cs="Arial" w:eastAsia="Arial" w:hAnsi="Arial"/>
          <w:sz w:val="18"/>
          <w:szCs w:val="18"/>
          <w:color w:val="auto"/>
        </w:rPr>
        <w:t>. Our Marine Components segment manufactures and distributes stainless steel exhaust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gauges, throttle controls, wake enhancement systems, trim tabs and related hardware and accessories primarily for performance and ski/wakeboard boats. Our Marine Components segment has a facility in Neenah, Wisconsin and a facility in Grayslake, Illinois which is shared with Security Products. Our specialty Marine Component products are high precision components designed to operate within tight tolerances in the highly demanding marine environment. These products include:</w:t>
      </w:r>
    </w:p>
    <w:p>
      <w:pPr>
        <w:spacing w:after="0" w:line="192" w:lineRule="exact"/>
        <w:rPr>
          <w:sz w:val="20"/>
          <w:szCs w:val="20"/>
          <w:color w:val="auto"/>
        </w:rPr>
      </w:pPr>
    </w:p>
    <w:p>
      <w:pPr>
        <w:ind w:left="720" w:right="7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original equipment and aftermarket stainless steel exhaust headers, exhaust pipes, mufflers and other exhaust components;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 performance gauges such as GPS speedometers and tachometers;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mechanical and electronic controls and throttles;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wake enhancement devices, trim tabs, steering wheels, and billet aluminum accessories;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dash panels, LED indicators, and wire harnesses; and</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grab handles, pin cleats and other accessories.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information regarding our three principal manufacturing facilities, see “Item 2 – Properties.”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primary raw materials are:</w:t>
      </w:r>
    </w:p>
    <w:p>
      <w:pPr>
        <w:spacing w:after="0" w:line="225"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Products - zinc and brass (for the manufacture of locking mechanisms).</w:t>
      </w:r>
    </w:p>
    <w:p>
      <w:pPr>
        <w:spacing w:after="0" w:line="117"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Marine Components - stainless steel (for the manufacture of exhaust headers and pipes and wake enhancement systems), aluminum (for the manufacture of throttles and trim tabs) and other components.</w:t>
      </w:r>
    </w:p>
    <w:p>
      <w:pPr>
        <w:spacing w:after="0" w:line="14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These raw materials are purchased from several suppliers, are readily available from numerous sources and accounted for approximately 16% of our total cost of sales for 2021. Total material costs, including purchased components, represented approximately 44% of our cost of sales in 2021.</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occasionally enter into short-term commodity-related raw material supply arrangements to mitigate the impact of future price increases in commodity-related raw materials, including zinc, brass and stainless steel. These arrangements generally provide for stated unit prices based upon specified purchase volumes, which help us to stabilize our commodity-related raw material costs to a certain extent. At other times we may make spot market buys of larger quantities of raw materials to take advantage of favorable pricing or volume-based discounts. Prices for the primary commodity-related raw materials used in the manufacture of our locking mechanisms, primarily zinc and brass, remained relatively stable during 2020 but generally increased throughout 2021. The prices for stainless steel, the primary raw material used for the manufacture of marine exhaust headers and pipes and wake enhancement systems, remained relatively stable in 2020 but experienced significant volatility during 2021. Based on current economic conditions, we expect the prices for zinc, brass and stainless steel, and other manufacturing materials to be volatile during 2022. When purchased on the spot market, each of these raw materials may be subject to sudden and unanticipated price increases. When possible,</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4" w:name="page5"/>
    <w:bookmarkEnd w:id="4"/>
    <w:p>
      <w:pPr>
        <w:jc w:val="both"/>
        <w:ind w:left="60" w:right="59"/>
        <w:spacing w:after="0" w:line="254" w:lineRule="auto"/>
        <w:rPr>
          <w:sz w:val="20"/>
          <w:szCs w:val="20"/>
          <w:color w:val="auto"/>
        </w:rPr>
      </w:pPr>
      <w:r>
        <w:rPr>
          <w:rFonts w:ascii="Arial" w:cs="Arial" w:eastAsia="Arial" w:hAnsi="Arial"/>
          <w:sz w:val="18"/>
          <w:szCs w:val="18"/>
          <w:color w:val="auto"/>
        </w:rPr>
        <w:t>we seek to mitigate the impact of fluctuations in these raw material costs on our margins through improvements in production efficiencies or other operating cost reductions. In the event we are unable to offset raw material cost increases with other cost reductions, it may be difficult to recover those cost increases through increased product selling prices or raw material surcharges due to the competitive nature of the markets served by our products. Consequently, overall operating margins can be affected by commodity-related raw material cost pressures. Commodity market prices are cyclical, reflecting overall economic trends, specific developments in consuming industries and speculative investor activities.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Patents and Trademarks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hold a number of patents relating to our component products, certain of which we believe to be important to us and our continuing business activity. Patents generally have a term of 20 years, and our patents have remaining terms ranging from 1 year to 18 years at December 31, 2021.</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Our major trademarks and brand names in addition to </w:t>
      </w:r>
      <w:r>
        <w:rPr>
          <w:rFonts w:ascii="Arial" w:cs="Arial" w:eastAsia="Arial" w:hAnsi="Arial"/>
          <w:sz w:val="18"/>
          <w:szCs w:val="18"/>
          <w:i w:val="1"/>
          <w:iCs w:val="1"/>
          <w:color w:val="auto"/>
        </w:rPr>
        <w:t>CompX</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include:</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20" w:type="dxa"/>
            <w:vAlign w:val="bottom"/>
            <w:gridSpan w:val="2"/>
          </w:tcPr>
          <w:p>
            <w:pPr>
              <w:ind w:left="880"/>
              <w:spacing w:after="0"/>
              <w:rPr>
                <w:sz w:val="20"/>
                <w:szCs w:val="20"/>
                <w:color w:val="auto"/>
              </w:rPr>
            </w:pPr>
            <w:r>
              <w:rPr>
                <w:rFonts w:ascii="Arial" w:cs="Arial" w:eastAsia="Arial" w:hAnsi="Arial"/>
                <w:sz w:val="14"/>
                <w:szCs w:val="14"/>
                <w:b w:val="1"/>
                <w:bCs w:val="1"/>
                <w:color w:val="auto"/>
              </w:rPr>
              <w:t>Security Products</w:t>
            </w:r>
          </w:p>
        </w:tc>
        <w:tc>
          <w:tcPr>
            <w:tcW w:w="2420" w:type="dxa"/>
            <w:vAlign w:val="bottom"/>
            <w:gridSpan w:val="2"/>
          </w:tcPr>
          <w:p>
            <w:pPr>
              <w:ind w:left="580"/>
              <w:spacing w:after="0"/>
              <w:rPr>
                <w:sz w:val="20"/>
                <w:szCs w:val="20"/>
                <w:color w:val="auto"/>
              </w:rPr>
            </w:pPr>
            <w:r>
              <w:rPr>
                <w:rFonts w:ascii="Arial" w:cs="Arial" w:eastAsia="Arial" w:hAnsi="Arial"/>
                <w:sz w:val="14"/>
                <w:szCs w:val="14"/>
                <w:b w:val="1"/>
                <w:bCs w:val="1"/>
                <w:color w:val="auto"/>
              </w:rPr>
              <w:t>Security Products</w:t>
            </w:r>
          </w:p>
        </w:tc>
        <w:tc>
          <w:tcPr>
            <w:tcW w:w="3460" w:type="dxa"/>
            <w:vAlign w:val="bottom"/>
          </w:tcPr>
          <w:p>
            <w:pPr>
              <w:ind w:left="1100"/>
              <w:spacing w:after="0"/>
              <w:rPr>
                <w:sz w:val="20"/>
                <w:szCs w:val="20"/>
                <w:color w:val="auto"/>
              </w:rPr>
            </w:pPr>
            <w:r>
              <w:rPr>
                <w:rFonts w:ascii="Arial" w:cs="Arial" w:eastAsia="Arial" w:hAnsi="Arial"/>
                <w:sz w:val="14"/>
                <w:szCs w:val="14"/>
                <w:b w:val="1"/>
                <w:bCs w:val="1"/>
                <w:color w:val="auto"/>
              </w:rPr>
              <w:t>Marine Components</w:t>
            </w:r>
          </w:p>
        </w:tc>
      </w:tr>
      <w:tr>
        <w:trPr>
          <w:trHeight w:val="185"/>
        </w:trPr>
        <w:tc>
          <w:tcPr>
            <w:tcW w:w="2840" w:type="dxa"/>
            <w:vAlign w:val="bottom"/>
            <w:tcBorders>
              <w:top w:val="single" w:sz="8" w:color="auto"/>
            </w:tcBorders>
          </w:tcPr>
          <w:p>
            <w:pPr>
              <w:ind w:left="20"/>
              <w:spacing w:after="0" w:line="186" w:lineRule="exact"/>
              <w:rPr>
                <w:sz w:val="20"/>
                <w:szCs w:val="20"/>
                <w:color w:val="auto"/>
              </w:rPr>
            </w:pPr>
            <w:r>
              <w:rPr>
                <w:rFonts w:ascii="Arial" w:cs="Arial" w:eastAsia="Arial" w:hAnsi="Arial"/>
                <w:sz w:val="15"/>
                <w:szCs w:val="15"/>
                <w:i w:val="1"/>
                <w:iCs w:val="1"/>
                <w:color w:val="auto"/>
              </w:rPr>
              <w:t>CompX</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Security Products™</w:t>
            </w:r>
          </w:p>
        </w:tc>
        <w:tc>
          <w:tcPr>
            <w:tcW w:w="180" w:type="dxa"/>
            <w:vAlign w:val="bottom"/>
          </w:tcPr>
          <w:p>
            <w:pPr>
              <w:spacing w:after="0"/>
              <w:rPr>
                <w:sz w:val="16"/>
                <w:szCs w:val="16"/>
                <w:color w:val="auto"/>
              </w:rPr>
            </w:pPr>
          </w:p>
        </w:tc>
        <w:tc>
          <w:tcPr>
            <w:tcW w:w="2260" w:type="dxa"/>
            <w:vAlign w:val="bottom"/>
            <w:tcBorders>
              <w:top w:val="single" w:sz="8" w:color="auto"/>
            </w:tcBorders>
          </w:tcPr>
          <w:p>
            <w:pPr>
              <w:spacing w:after="0" w:line="186" w:lineRule="exact"/>
              <w:rPr>
                <w:sz w:val="20"/>
                <w:szCs w:val="20"/>
                <w:color w:val="auto"/>
              </w:rPr>
            </w:pPr>
            <w:r>
              <w:rPr>
                <w:rFonts w:ascii="Arial" w:cs="Arial" w:eastAsia="Arial" w:hAnsi="Arial"/>
                <w:sz w:val="15"/>
                <w:szCs w:val="15"/>
                <w:i w:val="1"/>
                <w:iCs w:val="1"/>
                <w:color w:val="auto"/>
              </w:rPr>
              <w:t>Lockview</w:t>
            </w:r>
            <w:r>
              <w:rPr>
                <w:rFonts w:ascii="Arial" w:cs="Arial" w:eastAsia="Arial" w:hAnsi="Arial"/>
                <w:sz w:val="21"/>
                <w:szCs w:val="21"/>
                <w:i w:val="1"/>
                <w:iCs w:val="1"/>
                <w:color w:val="auto"/>
                <w:vertAlign w:val="superscript"/>
              </w:rPr>
              <w:t>®</w:t>
            </w:r>
          </w:p>
        </w:tc>
        <w:tc>
          <w:tcPr>
            <w:tcW w:w="160" w:type="dxa"/>
            <w:vAlign w:val="bottom"/>
          </w:tcPr>
          <w:p>
            <w:pPr>
              <w:spacing w:after="0"/>
              <w:rPr>
                <w:sz w:val="16"/>
                <w:szCs w:val="16"/>
                <w:color w:val="auto"/>
              </w:rPr>
            </w:pPr>
          </w:p>
        </w:tc>
        <w:tc>
          <w:tcPr>
            <w:tcW w:w="3460" w:type="dxa"/>
            <w:vAlign w:val="bottom"/>
            <w:tcBorders>
              <w:top w:val="single" w:sz="8" w:color="auto"/>
            </w:tcBorders>
          </w:tcPr>
          <w:p>
            <w:pPr>
              <w:spacing w:after="0" w:line="186" w:lineRule="exact"/>
              <w:rPr>
                <w:sz w:val="20"/>
                <w:szCs w:val="20"/>
                <w:color w:val="auto"/>
              </w:rPr>
            </w:pPr>
            <w:r>
              <w:rPr>
                <w:rFonts w:ascii="Arial" w:cs="Arial" w:eastAsia="Arial" w:hAnsi="Arial"/>
                <w:sz w:val="15"/>
                <w:szCs w:val="15"/>
                <w:i w:val="1"/>
                <w:iCs w:val="1"/>
                <w:color w:val="auto"/>
              </w:rPr>
              <w:t>CompX Marine</w:t>
            </w:r>
            <w:r>
              <w:rPr>
                <w:rFonts w:ascii="Arial" w:cs="Arial" w:eastAsia="Arial" w:hAnsi="Arial"/>
                <w:sz w:val="21"/>
                <w:szCs w:val="21"/>
                <w:i w:val="1"/>
                <w:iCs w:val="1"/>
                <w:color w:val="auto"/>
                <w:vertAlign w:val="superscript"/>
              </w:rPr>
              <w: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National Cabinet Lock</w:t>
            </w:r>
            <w:r>
              <w:rPr>
                <w:rFonts w:ascii="Arial" w:cs="Arial" w:eastAsia="Arial" w:hAnsi="Arial"/>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System 64</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Custom Marine</w:t>
            </w:r>
            <w:r>
              <w:rPr>
                <w:rFonts w:ascii="Arial" w:cs="Arial" w:eastAsia="Arial" w:hAnsi="Arial"/>
                <w:sz w:val="25"/>
                <w:szCs w:val="25"/>
                <w:i w:val="1"/>
                <w:iCs w:val="1"/>
                <w:color w:val="auto"/>
                <w:vertAlign w:val="superscript"/>
              </w:rPr>
              <w: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Fort Lock</w:t>
            </w:r>
            <w:r>
              <w:rPr>
                <w:rFonts w:ascii="Arial" w:cs="Arial" w:eastAsia="Arial" w:hAnsi="Arial"/>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SlamCAM</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Livorsi</w:t>
            </w:r>
            <w:r>
              <w:rPr>
                <w:rFonts w:ascii="Arial" w:cs="Arial" w:eastAsia="Arial" w:hAnsi="Arial"/>
                <w:sz w:val="25"/>
                <w:szCs w:val="25"/>
                <w:color w:val="auto"/>
                <w:vertAlign w:val="superscript"/>
              </w:rPr>
              <w:t>®</w:t>
            </w:r>
            <w:r>
              <w:rPr>
                <w:rFonts w:ascii="Arial" w:cs="Arial" w:eastAsia="Arial" w:hAnsi="Arial"/>
                <w:sz w:val="17"/>
                <w:szCs w:val="17"/>
                <w:i w:val="1"/>
                <w:iCs w:val="1"/>
                <w:color w:val="auto"/>
              </w:rPr>
              <w:t xml:space="preserve"> Marine</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Timberline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Lock</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RegulatoR</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Livorsi II</w:t>
            </w:r>
            <w:r>
              <w:rPr>
                <w:rFonts w:ascii="Arial" w:cs="Arial" w:eastAsia="Arial" w:hAnsi="Arial"/>
                <w:sz w:val="25"/>
                <w:szCs w:val="25"/>
                <w:color w:val="auto"/>
                <w:vertAlign w:val="superscript"/>
              </w:rPr>
              <w:t>®</w:t>
            </w:r>
            <w:r>
              <w:rPr>
                <w:rFonts w:ascii="Arial" w:cs="Arial" w:eastAsia="Arial" w:hAnsi="Arial"/>
                <w:sz w:val="17"/>
                <w:szCs w:val="17"/>
                <w:i w:val="1"/>
                <w:iCs w:val="1"/>
                <w:color w:val="auto"/>
              </w:rPr>
              <w:t xml:space="preserve"> Marine</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Chicago Lock</w:t>
            </w:r>
            <w:r>
              <w:rPr>
                <w:rFonts w:ascii="Arial" w:cs="Arial" w:eastAsia="Arial" w:hAnsi="Arial"/>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CompXpress</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CMI Industrial</w:t>
            </w:r>
            <w:r>
              <w:rPr>
                <w:rFonts w:ascii="Arial" w:cs="Arial" w:eastAsia="Arial" w:hAnsi="Arial"/>
                <w:sz w:val="25"/>
                <w:szCs w:val="25"/>
                <w:i w:val="1"/>
                <w:iCs w:val="1"/>
                <w:color w:val="auto"/>
                <w:vertAlign w:val="superscript"/>
              </w:rPr>
              <w: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STOCK LOCKS</w:t>
            </w:r>
            <w:r>
              <w:rPr>
                <w:rFonts w:ascii="Arial" w:cs="Arial" w:eastAsia="Arial" w:hAnsi="Arial"/>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GEM</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Custom Marine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Stainless Exhaust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KeSet</w:t>
            </w:r>
            <w:r>
              <w:rPr>
                <w:rFonts w:ascii="Arial" w:cs="Arial" w:eastAsia="Arial" w:hAnsi="Arial"/>
                <w:sz w:val="25"/>
                <w:szCs w:val="25"/>
                <w:i w:val="1"/>
                <w:iCs w:val="1"/>
                <w:color w:val="auto"/>
                <w:vertAlign w:val="superscript"/>
              </w:rPr>
              <w:t>®</w:t>
            </w:r>
          </w:p>
        </w:tc>
        <w:tc>
          <w:tcPr>
            <w:tcW w:w="2420" w:type="dxa"/>
            <w:vAlign w:val="bottom"/>
            <w:gridSpan w:val="2"/>
          </w:tcPr>
          <w:p>
            <w:pPr>
              <w:spacing w:after="0"/>
              <w:rPr>
                <w:sz w:val="20"/>
                <w:szCs w:val="20"/>
                <w:color w:val="auto"/>
              </w:rPr>
            </w:pPr>
            <w:r>
              <w:rPr>
                <w:rFonts w:ascii="Arial" w:cs="Arial" w:eastAsia="Arial" w:hAnsi="Arial"/>
                <w:sz w:val="18"/>
                <w:szCs w:val="18"/>
                <w:i w:val="1"/>
                <w:iCs w:val="1"/>
                <w:color w:val="auto"/>
              </w:rPr>
              <w:t>Turbine™</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The #1 Choice in Performance Boating</w:t>
            </w:r>
            <w:r>
              <w:rPr>
                <w:rFonts w:ascii="Arial" w:cs="Arial" w:eastAsia="Arial" w:hAnsi="Arial"/>
                <w:sz w:val="25"/>
                <w:szCs w:val="25"/>
                <w:i w:val="1"/>
                <w:iCs w:val="1"/>
                <w:color w:val="auto"/>
                <w:vertAlign w:val="superscript"/>
              </w:rPr>
              <w: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TuBar</w:t>
            </w:r>
            <w:r>
              <w:rPr>
                <w:rFonts w:ascii="Arial" w:cs="Arial" w:eastAsia="Arial" w:hAnsi="Arial"/>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NARC iD</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Mega Rim</w:t>
            </w:r>
            <w:r>
              <w:rPr>
                <w:rFonts w:ascii="Arial" w:cs="Arial" w:eastAsia="Arial" w:hAnsi="Arial"/>
                <w:sz w:val="25"/>
                <w:szCs w:val="25"/>
                <w:i w:val="1"/>
                <w:iCs w:val="1"/>
                <w:color w:val="auto"/>
                <w:vertAlign w:val="superscript"/>
              </w:rPr>
              <w: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StealthLock</w:t>
            </w:r>
            <w:r>
              <w:rPr>
                <w:rFonts w:ascii="Arial" w:cs="Arial" w:eastAsia="Arial" w:hAnsi="Arial"/>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NARC</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Race Rim</w:t>
            </w:r>
            <w:r>
              <w:rPr>
                <w:rFonts w:ascii="Arial" w:cs="Arial" w:eastAsia="Arial" w:hAnsi="Arial"/>
                <w:sz w:val="25"/>
                <w:szCs w:val="25"/>
                <w:i w:val="1"/>
                <w:iCs w:val="1"/>
                <w:color w:val="auto"/>
                <w:vertAlign w:val="superscript"/>
              </w:rPr>
              <w: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ACE</w:t>
            </w:r>
            <w:r>
              <w:rPr>
                <w:rFonts w:ascii="Arial" w:cs="Arial" w:eastAsia="Arial" w:hAnsi="Arial"/>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ecoForce</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Vantage View</w:t>
            </w:r>
            <w:r>
              <w:rPr>
                <w:rFonts w:ascii="Arial" w:cs="Arial" w:eastAsia="Arial" w:hAnsi="Arial"/>
                <w:sz w:val="25"/>
                <w:szCs w:val="25"/>
                <w:i w:val="1"/>
                <w:iCs w:val="1"/>
                <w:color w:val="auto"/>
                <w:vertAlign w:val="superscript"/>
              </w:rPr>
              <w: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ACE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II</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GEN-X</w:t>
            </w:r>
            <w:r>
              <w:rPr>
                <w:rFonts w:ascii="Arial" w:cs="Arial" w:eastAsia="Arial" w:hAnsi="Arial"/>
                <w:sz w:val="25"/>
                <w:szCs w:val="25"/>
                <w:i w:val="1"/>
                <w:iCs w:val="1"/>
                <w:color w:val="auto"/>
                <w:vertAlign w:val="superscript"/>
              </w:rPr>
              <w:t>®</w:t>
            </w:r>
          </w:p>
        </w:tc>
      </w:tr>
      <w:tr>
        <w:trPr>
          <w:trHeight w:val="353"/>
        </w:trPr>
        <w:tc>
          <w:tcPr>
            <w:tcW w:w="3020" w:type="dxa"/>
            <w:vAlign w:val="bottom"/>
            <w:gridSpan w:val="2"/>
          </w:tcPr>
          <w:p>
            <w:pPr>
              <w:ind w:left="20"/>
              <w:spacing w:after="0"/>
              <w:rPr>
                <w:sz w:val="20"/>
                <w:szCs w:val="20"/>
                <w:color w:val="auto"/>
              </w:rPr>
            </w:pPr>
            <w:r>
              <w:rPr>
                <w:rFonts w:ascii="Arial" w:cs="Arial" w:eastAsia="Arial" w:hAnsi="Arial"/>
                <w:sz w:val="18"/>
                <w:szCs w:val="18"/>
                <w:i w:val="1"/>
                <w:iCs w:val="1"/>
                <w:color w:val="auto"/>
              </w:rPr>
              <w:t>CompX eLock</w:t>
            </w:r>
            <w:r>
              <w:rPr>
                <w:rFonts w:ascii="Arial" w:cs="Arial" w:eastAsia="Arial" w:hAnsi="Arial"/>
                <w:sz w:val="26"/>
                <w:szCs w:val="26"/>
                <w:i w:val="1"/>
                <w:iCs w:val="1"/>
                <w:color w:val="auto"/>
                <w:vertAlign w:val="superscript"/>
              </w:rPr>
              <w:t>®</w:t>
            </w: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Marketing and Distribution</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 majority of our component sales are direct to large OEM customers through our factory-based sales and marketing professionals supported by engineers working in concert with field salespeople and independent manufacturer’s representatives. We select manufacturer’s representatives based on special skills in certain markets or relationships with current or potential customers.</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addition to sales to large OEM customers, a substantial portion of our Security Products sales are made through distributors. We have a significant North American market share of cabinet lock security product sales as a result of the locksmith distribution channel. We support our locksmith distributor sales with a line of standardized products used by the largest segments of the marketplace. These products are packaged and merchandised for easy availability and handling by distributors and end users.</w:t>
      </w:r>
    </w:p>
    <w:p>
      <w:pPr>
        <w:spacing w:after="0" w:line="18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We sell to a diverse customer base with only one customer representing 10% or more of our sales in 2021 (United States Postal Service representing 16%). Our largest ten customers accounted for approximately 51% of our sales in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markets in which we participate are highly competitive. We compete primarily on the basis of product design, including space utilization and aesthetic factors, product quality and durability, price, on-time delivery, service and technical support. We focus our efforts on the middle and high-end segments of the market, where product design, quality, durability and service are valued by the customer. Our Security Products segment competes against a number of domestic and foreign manufacturers. Our Marine Components segment competes with small domestic manufacturers and is minimally affected by foreign competitors.</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b w:val="1"/>
          <w:bCs w:val="1"/>
          <w:i w:val="1"/>
          <w:iCs w:val="1"/>
          <w:color w:val="auto"/>
        </w:rPr>
        <w:t>Environmental, Social and Governance (“ESG”)</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seek to operate our business in line with sound ESG principles that include corporate governance, social responsibility, sustainability and cybersecurity. We believe ESG means conducting operations with high standards of environmental and social responsibility, practicing exemplary ethical standards, focusing on safety as a top priority, respecting and supporting our local communities, and continuously developing our employees. At our facilities, we undertake various environmental sustainability programs, and we promote social responsibility and volunteerism through programs designed to support and give back to the local communities in which we operate. Each of our locations maintains site-specific safety programs and disaster response and business continuity plans. All manufacturing facilities have detailed, site-specific emergency response procedures that we believe adequately address regulatory compliance, vulnerability to potential hazards, emergency response and action plans, employee training, alarms and warning systems and crisis communication.</w:t>
      </w:r>
    </w:p>
    <w:p>
      <w:pPr>
        <w:spacing w:after="0" w:line="18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At a corporate level, we engage in periodic reviews of our cybersecurity programs, including cybersecurity risk and threats. Our cybersecurity programs are built on operations and compliance foundations. Operations focus on continuous detection, prevention, measurement, analysis, and response to cybersecurity alerts and incidents and on emerging threats. Compliance establishes oversight of our cybersecurity programs by creating risk-based controls to protect the integrity, confidentiality, accessibility, and availability of company data stored, processed, or transferred. We periodically update our board of directors on our cyber-related risks and cybersecurity programs.</w:t>
      </w:r>
    </w:p>
    <w:p>
      <w:pPr>
        <w:spacing w:after="0" w:line="17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an effort to align our non-employee directors’ financial interests with those of our stockholders, our Board established share ownership guidelines for our non-management directors.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Regulatory and Environmental Matters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a history of incorporating environmental management and compliance in our operations and decision making. We operate three low-emission manufacturing facilities and our production processes requiring waste-water discharge are consolidated at our Mauldin, South Carolina facility. This facility has received a ReWa Gold Award multiple years for its exemplary performance from Renewable Water Resources, an organization which sets regulatory and water policies for the Mauldin facility’s geographic region. In addition, we operate extensive scrap metal recycling programs to reduce landfill waste.</w:t>
      </w:r>
    </w:p>
    <w:p>
      <w:pPr>
        <w:spacing w:after="0" w:line="1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operations are subject to federal, state and local laws and regulations relating to the use, storage, handling, generation, transportation, treatment, emission, discharge, disposal, remediation of and exposure to hazardous and non-hazardous substances, materials and wastes. Our operations also are subject to federal, state and local laws and regulations relating to worker health and safety. We believe we are in substantial compliance with all such laws and regulations. To date, the costs of maintaining compliance with such laws and regulations have not significantly impacted our results. We currently do not anticipate any significant costs or expenses relating to such matters; however, it is possible future laws and regulations may require us to incur significant additional expenditures.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i w:val="1"/>
          <w:iCs w:val="1"/>
          <w:color w:val="auto"/>
        </w:rPr>
        <w:t xml:space="preserve">Employees </w:t>
      </w:r>
      <w:r>
        <w:rPr>
          <w:rFonts w:ascii="Arial" w:cs="Arial" w:eastAsia="Arial" w:hAnsi="Arial"/>
          <w:sz w:val="17"/>
          <w:szCs w:val="17"/>
          <w:color w:val="auto"/>
        </w:rPr>
        <w:t>– Our operating results depend in part on our ability to successfully manage our human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including attracting, identifying, and retaining key talent. We have a well-trained labor force with a substantial number of long-tenured employees. We provide competitive compensation and benefits to our employees. In addition to salaries, these programs can include annual bonuses, defined contribution plans with employer matching opportunities, healthcare and insurance benefits, health savings and flexible spending accounts, paid time off, family leave, family care resources, employee assistance programs, and tuition assistance.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December 31, 2021, we employed 570 people, all in the United States. We believe our labor relations are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t>
      </w:r>
    </w:p>
    <w:p>
      <w:pPr>
        <w:spacing w:after="0" w:line="211"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i w:val="1"/>
          <w:iCs w:val="1"/>
          <w:color w:val="auto"/>
        </w:rPr>
        <w:t xml:space="preserve">Health and Safety </w:t>
      </w:r>
      <w:r>
        <w:rPr>
          <w:rFonts w:ascii="Arial" w:cs="Arial" w:eastAsia="Arial" w:hAnsi="Arial"/>
          <w:sz w:val="16"/>
          <w:szCs w:val="16"/>
          <w:color w:val="auto"/>
        </w:rPr>
        <w:t>– Protecting the health and safety of our workforce, our customers, our business partners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natural environment is one of our core values. We are committed to maintaining a strong safety culture where all workers meet or exceed required industry performance standards and continuously seek to improve occupational and process safety performance. We are conducting our business in ways that provide all personnel with a safe and healthy work environment and have established safety and environmental programs and goals to achieve such results. We expect</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6" w:name="page7"/>
    <w:bookmarkEnd w:id="6"/>
    <w:p>
      <w:pPr>
        <w:jc w:val="both"/>
        <w:ind w:left="60" w:right="59"/>
        <w:spacing w:after="0" w:line="269" w:lineRule="auto"/>
        <w:rPr>
          <w:sz w:val="20"/>
          <w:szCs w:val="20"/>
          <w:color w:val="auto"/>
        </w:rPr>
      </w:pPr>
      <w:r>
        <w:rPr>
          <w:rFonts w:ascii="Arial" w:cs="Arial" w:eastAsia="Arial" w:hAnsi="Arial"/>
          <w:sz w:val="17"/>
          <w:szCs w:val="17"/>
          <w:color w:val="auto"/>
        </w:rPr>
        <w:t>our manufacturing facilities to produce our products safely and in compliance with local regulations, policies, standards and practices intended to protect the environment and people, and we have established policies designed to promote such compliance. We require our employees to comply with such requirements. We provide our workers with the tools and training necessary to make the appropriate decisions to prevent accidents and injuries. Each of our operating facilities develops, maintains, and implements safety programs encompassing key aspects of their operations. In addition, management reviews and evaluates safety performance throughout the year. We monitor conditions that could lead to a safety incident and keep track of injuries through reporting systems in accordance with laws in the jurisdictions in which we operate. We track this data to assess the quality of our safety performance. We use a Lost Time Incident Rate as a key measure of worker safety. The Lost Time Incident Rate is a standard Occupational Safety and Health Administration metric that calculates the number of incidents that result in time away from work. We had a Lost Time Incident Rate of three in 2019, nil in 2020, and one in 2021.</w:t>
      </w:r>
    </w:p>
    <w:p>
      <w:pPr>
        <w:spacing w:after="0" w:line="18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i w:val="1"/>
          <w:iCs w:val="1"/>
          <w:color w:val="auto"/>
        </w:rPr>
        <w:t xml:space="preserve">Diversity and Inclusion </w:t>
      </w:r>
      <w:r>
        <w:rPr>
          <w:rFonts w:ascii="Arial" w:cs="Arial" w:eastAsia="Arial" w:hAnsi="Arial"/>
          <w:sz w:val="18"/>
          <w:szCs w:val="18"/>
          <w:color w:val="auto"/>
        </w:rPr>
        <w:t>– We recognize that everyone deserves respect and equal treatment. We embrace diversity</w:t>
      </w:r>
      <w:r>
        <w:rPr>
          <w:rFonts w:ascii="Arial" w:cs="Arial" w:eastAsia="Arial" w:hAnsi="Arial"/>
          <w:sz w:val="18"/>
          <w:szCs w:val="18"/>
          <w:i w:val="1"/>
          <w:iCs w:val="1"/>
          <w:color w:val="auto"/>
        </w:rPr>
        <w:t xml:space="preserve"> </w:t>
      </w:r>
      <w:r>
        <w:rPr>
          <w:rFonts w:ascii="Arial" w:cs="Arial" w:eastAsia="Arial" w:hAnsi="Arial"/>
          <w:sz w:val="18"/>
          <w:szCs w:val="18"/>
          <w:color w:val="auto"/>
        </w:rPr>
        <w:t>and collaboration in our workforce and our business initiatives. We are an equal opportunity employer and we base employment decisions on merit, competence and qualifications, without regard to race, color, national origin, gender, age, religion, disability, sex, sexual orientation or other characteristics protected by applicable law in the jurisdictions in which we operate. We promote a respectful, diverse and inclusive workplace in which all individuals are treated with respect and dignity.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Website and Available Information</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Our fiscal year end is always the Sunday closest to December 31, and our operations are reported on a 52 or 53-week fiscal year. For presentation purposes, annual information in this Form 10-K is presented as ended on December 31. The actual date of our fiscal years ended December 31, 2019, 2020 and 2021 are December 29, 2019, January 3, 2021, and January 2, 2022, respectively. Our fiscal year ending December 31, 2021 was a 52-week year. We furnish our stockholders with annual reports containing audited financial statements. In addition, we file annual, quarterly and current reports; proxy and information statements and other information with the SEC. We also make our annual report on Form 10-K, quarterly reports on Form 10-Q, current reports on Form 8-K and all related amendments, available free of charge through our website at www.compxinternational.com as soon as reasonably practical after they have been filed with the SEC. We also provide to anyone, without charge, copies of the documents upon written request. Requests should be directed to the attention of the Corporate Secretary at our address on the cover page of this Form 10-K.</w:t>
      </w:r>
    </w:p>
    <w:p>
      <w:pPr>
        <w:spacing w:after="0" w:line="16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Additional information, including our Audit Committee Charter, our Code of Business Conduct and Ethics and our Corporate Governance Guidelines, can also be found on our website. Information contained on our website is not a part of this Annual Report.</w:t>
      </w:r>
    </w:p>
    <w:p>
      <w:pPr>
        <w:spacing w:after="0" w:line="184"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We are an electronic filer. The SEC maintains an internet website at www.sec</w:t>
      </w:r>
      <w:r>
        <w:rPr>
          <w:rFonts w:ascii="Arial" w:cs="Arial" w:eastAsia="Arial" w:hAnsi="Arial"/>
          <w:sz w:val="17"/>
          <w:szCs w:val="17"/>
          <w:u w:val="single" w:color="auto"/>
          <w:color w:val="auto"/>
        </w:rPr>
        <w:t>.gov</w:t>
      </w:r>
      <w:r>
        <w:rPr>
          <w:rFonts w:ascii="Arial" w:cs="Arial" w:eastAsia="Arial" w:hAnsi="Arial"/>
          <w:sz w:val="17"/>
          <w:szCs w:val="17"/>
          <w:color w:val="auto"/>
        </w:rPr>
        <w:t xml:space="preserve"> that contains reports, proxy and information statements and other information regarding issuers, such as us, that file electronically with the SEC.</w:t>
      </w:r>
    </w:p>
    <w:p>
      <w:pPr>
        <w:spacing w:after="0" w:line="14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Listed below are certain risk factors associated with us and our businesses. In addition to the potential effect of these risk factors discussed below, any risk factor which could result in reduced earnings, operating losses, or reduced liquidity, could in turn adversely affect our ability to service our liabilities or pay dividends on our common stock or adversely affect the quoted market prices for our securities.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Risk Factors</w:t>
      </w:r>
    </w:p>
    <w:p>
      <w:pPr>
        <w:spacing w:after="0" w:line="229"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We operate in mature and highly competitive markets, resulting in pricing pressure and the need to continuously reduce costs.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Many of the markets we serve are highly competitive, with a number of competitors offering similar products. We focus our efforts on the middle and high-end segment of the market where we feel that we can compete due to the importance of product design, quality and durability to the customer. However, our ability to effectively compete is impacted by a number of factors. The occurrence of any of these factors could result in reduced earnings or operating losses.</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7" w:name="page8"/>
    <w:bookmarkEnd w:id="7"/>
    <w:p>
      <w:pPr>
        <w:ind w:left="720" w:right="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Competitors may be able to drive down prices for our products beyond our ability to adjust costs because their costs are lower than ours, especially products sourced from Asia.</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Competitors’ financial, technological and other resources may be greater than our resources, which may enable them to more effectively withstand changes in market conditions.</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Competitors may be able to respond more quickly than we can to new or emerging technologies and changes in customer requirements.</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reduction of our market share with one or more of our key customers, or a reduction in one or more of our key customers’ market share for their end-use products, may reduce demand for our products.</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competitors could emerge by modifying their existing production facilities to manufacture products that compete with our products.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sustain a cost structure that enables us to be competitive.</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Customers may no longer value our product design, quality or durability over the lower cost products of our competitors.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development of innovative features for current products is critical to sustaining and growing our sales.</w:t>
      </w:r>
    </w:p>
    <w:p>
      <w:pPr>
        <w:spacing w:after="0" w:line="23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Historically, our ability to provide value-added custom engineered products that address requirements of technology and space utilization has been a key element of our success. We spend a significant amount of time and effort to refine, improve and adapt our existing products for new customers and applications. Since expenditures for these types of activities are not considered research and development expense under accounting principles generally accepted in the United States of America (“GAAP”), the amount of our research and development expenditures, which is not significant, is not indicative of the overall effort involved in the development of new product features. The introduction of new product features requires the coordination of the design, manufacturing and marketing of the new product features with current and potential customers. The ability to coordinate these activities with current and potential customers may be affected by factors beyond our control. While we will continue to emphasize the introduction of innovative new product features that target customer-specific opportunities, we do not know if any new product features we introduce will achieve the same degree of success that we have achieved with our existing products. Introduction of new product features typically requires us to increase production volume on a timely basis while maintaining product quality. Manufacturers often encounter difficulties in increasing production volumes, including delays, quality control problems and shortages of qualified personnel or raw materials. As we attempt to introduce new product features in the future, we do not know if we will be able to increase production volumes without encountering these or other problems, which might negatively impact our financial condition or results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Higher costs or limited availability of our raw materials could negatively impact our financial results.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Certain raw materials used in our products are commodities that are subject to significant fluctuations in price in response to world-wide supply and demand as well as speculative investor activity. Zinc and brass are the principal raw materials used in the manufacture of security products. Stainless steel and aluminum are the major raw materials used in the manufacture of marine components. These raw materials are purchased from several suppliers and are generally readily available from numerous sources. We occasionally enter into short-term raw material supply arrangements to mitigate the impact of future increases in commodity-related raw material costs and ensure supply. Materials purchased outside of these arrangements are sometimes subject to unanticipated and sudden price increases.</w:t>
      </w:r>
    </w:p>
    <w:p>
      <w:pPr>
        <w:spacing w:after="0" w:line="16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Certain components used in our products are manufactured by foreign suppliers located in China and elsewhere. Global economic and political conditions, including natural disasters, terrorist acts, global conflicts and public health crises such as pandemics, could prevent our vendors from being able to supply these components. Should our vendors not be able to meet their supply obligations or should we be otherwise unable to obtain necessary raw materials or components, we may incur higher supply costs or may be required to reduce production levels, either of which may decrease our liquidity or negatively impact our financial condition or results of operations as we may be unable to offset the higher costs with increases in our selling prices or reductions in other operating costs.</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b w:val="1"/>
          <w:bCs w:val="1"/>
          <w:i w:val="1"/>
          <w:iCs w:val="1"/>
          <w:color w:val="auto"/>
        </w:rPr>
        <w:t>COVID-19 has affected our operations and may continue to affect our operations during 2022.</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operations have been and may continue to be negatively impacted by COVID-19, specifically from disruptions to our supply chain, transportation networks and customers, which may compress our margins, including as a result of preventative and precautionary measures that we, other businesses and governments are taking. In addition, the ability of our suppliers and customers to operate may be significantly impacted by individuals contracting or being exposed to COVID-19 or as a result of associated control measures. Given the dynamic and uncertain nature and duration of COVID-19 and related variants, and the effectiveness of actions globally to contain or mitigate its effects, we cannot reasonably estimate the long-term impact of COVID-19 on our business, results of operations and overall financial performance.</w:t>
      </w:r>
    </w:p>
    <w:p>
      <w:pPr>
        <w:spacing w:after="0" w:line="19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have 570 employees and operate three facilities, each of which specializes in certain manufacturing processes and is therefore dependent upon the other facilities to some extent to manufacture finished goods. With the onset of COVID-19, within each facility we enhanced cleaning and sanitization procedures, and implemented other health and safety protocols. We have generally been able to successfully operate through the pandemic; however, with the increase spread of new variants of COVID-19, it is possible we may have temporary closures at one or more of our facilities for the health and safety of our workforce if conditions warrant.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Compliance and Regulatory Risk Factors</w:t>
      </w:r>
    </w:p>
    <w:p>
      <w:pPr>
        <w:spacing w:after="0" w:line="229"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Failure to protect our intellectual property rights or claims by others that we infringe their intellectual property rights could substantially harm our business.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rely on patent, trademark and trade secret laws in the United States and similar laws in other countries to establish and maintain our intellectual property rights in our technology and designs. Despite these measures, any of our intellectual property rights could be challenged, invalidated, circumvented or misappropriated. Others may independently discover our trade secrets and proprietary information, and in such cases we could not assert any trade secret rights against such parties. Further, we do not know if any of our pending trademark or patent applications will be approved. Costly and time-consuming litigation could be necessary to enforce and determine the scope of our intellectual property rights. In addition, the laws of certain countries do not protect intellectual property rights to the same extent as the laws of the United States. Therefore, in certain jurisdictions, we may be unable to protect our technology and designs adequately against unauthorized third party use, which could adversely affect our competitive position.</w:t>
      </w:r>
    </w:p>
    <w:p>
      <w:pPr>
        <w:spacing w:after="0" w:line="16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Third parties may claim that we or our customers are infringing upon their intellectual property rights. Even if we believe that such claims are without merit, they can be time-consuming and costly to defend and distract our management’s and technical staff’s attention and resources. Claims of intellectual property infringement might also require us to redesign affected technology, enter into costly settlement or license agreements or pay costly damage awards, or face a temporary or permanent injunction prohibiting us from marketing or selling certain of our technology. If we cannot or do not license the infringed technology on reasonable pricing terms or at all, or substitute similar technology from another source, our business could be adversely impacted.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Climate change legislation could negatively impact our financial results or limit our ability to operate our businesses.</w:t>
      </w:r>
    </w:p>
    <w:p>
      <w:pPr>
        <w:spacing w:after="0" w:line="26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All of our production facilities are located in the United States and each requires energy, including electricity and natural gas in order to conduct operations. The U.S. government has determined that the consumption of energy derived from fossil fuels is a major contributor to climate change and is contemplating regulatory changes in response to the potential impact of climate change, including legislation regarding carbon emission costs, Green House Gas (“GHG”) emissions and renewable energy targets. To date, legislation and regulatory actions related to climate change have not had a material adverse effect on our financial results. Until the timing, scope and extent of any future regulation becomes known, we cannot predict the effect on our business, results of operations or financial condition. However, if new legislation or regulatory actions related to climate change were to be enacted or implemented, it could negatively impact our future results from operations through increased costs of production, particularly as it relates to our energy requirements. If such increased costs of production were to materialize, we may be unable to pass price increases on to our customers to compensate for increased production costs, which may decrease our liquidity, operating income and results of operations. In addition, any adopted future climate change regulations could negatively impact our ability (or that of our customers and suppliers) to compete with companies situated in areas not subject to such limitations.</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failures or cybersecurity breaches could have a material adverse effect on our operations.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rely on information technology systems to manage, process and analyze data, as well as to facilitate the manufacture and distribution of our products to and from our plants. We receive, process and ship orders, manage the billing of and collections from our customers, and manage the accounting for and payment to our vendors. Although we have systems and procedures in place to protect our information technology systems, there can be no assurance that such systems and procedures will be sufficiently effective. Therefore, any of our information technology systems may be susceptible to outages, disruptions, or destruction from power outages, telecommunications failures, employee error, cybersecurity breaches or attacks, and other similar events. This could result in a disruption of our business operations, injury to people, harm to the environment or our assets, and/or the inability to access our information technology systems and could adversely affect our results of operations and financial condition. We have in the past experienced, and we expect to continue to experience, cyber-attacks, including phishing, and other attempts to breach, or gain unauthorized access to our systems. To date we have not suffered breaches in our systems, either directly or through a trusted third-party vendor, which have led to material losses. Due to the increase in global cybersecurity incidents it has become increasingly difficult to obtain insurance coverage on reasonable pricing terms to mitigate some risks associated with technology failures or cybersecurity breaches, and we are experiencing such difficulties in obtaining insurance coverage.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Physical impacts of climate change could have a material adverse effect on our costs and operations.</w:t>
      </w:r>
    </w:p>
    <w:p>
      <w:pPr>
        <w:spacing w:after="0" w:line="293"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Climate change may increase both the frequency and severity of extreme weather conditions and natural disasters such as hurricanes, thunderstorms, tornadoes, drought and snow or ice storms. Extreme weather conditions may increase our costs or cause damage to our facilities, and any damage resulting from extreme weather may not be fully insured. Furthermore, periods of extended inclement weather may inhibit our facility operations and delay or hinder shipments of our products to customers. Any such events could have a material adverse effect on our costs or results of operations.</w:t>
      </w:r>
    </w:p>
    <w:p>
      <w:pPr>
        <w:spacing w:after="0" w:line="157"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Our principal executive offices are located in leased space at 5430 LBJ Freeway, Dallas, Texas 75240. The following table sets forth the location, size and business operating segment for each of our principal operating facilities.</w:t>
      </w:r>
    </w:p>
    <w:p>
      <w:pPr>
        <w:spacing w:after="0" w:line="133"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Business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Size</w:t>
            </w:r>
          </w:p>
        </w:tc>
      </w:tr>
      <w:tr>
        <w:trPr>
          <w:trHeight w:val="234"/>
        </w:trPr>
        <w:tc>
          <w:tcPr>
            <w:tcW w:w="2980" w:type="dxa"/>
            <w:vAlign w:val="bottom"/>
            <w:gridSpan w:val="3"/>
          </w:tcPr>
          <w:p>
            <w:pPr>
              <w:spacing w:after="0"/>
              <w:rPr>
                <w:sz w:val="20"/>
                <w:szCs w:val="20"/>
                <w:color w:val="auto"/>
              </w:rPr>
            </w:pPr>
            <w:r>
              <w:rPr>
                <w:rFonts w:ascii="Arial" w:cs="Arial" w:eastAsia="Arial" w:hAnsi="Arial"/>
                <w:sz w:val="18"/>
                <w:szCs w:val="18"/>
                <w:b w:val="1"/>
                <w:bCs w:val="1"/>
                <w:color w:val="auto"/>
              </w:rPr>
              <w:t>Facility Name</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Segment</w:t>
            </w:r>
          </w:p>
        </w:tc>
        <w:tc>
          <w:tcPr>
            <w:tcW w:w="1600" w:type="dxa"/>
            <w:vAlign w:val="bottom"/>
            <w:gridSpan w:val="2"/>
          </w:tcPr>
          <w:p>
            <w:pPr>
              <w:ind w:left="360"/>
              <w:spacing w:after="0"/>
              <w:rPr>
                <w:sz w:val="20"/>
                <w:szCs w:val="20"/>
                <w:color w:val="auto"/>
              </w:rPr>
            </w:pPr>
            <w:r>
              <w:rPr>
                <w:rFonts w:ascii="Arial" w:cs="Arial" w:eastAsia="Arial" w:hAnsi="Arial"/>
                <w:sz w:val="18"/>
                <w:szCs w:val="18"/>
                <w:b w:val="1"/>
                <w:bCs w:val="1"/>
                <w:color w:val="auto"/>
              </w:rPr>
              <w:t>Location</w:t>
            </w: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(square feet)</w:t>
            </w:r>
          </w:p>
        </w:tc>
      </w:tr>
      <w:tr>
        <w:trPr>
          <w:trHeight w:val="169"/>
        </w:trPr>
        <w:tc>
          <w:tcPr>
            <w:tcW w:w="27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auto"/>
              </w:rPr>
              <w:t>Owned Facilities:</w:t>
            </w:r>
          </w:p>
        </w:tc>
        <w:tc>
          <w:tcPr>
            <w:tcW w:w="20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2980" w:type="dxa"/>
            <w:vAlign w:val="bottom"/>
            <w:gridSpan w:val="3"/>
            <w:shd w:val="clear" w:color="auto" w:fill="CCEEFF"/>
          </w:tcPr>
          <w:p>
            <w:pPr>
              <w:ind w:left="320"/>
              <w:spacing w:after="0" w:line="216" w:lineRule="exact"/>
              <w:rPr>
                <w:sz w:val="20"/>
                <w:szCs w:val="20"/>
                <w:color w:val="auto"/>
              </w:rPr>
            </w:pPr>
            <w:r>
              <w:rPr>
                <w:rFonts w:ascii="Arial" w:cs="Arial" w:eastAsia="Arial" w:hAnsi="Arial"/>
                <w:sz w:val="17"/>
                <w:szCs w:val="17"/>
                <w:color w:val="auto"/>
              </w:rPr>
              <w:t xml:space="preserve">National </w:t>
            </w:r>
            <w:r>
              <w:rPr>
                <w:rFonts w:ascii="Arial" w:cs="Arial" w:eastAsia="Arial" w:hAnsi="Arial"/>
                <w:sz w:val="25"/>
                <w:szCs w:val="25"/>
                <w:color w:val="auto"/>
                <w:vertAlign w:val="superscript"/>
              </w:rPr>
              <w:t>(1)</w:t>
            </w: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3"/>
              </w:rPr>
              <w:t>SP</w:t>
            </w: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Mauldin, SC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198,000</w:t>
            </w:r>
          </w:p>
        </w:tc>
      </w:tr>
      <w:tr>
        <w:trPr>
          <w:trHeight w:val="216"/>
        </w:trPr>
        <w:tc>
          <w:tcPr>
            <w:tcW w:w="2980" w:type="dxa"/>
            <w:vAlign w:val="bottom"/>
            <w:gridSpan w:val="3"/>
          </w:tcPr>
          <w:p>
            <w:pPr>
              <w:ind w:left="320"/>
              <w:spacing w:after="0" w:line="216" w:lineRule="exact"/>
              <w:rPr>
                <w:sz w:val="20"/>
                <w:szCs w:val="20"/>
                <w:color w:val="auto"/>
              </w:rPr>
            </w:pPr>
            <w:r>
              <w:rPr>
                <w:rFonts w:ascii="Arial" w:cs="Arial" w:eastAsia="Arial" w:hAnsi="Arial"/>
                <w:sz w:val="17"/>
                <w:szCs w:val="17"/>
                <w:color w:val="auto"/>
              </w:rPr>
              <w:t>Grayslake</w:t>
            </w:r>
            <w:r>
              <w:rPr>
                <w:rFonts w:ascii="Arial" w:cs="Arial" w:eastAsia="Arial" w:hAnsi="Arial"/>
                <w:sz w:val="25"/>
                <w:szCs w:val="25"/>
                <w:color w:val="auto"/>
                <w:vertAlign w:val="superscript"/>
              </w:rPr>
              <w:t>(1)</w:t>
            </w:r>
          </w:p>
        </w:tc>
        <w:tc>
          <w:tcPr>
            <w:tcW w:w="15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SP/MC</w:t>
            </w:r>
          </w:p>
        </w:tc>
        <w:tc>
          <w:tcPr>
            <w:tcW w:w="1600" w:type="dxa"/>
            <w:vAlign w:val="bottom"/>
            <w:gridSpan w:val="2"/>
          </w:tcPr>
          <w:p>
            <w:pPr>
              <w:spacing w:after="0"/>
              <w:rPr>
                <w:sz w:val="20"/>
                <w:szCs w:val="20"/>
                <w:color w:val="auto"/>
              </w:rPr>
            </w:pPr>
            <w:r>
              <w:rPr>
                <w:rFonts w:ascii="Arial" w:cs="Arial" w:eastAsia="Arial" w:hAnsi="Arial"/>
                <w:sz w:val="18"/>
                <w:szCs w:val="18"/>
                <w:color w:val="auto"/>
              </w:rPr>
              <w:t>Grayslake, IL</w:t>
            </w:r>
          </w:p>
        </w:tc>
        <w:tc>
          <w:tcPr>
            <w:tcW w:w="1400" w:type="dxa"/>
            <w:vAlign w:val="bottom"/>
          </w:tcPr>
          <w:p>
            <w:pPr>
              <w:jc w:val="right"/>
              <w:spacing w:after="0"/>
              <w:rPr>
                <w:sz w:val="20"/>
                <w:szCs w:val="20"/>
                <w:color w:val="auto"/>
              </w:rPr>
            </w:pPr>
            <w:r>
              <w:rPr>
                <w:rFonts w:ascii="Arial" w:cs="Arial" w:eastAsia="Arial" w:hAnsi="Arial"/>
                <w:sz w:val="18"/>
                <w:szCs w:val="18"/>
                <w:color w:val="auto"/>
              </w:rPr>
              <w:t>133,000</w:t>
            </w:r>
          </w:p>
        </w:tc>
      </w:tr>
      <w:tr>
        <w:trPr>
          <w:trHeight w:val="216"/>
        </w:trPr>
        <w:tc>
          <w:tcPr>
            <w:tcW w:w="2980" w:type="dxa"/>
            <w:vAlign w:val="bottom"/>
            <w:gridSpan w:val="3"/>
            <w:shd w:val="clear" w:color="auto" w:fill="CCEEFF"/>
          </w:tcPr>
          <w:p>
            <w:pPr>
              <w:ind w:left="320"/>
              <w:spacing w:after="0" w:line="216" w:lineRule="exact"/>
              <w:rPr>
                <w:sz w:val="20"/>
                <w:szCs w:val="20"/>
                <w:color w:val="auto"/>
              </w:rPr>
            </w:pPr>
            <w:r>
              <w:rPr>
                <w:rFonts w:ascii="Arial" w:cs="Arial" w:eastAsia="Arial" w:hAnsi="Arial"/>
                <w:sz w:val="17"/>
                <w:szCs w:val="17"/>
                <w:color w:val="auto"/>
              </w:rPr>
              <w:t>Custom</w:t>
            </w:r>
            <w:r>
              <w:rPr>
                <w:rFonts w:ascii="Arial" w:cs="Arial" w:eastAsia="Arial" w:hAnsi="Arial"/>
                <w:sz w:val="25"/>
                <w:szCs w:val="25"/>
                <w:color w:val="auto"/>
                <w:vertAlign w:val="superscript"/>
              </w:rPr>
              <w:t>(1)</w:t>
            </w: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MC</w:t>
            </w: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Neenah, WI</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SP – Security Products business segment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MC – Marine Components business segment</w:t>
      </w:r>
    </w:p>
    <w:p>
      <w:pPr>
        <w:ind w:left="1040" w:hanging="315"/>
        <w:spacing w:after="0" w:line="204" w:lineRule="auto"/>
        <w:tabs>
          <w:tab w:leader="none" w:pos="10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ISO-9001 registered facilities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 all of our facilities are well maintained and satisfactory for their intended purposes.</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are involved, from time to time, in various environmental, contractual, product liability, patent (or intellectual property), employment and other claims and disputes incidental to our business. See Note 10 to the Consolidated Financial Statements. We currently believe the disposition of all claims and disputes, individually or in the aggregate, should not have a material adverse effect on our consolidated financial condition, results of operations or liquidity.</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0" w:name="page11"/>
    <w:bookmarkEnd w:id="10"/>
    <w:p>
      <w:pPr>
        <w:ind w:left="60"/>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 xml:space="preserve">Common Stock and Dividends. </w:t>
      </w:r>
      <w:r>
        <w:rPr>
          <w:rFonts w:ascii="Arial" w:cs="Arial" w:eastAsia="Arial" w:hAnsi="Arial"/>
          <w:sz w:val="16"/>
          <w:szCs w:val="16"/>
          <w:color w:val="auto"/>
        </w:rPr>
        <w:t>Our Class A common stock is listed and traded on the NYSE American (symbol:</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CIX). As of February 22, 2022, there were approximately 18 holders of record of CompX Class A common stock.</w:t>
      </w:r>
    </w:p>
    <w:p>
      <w:pPr>
        <w:spacing w:after="0" w:line="218"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8"/>
          <w:szCs w:val="18"/>
          <w:b w:val="1"/>
          <w:bCs w:val="1"/>
          <w:i w:val="1"/>
          <w:iCs w:val="1"/>
          <w:color w:val="auto"/>
        </w:rPr>
        <w:t>Purchases of Equity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2019, our board of directors authorized various repurchases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 open market transactions, including block purchases, or in privately-negotiated transactions at unspecified prices and over an unspecified period of time. In 2021 we repurchased 75,000 shares, and we have 602,547 shares available for repurchase under the stock repurchase program at December 31, 2021. See Note 8 to our Consolidated Financial Statements.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discloses certain information regarding the shares of our Class A common stock we purchased during the fourth quarter of 2021 (we made no purchases in October or December 2021). All of these purchases were made under the repurchase program in open market transactions.</w:t>
      </w:r>
    </w:p>
    <w:p>
      <w:pPr>
        <w:spacing w:after="0" w:line="10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r>
      <w:tr>
        <w:trPr>
          <w:trHeight w:val="216"/>
        </w:trPr>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Total number of shares</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of shares that may</w:t>
            </w:r>
          </w:p>
        </w:tc>
      </w:tr>
      <w:tr>
        <w:trPr>
          <w:trHeight w:val="216"/>
        </w:trPr>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Total number</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purchased as part</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8"/>
              </w:rPr>
              <w:t>yet be purchased</w:t>
            </w:r>
          </w:p>
        </w:tc>
      </w:tr>
      <w:tr>
        <w:trPr>
          <w:trHeight w:val="216"/>
        </w:trPr>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of shares</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Average price</w:t>
            </w:r>
          </w:p>
        </w:tc>
        <w:tc>
          <w:tcPr>
            <w:tcW w:w="1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of the publicly</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under the publicly</w:t>
            </w:r>
          </w:p>
        </w:tc>
      </w:tr>
      <w:tr>
        <w:trPr>
          <w:trHeight w:val="219"/>
        </w:trPr>
        <w:tc>
          <w:tcPr>
            <w:tcW w:w="2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Period</w:t>
            </w:r>
          </w:p>
        </w:tc>
        <w:tc>
          <w:tcPr>
            <w:tcW w:w="14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purchased</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paid per share</w:t>
            </w:r>
          </w:p>
        </w:tc>
        <w:tc>
          <w:tcPr>
            <w:tcW w:w="1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announced plan</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w:t>
            </w:r>
          </w:p>
        </w:tc>
      </w:tr>
      <w:tr>
        <w:trPr>
          <w:trHeight w:val="227"/>
        </w:trPr>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November 2021</w:t>
            </w:r>
          </w:p>
        </w:tc>
        <w:tc>
          <w:tcPr>
            <w:tcW w:w="160" w:type="dxa"/>
            <w:vAlign w:val="bottom"/>
          </w:tcPr>
          <w:p>
            <w:pPr>
              <w:spacing w:after="0"/>
              <w:rPr>
                <w:sz w:val="19"/>
                <w:szCs w:val="19"/>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25,000</w:t>
            </w:r>
          </w:p>
        </w:tc>
        <w:tc>
          <w:tcPr>
            <w:tcW w:w="180" w:type="dxa"/>
            <w:vAlign w:val="bottom"/>
          </w:tcPr>
          <w:p>
            <w:pPr>
              <w:spacing w:after="0"/>
              <w:rPr>
                <w:sz w:val="19"/>
                <w:szCs w:val="19"/>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$22.24</w:t>
            </w:r>
          </w:p>
        </w:tc>
        <w:tc>
          <w:tcPr>
            <w:tcW w:w="200" w:type="dxa"/>
            <w:vAlign w:val="bottom"/>
          </w:tcPr>
          <w:p>
            <w:pPr>
              <w:spacing w:after="0"/>
              <w:rPr>
                <w:sz w:val="19"/>
                <w:szCs w:val="19"/>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25,000</w:t>
            </w:r>
          </w:p>
        </w:tc>
        <w:tc>
          <w:tcPr>
            <w:tcW w:w="24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602,547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2" w:name="page13"/>
    <w:bookmarkEnd w:id="12"/>
    <w:p>
      <w:pPr>
        <w:jc w:val="both"/>
        <w:ind w:left="60" w:right="59" w:firstLine="648"/>
        <w:spacing w:after="0" w:line="296" w:lineRule="auto"/>
        <w:rPr>
          <w:sz w:val="20"/>
          <w:szCs w:val="20"/>
          <w:color w:val="auto"/>
        </w:rPr>
      </w:pPr>
      <w:r>
        <w:rPr>
          <w:rFonts w:ascii="Arial" w:cs="Arial" w:eastAsia="Arial" w:hAnsi="Arial"/>
          <w:sz w:val="16"/>
          <w:szCs w:val="16"/>
          <w:b w:val="1"/>
          <w:bCs w:val="1"/>
          <w:i w:val="1"/>
          <w:iCs w:val="1"/>
          <w:color w:val="auto"/>
        </w:rPr>
        <w:t>Performance Graph</w:t>
      </w:r>
      <w:r>
        <w:rPr>
          <w:rFonts w:ascii="Arial" w:cs="Arial" w:eastAsia="Arial" w:hAnsi="Arial"/>
          <w:sz w:val="16"/>
          <w:szCs w:val="16"/>
          <w:color w:val="auto"/>
        </w:rPr>
        <w:t>. Set forth below is a line graph comparing the yearly change in our cumulative total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returns on our Class A common stock against the cumulative total return of the Russell 2000 Index and an index of a self-selected peer group of companies for the period from December 31, 2016 through December 31, 2021. The peer group index is comprised of The Eastern Company and Strattec Security Corporation. The graph shows the value at December 31 of each year assuming an original investment of $100 at December 31, 2016 and reinvestment of dividends.</w:t>
      </w: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10"/>
        </w:trPr>
        <w:tc>
          <w:tcPr>
            <w:tcW w:w="2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2020</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2021</w:t>
            </w:r>
          </w:p>
        </w:tc>
      </w:tr>
      <w:tr>
        <w:trPr>
          <w:trHeight w:val="209"/>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CompX International Inc.</w:t>
            </w:r>
          </w:p>
        </w:tc>
        <w:tc>
          <w:tcPr>
            <w:tcW w:w="8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157</w:t>
            </w: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Russell 2000 Index</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Peer Group</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137160</wp:posOffset>
            </wp:positionV>
            <wp:extent cx="5220335" cy="3514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20335"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information contained in the performance graph shall not be deemed “soliciting material” or “filed” with the SEC, or subject to the liabilities of Section 18 of the Securities Exchange Act, except to the extent we specifically request that the material be treated as soliciting material or specifically incorporate this performance graph by reference into a document filed under the Securities Act or the Securities Exchange Act.</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b w:val="1"/>
          <w:bCs w:val="1"/>
          <w:i w:val="1"/>
          <w:iCs w:val="1"/>
          <w:color w:val="auto"/>
        </w:rPr>
        <w:t xml:space="preserve">Equity compensation plan information. </w:t>
      </w:r>
      <w:r>
        <w:rPr>
          <w:rFonts w:ascii="Arial" w:cs="Arial" w:eastAsia="Arial" w:hAnsi="Arial"/>
          <w:sz w:val="18"/>
          <w:szCs w:val="18"/>
          <w:color w:val="auto"/>
        </w:rPr>
        <w:t>We have a share based incentive compensation plan, approved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pursuant to which an aggregate of 200,000 shares of our Class A common stock can be awarded to non-employee members of our board of directors. At December 31, 2021, 136,450 shares are available for award under this plan. See Note 8 to the Consolidated Financial Statements.</w:t>
      </w:r>
    </w:p>
    <w:p>
      <w:pPr>
        <w:spacing w:after="0" w:line="183"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13" w:name="page14"/>
    <w:bookmarkEnd w:id="13"/>
    <w:p>
      <w:pPr>
        <w:ind w:left="1340" w:right="73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wake enhancement systems, trim tabs and related hardware and accessories for the recreational marine and other industries through our Marine Components segment.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Income Overview</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reported operating income of $20.5 million in 2021 compared to operating income of $11.8 million in 2020 and $17.7 million in 2019. Our operating income was negatively impacted by the COVID-19 pandemic in 2020, primarily in the second and third quarters, which significantly impacts operating income comparisons for the comparative periods. Beginning in the third quarter of 2020 and continuing through 2021, our sales volumes generally improved at both our business segments and the increase in operating income in 2021 over 2020 primarily resulted from the higher sales volumes. The decrease in operating income in 2020 over 2019 is primarily due to the decline in net sales and gross margin due to reduced demand resulting from the COVID-19 pandemic during 2020. See results of operations discussion below.</w:t>
      </w:r>
    </w:p>
    <w:p>
      <w:pPr>
        <w:spacing w:after="0" w:line="16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product offerings consist of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- 2021 Compared to 2020 and 2020 Compared to 2019</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10"/>
          </w:tcPr>
          <w:p>
            <w:pPr>
              <w:jc w:val="right"/>
              <w:ind w:right="230"/>
              <w:spacing w:after="0"/>
              <w:rPr>
                <w:sz w:val="20"/>
                <w:szCs w:val="20"/>
                <w:color w:val="auto"/>
              </w:rPr>
            </w:pPr>
            <w:r>
              <w:rPr>
                <w:rFonts w:ascii="Arial" w:cs="Arial" w:eastAsia="Arial" w:hAnsi="Arial"/>
                <w:sz w:val="18"/>
                <w:szCs w:val="18"/>
                <w:b w:val="1"/>
                <w:bCs w:val="1"/>
                <w:color w:val="auto"/>
                <w:w w:val="95"/>
              </w:rPr>
              <w:t>Years ended December 31,</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2020</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2021</w:t>
            </w:r>
          </w:p>
        </w:tc>
        <w:tc>
          <w:tcPr>
            <w:tcW w:w="4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2019-20</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2020-21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tcPr>
          <w:p>
            <w:pPr>
              <w:ind w:left="140"/>
              <w:spacing w:after="0" w:line="196" w:lineRule="exact"/>
              <w:rPr>
                <w:sz w:val="20"/>
                <w:szCs w:val="20"/>
                <w:color w:val="auto"/>
              </w:rPr>
            </w:pPr>
            <w:r>
              <w:rPr>
                <w:rFonts w:ascii="Arial" w:cs="Arial" w:eastAsia="Arial" w:hAnsi="Arial"/>
                <w:sz w:val="18"/>
                <w:szCs w:val="18"/>
                <w:b w:val="1"/>
                <w:bCs w:val="1"/>
                <w:color w:val="auto"/>
                <w:w w:val="79"/>
              </w:rPr>
              <w:t>(In millions)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140.8</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Cost of sales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98.1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42.7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7</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8</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Percent of net sales: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 and expenses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approximately $26.3 million in 2021 compared to 2020 primarily due 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sales at both of our segments, particularly in the second quarter of 2021, as many of our customers were temporarily closed or reduced production during the second quarter of 2020 due to government ordered closures or reduced demand resulting from the COVID-19 pandemic. Beginning in the third quarter of 2020 and continuing through 2021, Marine Components sales exceeded pre-pandemic levels. Security Products sales generally improved since third quarter of 2020 but did not recover to pre-pandemic levels until the second quarter of 2021 when sales improved in markets that had been slower to recover from the COVID-19 pandemic, particularly sales to distributors and the office furniture market.</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4" w:name="page15"/>
    <w:bookmarkEnd w:id="14"/>
    <w:p>
      <w:pPr>
        <w:jc w:val="both"/>
        <w:ind w:left="60" w:right="59" w:firstLine="648"/>
        <w:spacing w:after="0" w:line="263" w:lineRule="auto"/>
        <w:rPr>
          <w:sz w:val="20"/>
          <w:szCs w:val="20"/>
          <w:color w:val="auto"/>
        </w:rPr>
      </w:pPr>
      <w:r>
        <w:rPr>
          <w:rFonts w:ascii="Arial" w:cs="Arial" w:eastAsia="Arial" w:hAnsi="Arial"/>
          <w:sz w:val="18"/>
          <w:szCs w:val="18"/>
          <w:color w:val="auto"/>
        </w:rPr>
        <w:t>Net sales decreased approximately $9.7 million in 2020 compared to 2019 primarily due to lower Security Products sales across a variety of markets due to reduced demand resulting from the COVID-19 pandemic, offset slightly by higher Marine Component sales to the towboat market.</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i w:val="1"/>
          <w:iCs w:val="1"/>
          <w:color w:val="auto"/>
        </w:rPr>
        <w:t xml:space="preserve">Cost of Sales and Gross Margin. </w:t>
      </w:r>
      <w:r>
        <w:rPr>
          <w:rFonts w:ascii="Arial" w:cs="Arial" w:eastAsia="Arial" w:hAnsi="Arial"/>
          <w:sz w:val="17"/>
          <w:szCs w:val="17"/>
          <w:color w:val="auto"/>
        </w:rPr>
        <w:t>Cost of sales increased in 2021 compared to 2020 primarily due to the effects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higher sales, as well as increased production costs at both Security Products and Marine Components. Gross margin as a percentage of sales increased over the same period due to the increase in the Security Products gross margin percentage partially offset by the decrease in the Marine Components gross margin percentage.</w:t>
      </w:r>
    </w:p>
    <w:p>
      <w:pPr>
        <w:spacing w:after="0" w:line="17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Cost of sales decreased in 2020 compared to 2019 primarily due to the effects of lower sales for Security Products slightly offset by higher Marine Component sales. Gross margin as a percentage of sales decreased over the same period primarily as a result of lower gross margin percentage at Security Products.</w:t>
      </w:r>
    </w:p>
    <w:p>
      <w:pPr>
        <w:spacing w:after="0" w:line="18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i w:val="1"/>
          <w:iCs w:val="1"/>
          <w:color w:val="auto"/>
        </w:rPr>
        <w:t>Operating Costs and Expenses</w:t>
      </w:r>
      <w:r>
        <w:rPr>
          <w:rFonts w:ascii="Arial" w:cs="Arial" w:eastAsia="Arial" w:hAnsi="Arial"/>
          <w:sz w:val="17"/>
          <w:szCs w:val="17"/>
          <w:color w:val="auto"/>
        </w:rPr>
        <w:t>. Operating costs and expenses consist primarily of sales and administrative-related</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sales commissions and advertising expenses directly related to product sales and administrative costs relating to business unit and corporate management activities, as well as gains and losses on sales of property and equipment. Operating costs and expenses increased in 2021 compared to 2020 predominantly due to higher salary and benefit costs which increased by $.9 million. As a percentage of sales, operating costs and expenses decreased in 2021 compared to 2020 primarily due to the effect of higher sales.</w:t>
      </w:r>
    </w:p>
    <w:p>
      <w:pPr>
        <w:spacing w:after="0" w:line="17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Operating costs and expenses in 2020 were comparable to 2019. As a percentage of sales, operating costs and expenses increased in 2020 compared to 2019 due to the effect of lower sales.</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As a percentage of net sales, operating income increased in 2021 compared to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in 2020 compared to 2019. Operating margins were primarily impacted by the factors impacting net sales, cost of sales, gross margin and operating costs discussed above.</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profitability primarily depends on our ability to utilize our production capacity effectively,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affected by, among other things, the demand for our products and our ability to control our manufacturing costs, primarily comprised of labor costs and materials. The materials used in our products consist of purchased components and raw materials some of which are subject to fluctuations in the commodity markets such as zinc, brass and stainless steel. Total material costs represented approximately 44% of our cost of sales in 2021, with commodity-related raw materials accounting for approximately 16% of our cost of sales. Prices for the primary commodity-related raw materials used in the manufacture of our locking mechanisms, primarily zinc and brass, remained relatively stable during 2020 but generally increased throughout 2021. Prices for stainless steel, the primary raw material used for the manufacture of marine exhaust headers and pipes and wake enhancement systems, remained relatively stable in 2020 but experienced significant volatility during 2021. Based on current economic conditions, we expect prices for our primary commodity-related raw materials and other manufacturing materials to be volatile during 2022.</w:t>
      </w:r>
    </w:p>
    <w:p>
      <w:pPr>
        <w:spacing w:after="0" w:line="18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occasionally enter into short-term commodity-related raw material supply arrangements to mitigate the impact of future increases in commodity related raw material costs. See Item 1 - “Business- Raw Materials.”</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2021 decreased compared to 2020 primarily due to lower average loan</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on our loan to an affiliate. Interest income in 2020 decreased compared to 2019 primarily due to lower average loan balances and lower interest rates on our loan to an affiliate as well as lower interest rates on our cash investments. See Note 9 to the Consolidated Financial Statements.</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rate of 21% is included in Note 7 to the Consolidated Financial Statements. As a member of the group of companies consolidated for U.S. federal income tax purposes with Contran, the parent of our consolidated U.S. federal income tax group, we compute our provision for income taxes on a separate company basis, using the tax elections made by Contran.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15" w:name="page16"/>
    <w:bookmarkEnd w:id="15"/>
    <w:p>
      <w:pPr>
        <w:jc w:val="both"/>
        <w:ind w:left="60" w:right="59" w:firstLine="648"/>
        <w:spacing w:after="0" w:line="263" w:lineRule="auto"/>
        <w:rPr>
          <w:sz w:val="20"/>
          <w:szCs w:val="20"/>
          <w:color w:val="auto"/>
        </w:rPr>
      </w:pPr>
      <w:r>
        <w:rPr>
          <w:rFonts w:ascii="Arial" w:cs="Arial" w:eastAsia="Arial" w:hAnsi="Arial"/>
          <w:sz w:val="18"/>
          <w:szCs w:val="18"/>
          <w:color w:val="auto"/>
        </w:rPr>
        <w:t>Our effective income tax rate was 24% in each of 2019, 2020 and 2021. See Notes 7 and 10 to our Consolidated Financial Statements. We currently expect our effective income tax rate for 2022 to be comparable to our effective income tax rate for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key performance indicator for our segments is the level of their operating income (see discussion below). For additional information regarding our segments refer to Note 2 to our Consolidated Financial Statements.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88"/>
              </w:rPr>
              <w:t>Years ended December 31,</w:t>
            </w:r>
          </w:p>
        </w:tc>
        <w:tc>
          <w:tcPr>
            <w:tcW w:w="188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2019-20</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77"/>
              </w:rPr>
              <w:t>(In millions)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260"/>
              <w:spacing w:after="0"/>
              <w:rPr>
                <w:sz w:val="20"/>
                <w:szCs w:val="20"/>
                <w:color w:val="auto"/>
              </w:rPr>
            </w:pPr>
            <w:r>
              <w:rPr>
                <w:rFonts w:ascii="Arial" w:cs="Arial" w:eastAsia="Arial" w:hAnsi="Arial"/>
                <w:sz w:val="18"/>
                <w:szCs w:val="18"/>
                <w:color w:val="auto"/>
              </w:rPr>
              <w:t>99.3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260"/>
              <w:spacing w:after="0"/>
              <w:rPr>
                <w:sz w:val="20"/>
                <w:szCs w:val="20"/>
                <w:color w:val="auto"/>
              </w:rPr>
            </w:pPr>
            <w:r>
              <w:rPr>
                <w:rFonts w:ascii="Arial" w:cs="Arial" w:eastAsia="Arial" w:hAnsi="Arial"/>
                <w:sz w:val="18"/>
                <w:szCs w:val="18"/>
                <w:color w:val="auto"/>
              </w:rPr>
              <w:t>87.9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105.1</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67.1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Pr>
          <w:p>
            <w:pPr>
              <w:ind w:left="400"/>
              <w:spacing w:after="0"/>
              <w:rPr>
                <w:sz w:val="20"/>
                <w:szCs w:val="20"/>
                <w:color w:val="auto"/>
              </w:rPr>
            </w:pPr>
            <w:r>
              <w:rPr>
                <w:rFonts w:ascii="Arial" w:cs="Arial" w:eastAsia="Arial" w:hAnsi="Arial"/>
                <w:sz w:val="18"/>
                <w:szCs w:val="18"/>
                <w:color w:val="auto"/>
              </w:rPr>
              <w:t>Gross margin</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33.6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 and expenses</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6"/>
              </w:rPr>
              <w:t>11.2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Operating income</w:t>
            </w:r>
          </w:p>
        </w:tc>
        <w:tc>
          <w:tcPr>
            <w:tcW w:w="8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9</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r>
              <w:rPr>
                <w:rFonts w:ascii="Arial" w:cs="Arial" w:eastAsia="Arial" w:hAnsi="Arial"/>
                <w:sz w:val="18"/>
                <w:szCs w:val="18"/>
                <w:b w:val="1"/>
                <w:bCs w:val="1"/>
                <w:u w:val="single" w:color="auto"/>
                <w:color w:val="auto"/>
              </w:rPr>
              <w:t>6</w:t>
            </w: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45</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Gross margin</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w w:val="99"/>
              </w:rPr>
              <w:t>32.5 %</w:t>
            </w:r>
          </w:p>
        </w:tc>
        <w:tc>
          <w:tcPr>
            <w:tcW w:w="14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w w:val="96"/>
              </w:rPr>
              <w:t>29.4 %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32.0 %</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margin</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i w:val="1"/>
          <w:iCs w:val="1"/>
          <w:color w:val="auto"/>
        </w:rPr>
        <w:t xml:space="preserve">Security Products. </w:t>
      </w:r>
      <w:r>
        <w:rPr>
          <w:rFonts w:ascii="Arial" w:cs="Arial" w:eastAsia="Arial" w:hAnsi="Arial"/>
          <w:sz w:val="17"/>
          <w:szCs w:val="17"/>
          <w:color w:val="auto"/>
        </w:rPr>
        <w:t>Security Products net sales increased 20% to $105.1 million in 2021 compared to $87.9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2020 when it experienced reduced demand across a variety of markets due to COVID-19. Relative to prior year, sales were $7.2 million higher to the government security market, $4.9 million higher to the transportation market, and $2.0 million higher to distribution customers. Gross margin as a percentage of net sales for 2021 increased as compared to 2020 due to increased coverage of fixed costs from higher sales, partially offset by higher production costs including increased raw materials costs across a variety of commodities and component inputs, higher shipping costs, and increased labor costs primarily due to higher overtime costs and increased headcount. Operating income margin increased for 2021 compared to 2020 primarily due to increased coverage of operating costs and expenses on higher sales, partially offset by the higher production costs impacting gross margin and increased sales and administrative-related salary and benefit costs of $.7 million.</w:t>
      </w:r>
    </w:p>
    <w:p>
      <w:pPr>
        <w:spacing w:after="0" w:line="18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Security Products net sales decreased 12% to $87.9 million in 2020 compared to $99.3 million in 2019. Certain security products market segments were slower to recover from the negative impact of COVID-19, primarily in the second and third quarters, including transportation which had $4.4 million lower sales than the 2019, distribution customers which were $2.5 million lower than 2019, and office furniture which was $1.8 million lower than the same period in 2019. Gross margin and operating income margin for 2020 declined as compared to 2019 primarily due to lower sales and higher cost inventory produced during the second and third quarters and sold in the last half of the year. Security Products inventory produced during the second and third quarters of 2020 had a higher carrying value compared to prior periods due to higher cost per unit of production as a result of lower production volumes during these quarters of 2020. This negatively impacted our gross margin and operating income margin as this higher cost inventory was sold during the last half of 2020.</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16" w:name="page17"/>
    <w:bookmarkEnd w:id="16"/>
    <w:p>
      <w:pPr>
        <w:jc w:val="both"/>
        <w:ind w:left="60" w:right="59"/>
        <w:spacing w:after="0" w:line="277" w:lineRule="auto"/>
        <w:rPr>
          <w:sz w:val="20"/>
          <w:szCs w:val="20"/>
          <w:color w:val="auto"/>
        </w:rPr>
      </w:pPr>
      <w:r>
        <w:rPr>
          <w:rFonts w:ascii="Arial" w:cs="Arial" w:eastAsia="Arial" w:hAnsi="Arial"/>
          <w:sz w:val="18"/>
          <w:szCs w:val="18"/>
          <w:color w:val="auto"/>
        </w:rPr>
        <w:t>Additionally, gross margin and operating income margin were unfavorably impacted by employer paid medical costs, unrelated to the pandemic, which increased $2.1 million in 2020 compared to 2019.</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88"/>
              </w:rPr>
              <w:t>Years ended December 31,</w:t>
            </w:r>
          </w:p>
        </w:tc>
        <w:tc>
          <w:tcPr>
            <w:tcW w:w="178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2019-20</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2020-21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77"/>
              </w:rPr>
              <w:t>(In millions)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Marine Components: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0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35.7</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Gross margin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 and expenses</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2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Operating income</w:t>
            </w:r>
          </w:p>
        </w:tc>
        <w:tc>
          <w:tcPr>
            <w:tcW w:w="8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2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37</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Gross margin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27.0 %</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26.4 %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25.4 %</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margin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i w:val="1"/>
          <w:iCs w:val="1"/>
          <w:color w:val="auto"/>
        </w:rPr>
        <w:t xml:space="preserve">Marine Components. </w:t>
      </w:r>
      <w:r>
        <w:rPr>
          <w:rFonts w:ascii="Arial" w:cs="Arial" w:eastAsia="Arial" w:hAnsi="Arial"/>
          <w:sz w:val="17"/>
          <w:szCs w:val="17"/>
          <w:color w:val="auto"/>
        </w:rPr>
        <w:t>Marine Components net sales increased 34% in 2021 as compared to 2020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sales of $7.2 million to several original equipment boat manufactures in the towboat market. Gross margin as a percentage of sales decreased in 2021 compared to 2020 as increased coverage of fixed costs from higher sales were more than offset by higher production costs including raw materials costs (primarily stainless steel), higher shipping costs, and increased labor costs resulting from higher overtime costs and increased headcount. Operating income as a percentage of net sales increased slightly in 2021 compared to 2020 due to increased coverage of operating costs and expenses from higher sales, partially offset by the factors impacting gross margin.</w:t>
      </w:r>
    </w:p>
    <w:p>
      <w:pPr>
        <w:spacing w:after="0" w:line="17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Marine Components net sales increased 7% in 2020 as compared to 2019 primarily due to increased sales of $2.9 million to the towboat market, primarily wake enhancement systems and surf pipes to an original equipment boat manufacturer, predominantly in the second half of the year. Gross margin as a percentage of sales in 2020 was slightly below 2019 due to higher cost inventory produced during the second quarter and sold in the third quarter of the year, as well as higher depreciation expense resulting from the timing of capital expenditures. Operating income as a percentage of net sales increased in 2020 compared to 2019 principally due to the slight decrease in operating costs and expenses.</w:t>
      </w:r>
    </w:p>
    <w:p>
      <w:pPr>
        <w:spacing w:after="0" w:line="16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i w:val="1"/>
          <w:iCs w:val="1"/>
          <w:color w:val="auto"/>
        </w:rPr>
        <w:t xml:space="preserve">Outlook. </w:t>
      </w:r>
      <w:r>
        <w:rPr>
          <w:rFonts w:ascii="Arial" w:cs="Arial" w:eastAsia="Arial" w:hAnsi="Arial"/>
          <w:sz w:val="17"/>
          <w:szCs w:val="17"/>
          <w:color w:val="auto"/>
        </w:rPr>
        <w:t>Beginning in the second half of 2020, our sales began to steadily improve from the historically low</w:t>
      </w:r>
      <w:r>
        <w:rPr>
          <w:rFonts w:ascii="Arial" w:cs="Arial" w:eastAsia="Arial" w:hAnsi="Arial"/>
          <w:sz w:val="17"/>
          <w:szCs w:val="17"/>
          <w:i w:val="1"/>
          <w:iCs w:val="1"/>
          <w:color w:val="auto"/>
        </w:rPr>
        <w:t xml:space="preserve"> </w:t>
      </w:r>
      <w:r>
        <w:rPr>
          <w:rFonts w:ascii="Arial" w:cs="Arial" w:eastAsia="Arial" w:hAnsi="Arial"/>
          <w:sz w:val="17"/>
          <w:szCs w:val="17"/>
          <w:color w:val="auto"/>
        </w:rPr>
        <w:t>levels we experienced during the second quarter of 2020 as a result of the COVID-19 pandemic. Throughout 2021, we experienced strong demand at both our segments. Our manufacturing facilities operated at elevated production rates during 2021 in line with improved demand, although labor markets are tight in each of the regions in which we operate and, as a result, we have experienced and continue to have challenges maintaining staffing levels aligned with current and forecasted demand, particularly at our Marine Components segment.</w:t>
      </w:r>
    </w:p>
    <w:p>
      <w:pPr>
        <w:spacing w:after="0" w:line="17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Based on current market conditions, we expect demand levels to remain strong in 2022 and we expect to report increased net sales and operating income in 2022 compared to 2021. Our supply chains remain intact, although the current global and domestic supply chain disruptions continue to present challenges in sourcing certain raw materials due to increased lead times, availability shortages and transportation and logistics delays. Thus far we have been able to manage through these disruptions with minimal impact on our operations. In addition, we are experiencing increased production costs including higher labor, shipping, and increasing costs of many of the raw materials we use including zinc, brass and stainless steel. In response, we implemented price increases and surcharges; however, the extent to which the price increases and surcharges will mitigate the rising costs is uncertain and we expect increasing production costs will negatively impact gross margins in 2022 as higher cost inventories are sold. Our operations teams meet frequently to ensure we are taking appropriate actions to minimize material or supply related operational disruptions, manage inventory levels, improve operating margins and to maintain a safe working environment for all our employees.</w:t>
      </w:r>
    </w:p>
    <w:p>
      <w:pPr>
        <w:spacing w:after="0" w:line="17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expectations for our operations and the markets we serve are based on a number of factors outside our control. As noted above, there are global and domestic supply chain challenges and any future impacts of COVID-19 on our operations will depend on, among other things, any future disruption in our operations or our suppliers’ operations, demand for our products and the timing and effectiveness of the global measures deployed to fight COVID-19, all of which remain uncertain and cannot be predicted.</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significant accounting policies are more fully described in Note 1 to our Consolidated Financial Statements. Our Consolidated Financial Statements have been prepared in conformity with accounting principles generally accepted in the United States of America (GAAP) which requires us to make estimates, judgments, and assumptions we believe are reasonable based on our historical experience, contract terms, observations of known trends in our company and the industry as a whole and information available from other outside sources. Our estimates affect the reported amounts of assets and liabilities and related disclosures of contingent assets and liabilities at the date of the financial statements, and the reported amounts of revenue and expense during the reporting period. Actual results may differ from initial estimates.</w:t>
      </w:r>
    </w:p>
    <w:p>
      <w:pPr>
        <w:spacing w:after="0" w:line="166"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believe the most critical accounting policies and estimates involving significant judgments and estimates primarily relate to the considerations in the impairment assessments for goodwill and certain long-lived assets. We have discussed the development, selection and disclosure of our critical accounting estimates with the Audit Committee of our Board of Directors.</w:t>
      </w:r>
    </w:p>
    <w:p>
      <w:pPr>
        <w:spacing w:after="0" w:line="187" w:lineRule="exact"/>
        <w:rPr>
          <w:sz w:val="20"/>
          <w:szCs w:val="20"/>
          <w:color w:val="auto"/>
        </w:rPr>
      </w:pPr>
    </w:p>
    <w:p>
      <w:pPr>
        <w:jc w:val="both"/>
        <w:ind w:left="720" w:right="79" w:hanging="319"/>
        <w:spacing w:after="0" w:line="286"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Goodwill – </w:t>
      </w:r>
      <w:r>
        <w:rPr>
          <w:rFonts w:ascii="Arial" w:cs="Arial" w:eastAsia="Arial" w:hAnsi="Arial"/>
          <w:sz w:val="16"/>
          <w:szCs w:val="16"/>
          <w:color w:val="auto"/>
        </w:rPr>
        <w:t>Our goodwill totaled $23.7 million at December 31, 2021, all relating to our Security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unit, which corresponds to our Security Products operating segment. Goodwill is required to be tested annually or at other times whenever an event occurs or circumstances change that would more-likely-than-not reduce the fair value of a reporting unit below its carrying value. We perform our annual goodwill impairment test in the third quarter of each year, or at other times whenever an event occurs or circumstances change that would more-likely-than-not reduce the fair value of a reporting unit below its carrying value. Such events or circumstances may include: adverse industry or economic trends, lower projections of profitability, or a sustained decline in our market capitalization. These events or circumstances, among other items, may be indications of potential impairment issues which are triggering events requiring the testing of an asset’s carrying value for recoverability. An entity may first assess qualitative factors to determine whether it is necessary to complete a quantitative impairment test using a more-likely-than-not criteria. If an entity believes it is more-likely-than-not the fair value of a reporting unit is greater than its carrying value, including goodwill, the quantitative impairment test can be bypassed. Alternatively, an entity has an unconditional option to bypass the qualitative assessment and proceed directly to performing the two-step quantitative impairment test.</w:t>
      </w:r>
    </w:p>
    <w:p>
      <w:pPr>
        <w:spacing w:after="0" w:line="171"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When performing a qualitative assessment, considerable management judgment is necessary to evaluate the qualitative impact of events and circumstances on the fair value of a reporting unit. Events and circumstances considered in our impairment evaluations, such as historical profits and stability of the markets served, are consistent with factors utilized with our internal projections and operating plan. However, future events and circumstances could result in materially different findings which could result in the recognition of a material goodwill impairment.</w:t>
      </w:r>
    </w:p>
    <w:p>
      <w:pPr>
        <w:spacing w:after="0" w:line="192" w:lineRule="exact"/>
        <w:rPr>
          <w:sz w:val="20"/>
          <w:szCs w:val="20"/>
          <w:color w:val="auto"/>
        </w:rPr>
      </w:pPr>
    </w:p>
    <w:p>
      <w:pPr>
        <w:jc w:val="both"/>
        <w:ind w:left="700" w:right="59"/>
        <w:spacing w:after="0" w:line="289" w:lineRule="auto"/>
        <w:rPr>
          <w:sz w:val="20"/>
          <w:szCs w:val="20"/>
          <w:color w:val="auto"/>
        </w:rPr>
      </w:pPr>
      <w:r>
        <w:rPr>
          <w:rFonts w:ascii="Arial" w:cs="Arial" w:eastAsia="Arial" w:hAnsi="Arial"/>
          <w:sz w:val="16"/>
          <w:szCs w:val="16"/>
          <w:color w:val="auto"/>
        </w:rPr>
        <w:t>Evaluations of possible impairment utilizing the quantitative impairment test require us to estimate, among other factors: forecasts of future operating results, revenue growth, operating margin, tax rates, capital expenditures, depreciation, working capital, weighted average cost of capital, long-term growth rates, risk premiums, terminal values, and fair values of our reporting units and assets. The goodwill impairment test is subject to uncertainties arising from such events as changes in competitive conditions, the current general economic environment, material changes in growth rate assumptions that could positively or negatively impact anticipated future operating conditions and cash flows, changes in the discount rate, and the impact of strategic decisions. If any of these factors were to materially change, such change may require revaluation of our goodwill. Changes in estimates or the application of alternative assumptions could produce significantly different results.</w:t>
      </w:r>
    </w:p>
    <w:p>
      <w:pPr>
        <w:spacing w:after="0" w:line="166" w:lineRule="exact"/>
        <w:rPr>
          <w:sz w:val="20"/>
          <w:szCs w:val="20"/>
          <w:color w:val="auto"/>
        </w:rPr>
      </w:pPr>
    </w:p>
    <w:p>
      <w:pPr>
        <w:jc w:val="both"/>
        <w:ind w:left="700" w:right="79"/>
        <w:spacing w:after="0" w:line="259" w:lineRule="auto"/>
        <w:rPr>
          <w:sz w:val="20"/>
          <w:szCs w:val="20"/>
          <w:color w:val="auto"/>
        </w:rPr>
      </w:pPr>
      <w:r>
        <w:rPr>
          <w:rFonts w:ascii="Arial" w:cs="Arial" w:eastAsia="Arial" w:hAnsi="Arial"/>
          <w:sz w:val="18"/>
          <w:szCs w:val="18"/>
          <w:color w:val="auto"/>
        </w:rPr>
        <w:t>In 2021, we used the qualitative assessment for our annual impairment test and determined it was not necessary to perform the quantitative goodwill impairment test, as we concluded it is more-likely- than-not the fair value of the Security Products reporting unit exceeded its carrying amount. See Notes 1 and 5 to our Consolidated Financial Statements.</w:t>
      </w:r>
    </w:p>
    <w:p>
      <w:pPr>
        <w:spacing w:after="0" w:line="187" w:lineRule="exact"/>
        <w:rPr>
          <w:sz w:val="20"/>
          <w:szCs w:val="20"/>
          <w:color w:val="auto"/>
        </w:rPr>
      </w:pPr>
    </w:p>
    <w:p>
      <w:pPr>
        <w:jc w:val="both"/>
        <w:ind w:left="720" w:right="79" w:hanging="319"/>
        <w:spacing w:after="0" w:line="301"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Long-lived assets – </w:t>
      </w:r>
      <w:r>
        <w:rPr>
          <w:rFonts w:ascii="Arial" w:cs="Arial" w:eastAsia="Arial" w:hAnsi="Arial"/>
          <w:sz w:val="16"/>
          <w:szCs w:val="16"/>
          <w:color w:val="auto"/>
        </w:rPr>
        <w:t>The net book value of our property and equipment totaled $29.2 million at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2021. We assess property and equipment for impairment only when circumstances indicate an impairment may exist. Our determination is based upon, among other things, our estimates of the amount of future net cash flows to be generated by the long-lived asset (Level 3 inputs) and our estimates of the current fair value of the asset.</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8" w:name="page19"/>
    <w:bookmarkEnd w:id="18"/>
    <w:p>
      <w:pPr>
        <w:jc w:val="both"/>
        <w:ind w:left="700" w:right="59"/>
        <w:spacing w:after="0" w:line="296" w:lineRule="auto"/>
        <w:rPr>
          <w:sz w:val="20"/>
          <w:szCs w:val="20"/>
          <w:color w:val="auto"/>
        </w:rPr>
      </w:pPr>
      <w:r>
        <w:rPr>
          <w:rFonts w:ascii="Arial" w:cs="Arial" w:eastAsia="Arial" w:hAnsi="Arial"/>
          <w:sz w:val="16"/>
          <w:szCs w:val="16"/>
          <w:color w:val="auto"/>
        </w:rPr>
        <w:t>Significant judgment is required in estimating such cash flows. Adverse changes in such estimates of future net cash flows or estimates of fair value could result in an inability to recover the carrying value of the long-lived asset, thereby possibly requiring an impairment charge to be recognized in the future. We do not assess our property and equipment for impairment unless certain impairment indicators are present. We did not evaluate any long-lived assets for impairment during 2021 because no such impairment indicators were present.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primary source of liquidity on an on-going basis is our cash flow from operating activities, which is generally used to (i) fund capital expenditures, (ii) repay short-term or long-term indebtedness incurred primarily for capital expenditures, business combinations or buying back shares of our outstanding stock and (iii) provide for the payment of dividends (if declared). From time-to-time, we may incur indebtedness to fund capital expenditures, business combinations or other investment activities. In addition, from time-to-time, we may also sell assets outside the ordinary course of business, the proceeds of which are generally used to repay indebtedness (including indebtedness which may have been collateralized by the assets sold) or to fund capital expenditures or business combinations.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Trends in cash flows from operating activities, excluding changes in assets and liabilities,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last three years have generally been similar to the trends in our earnings. Depreciation and amortization were comparable in each of 2021, 2020 and 2019. See Note 1 to our Consolidated Financial Statements.</w:t>
      </w:r>
    </w:p>
    <w:p>
      <w:pPr>
        <w:spacing w:after="0" w:line="16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Changes in assets and liabilities result primarily from the timing of production, sales and purchases. Such changes in assets and liabilities generally tend to even out over time. However, year-to-year relative changes in assets and liabilities can significantly affect the comparability of cash flows from operating activities. Cash provided by operating activities was $10.5 million in 2021 compared to $15.5 million in 2020. The $5.0 million decrease in cash provided by operating activities was primarily the net result of:</w:t>
      </w:r>
    </w:p>
    <w:p>
      <w:pPr>
        <w:spacing w:after="0" w:line="188" w:lineRule="exact"/>
        <w:rPr>
          <w:sz w:val="20"/>
          <w:szCs w:val="20"/>
          <w:color w:val="auto"/>
        </w:rPr>
      </w:pPr>
    </w:p>
    <w:p>
      <w:pPr>
        <w:ind w:left="720" w:right="7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higher amount of net cash used by relative changes in inventories, receivables, payables and non-tax accruals of $11.3 million,</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$8.7 million increase in operating income in 2021,</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$1.4 million increase in cash paid for taxes in 2021 due to higher operating income, and</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 million decrease in interest received in 2021 due to lower average loan balances on our loan to an affiliate and the relative timing of interest received.</w:t>
      </w:r>
    </w:p>
    <w:p>
      <w:pPr>
        <w:spacing w:after="0" w:line="62"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Cash provided by operating activities was $15.5 million in 2020 compared to $18.5 million in 2019. The $3.0 million decrease in cash provided by operating activities was primarily the net result of:</w:t>
      </w:r>
    </w:p>
    <w:p>
      <w:pPr>
        <w:spacing w:after="0" w:line="62"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$5.8 million decrease in operating income in 2020,</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higher amount of net cash provided by relative changes in inventories, receivables, payables and non-tax accruals of $2.2 million,</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$1.8 million decrease in cash paid for taxes in 2020 due to lower operating income, and</w:t>
      </w:r>
    </w:p>
    <w:p>
      <w:pPr>
        <w:spacing w:after="0" w:line="117"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$1.0 million decrease in interest received in 2020 due to lower average interest rates and to a lesser extent lower average loan balances on our loan to an affiliate, partially offset by the relative timing of interest received.</w:t>
      </w:r>
    </w:p>
    <w:p>
      <w:pPr>
        <w:spacing w:after="0" w:line="124"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Relative changes in working capital can have a significant effect on cash flows from operating activities. As shown below, our total average days sales outstanding increased from December 31, 2020 to December 31, 2021 primarily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19" w:name="page20"/>
    <w:bookmarkEnd w:id="19"/>
    <w:p>
      <w:pPr>
        <w:jc w:val="both"/>
        <w:ind w:left="60" w:right="79"/>
        <w:spacing w:after="0" w:line="277" w:lineRule="auto"/>
        <w:rPr>
          <w:sz w:val="20"/>
          <w:szCs w:val="20"/>
          <w:color w:val="auto"/>
        </w:rPr>
      </w:pPr>
      <w:r>
        <w:rPr>
          <w:rFonts w:ascii="Arial" w:cs="Arial" w:eastAsia="Arial" w:hAnsi="Arial"/>
          <w:sz w:val="18"/>
          <w:szCs w:val="18"/>
          <w:color w:val="auto"/>
        </w:rPr>
        <w:t>as a result of the timing of sales and collections in the last month of 2021 as compared to 2020. For comparative purposes, we have provided 2019 numbers below.</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7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8"/>
              </w:rPr>
              <w:t>December 31,</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0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Days Sales Outstanding:</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209"/>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15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6"/>
              </w:rPr>
              <w:t>38 Days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35 Days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Days</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Marine Components</w:t>
            </w:r>
          </w:p>
        </w:tc>
        <w:tc>
          <w:tcPr>
            <w:tcW w:w="1700" w:type="dxa"/>
            <w:vAlign w:val="bottom"/>
            <w:gridSpan w:val="2"/>
          </w:tcPr>
          <w:p>
            <w:pPr>
              <w:ind w:left="840"/>
              <w:spacing w:after="0"/>
              <w:rPr>
                <w:sz w:val="20"/>
                <w:szCs w:val="20"/>
                <w:color w:val="auto"/>
              </w:rPr>
            </w:pPr>
            <w:r>
              <w:rPr>
                <w:rFonts w:ascii="Arial" w:cs="Arial" w:eastAsia="Arial" w:hAnsi="Arial"/>
                <w:sz w:val="18"/>
                <w:szCs w:val="18"/>
                <w:color w:val="auto"/>
              </w:rPr>
              <w:t>27 Days</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24 Days</w:t>
            </w:r>
          </w:p>
        </w:tc>
        <w:tc>
          <w:tcPr>
            <w:tcW w:w="1140" w:type="dxa"/>
            <w:vAlign w:val="bottom"/>
          </w:tcPr>
          <w:p>
            <w:pPr>
              <w:jc w:val="right"/>
              <w:spacing w:after="0"/>
              <w:rPr>
                <w:sz w:val="20"/>
                <w:szCs w:val="20"/>
                <w:color w:val="auto"/>
              </w:rPr>
            </w:pPr>
            <w:r>
              <w:rPr>
                <w:rFonts w:ascii="Arial" w:cs="Arial" w:eastAsia="Arial" w:hAnsi="Arial"/>
                <w:sz w:val="18"/>
                <w:szCs w:val="18"/>
                <w:color w:val="auto"/>
              </w:rPr>
              <w:t>30 Days</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CompX</w:t>
            </w:r>
          </w:p>
        </w:tc>
        <w:tc>
          <w:tcPr>
            <w:tcW w:w="17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36 Days</w:t>
            </w: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33 Days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Days</w:t>
            </w: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shown below, our average number of days in inventory increased from December 31, 2020 to December 31, 2021 due to increased raw material and production costs as well as increased purchases of certain components and raw materials that have longer lead times or for which we have experienced availability issues. For comparative purposes, we have provided 2019 numbers below.</w:t>
      </w:r>
    </w:p>
    <w:p>
      <w:pPr>
        <w:spacing w:after="0" w:line="196"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800" w:type="dxa"/>
            <w:vAlign w:val="bottom"/>
            <w:gridSpan w:val="2"/>
          </w:tcPr>
          <w:p>
            <w:pPr>
              <w:ind w:left="50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92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Days in Inventory:</w:t>
            </w: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209"/>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Days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75 Days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Days</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Marine Components</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100 Days</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75 Days</w:t>
            </w:r>
          </w:p>
        </w:tc>
        <w:tc>
          <w:tcPr>
            <w:tcW w:w="1140" w:type="dxa"/>
            <w:vAlign w:val="bottom"/>
          </w:tcPr>
          <w:p>
            <w:pPr>
              <w:jc w:val="right"/>
              <w:spacing w:after="0"/>
              <w:rPr>
                <w:sz w:val="20"/>
                <w:szCs w:val="20"/>
                <w:color w:val="auto"/>
              </w:rPr>
            </w:pPr>
            <w:r>
              <w:rPr>
                <w:rFonts w:ascii="Arial" w:cs="Arial" w:eastAsia="Arial" w:hAnsi="Arial"/>
                <w:sz w:val="18"/>
                <w:szCs w:val="18"/>
                <w:color w:val="auto"/>
              </w:rPr>
              <w:t>97 Days</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Consolidated CompX</w:t>
            </w: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 Days</w:t>
            </w: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75 Days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Days</w:t>
            </w:r>
          </w:p>
        </w:tc>
      </w:tr>
    </w:tbl>
    <w:p>
      <w:pPr>
        <w:spacing w:after="0" w:line="20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Capital expenditures have primarily emphasized improving our manufacturing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in manufacturing equipment, utilizing new technologies and increased automation of the manufacturing process, to provide for increased productivity and efficiency in order to meet expected customer demand and properly maintain our facilities and technology infrastructure. Capital expenditures were $3.2 million in 2019, $1.7 million in 2020 and $4.1 million in 2021. As a result of the COVID-19 pandemic, we limited 2020 expenditures to those required to meet our expected customer demand and those required to properly maintain our facilities and technology infrastructure. Our 2021 capital expenditures increased above pre-pandemic levels as we accelerated the timeline for certain projects designed to increase capacity and improve our capabilities in response to strong customer demand. See Note 2 to our Consolidated Financial Statements.</w:t>
      </w:r>
    </w:p>
    <w:p>
      <w:pPr>
        <w:spacing w:after="0" w:line="196"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expect our capital expenditures for 2022 will be approximately $6.7 million primarily to increase our capacity and address our capability needs as well as maintain and improve the cost-effectiveness of our facilities, equipment and technology infrastructure. Capital spending for 2022 is expected to be funded through cash on hand and cash generated from operations.</w:t>
      </w:r>
    </w:p>
    <w:p>
      <w:pPr>
        <w:spacing w:after="0" w:line="18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have entered into an unsecured revolving demand promissory note with Valhi under which, as amended, we have agreed to loan Valhi up to $30 million. Our loan to Valhi, as amended, bears interest at prime rate plus 1.00%, payable quarterly, with all principal due on demand, but in any event no earlier than December 31, 2023. Loans made to Valhi at any time under the agreement are at our discretion. Under the promissory note, Valhi repaid a net $5.9 million in 2019 ($34.9 million of gross borrowings and $40.8 million of gross repayments), borrowed a net $1.4 million in 2020 ($34.8 million of gross borrowings and $33.4 million of gross repayments) and repaid a net $10.8 million in 2021 ($29.8 million of gross borrowings and $40.6 million of gross repayments). See Note 9 to our Consolidated Financial Statements.</w:t>
      </w:r>
    </w:p>
    <w:p>
      <w:pPr>
        <w:spacing w:after="0" w:line="16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dividends paid totaled $3.5 million ($.28 per share, or $.07 per share per quarter) in</w:t>
      </w:r>
      <w:r>
        <w:rPr>
          <w:rFonts w:ascii="Arial" w:cs="Arial" w:eastAsia="Arial" w:hAnsi="Arial"/>
          <w:sz w:val="17"/>
          <w:szCs w:val="17"/>
          <w:i w:val="1"/>
          <w:iCs w:val="1"/>
          <w:color w:val="auto"/>
        </w:rPr>
        <w:t xml:space="preserve"> </w:t>
      </w:r>
      <w:r>
        <w:rPr>
          <w:rFonts w:ascii="Arial" w:cs="Arial" w:eastAsia="Arial" w:hAnsi="Arial"/>
          <w:sz w:val="17"/>
          <w:szCs w:val="17"/>
          <w:color w:val="auto"/>
        </w:rPr>
        <w:t>2019, $5.0 million ($.40 per share, or $.10 per share per quarter) in 2020, and $9.9 million ($.80 per share, or $.20 per share per quarter) in 2021. On March 2, 2022 our board of directors declared a first quarter 2022 dividend of $.25 per share, to be paid on March 22, 2022 to CompX stockholders of record as of March 14, 2022.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addition, during 2021, we acquired 75,000 shares of our Class A common stock in market transactions for $1.3</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b w:val="1"/>
          <w:bCs w:val="1"/>
          <w:i w:val="1"/>
          <w:iCs w:val="1"/>
          <w:color w:val="auto"/>
        </w:rPr>
        <w:t>Future Cash Requirements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believe cash generated from operations together with cash on hand will be sufficient to meet our liquidity needs for working capital, capital expenditures, debt service and dividends (if declared) for the next twelve months and our long term obligations for the next five years. To the extent that actual operating results or other developments differ materially from our expectations, our liquidity could be adversely affected.</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All of our $76.6 million aggregate cash and cash equivalents at December 31, 2021 were held in the U.S.</w:t>
      </w:r>
    </w:p>
    <w:p>
      <w:pPr>
        <w:spacing w:after="0" w:line="23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periodically evaluate our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repurchase shares of our common stock,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more fully described in the notes to the Consolidated Financial Statements, we are a party to various agreements that contractually and unconditionally commit us to pay certain amounts in the future. See Note 10 to our Consolidated Financial Statements. Additionally, we have purchase obligations of $30.7 million ($30.1 million payable in 2022 and $.6 million payable in 2023) which consists of open purchase orders and contractual obligations, primarily commitments to purchase raw materials and for capital projects in process at December 31, 2021. The timing and amount for purchase obligations are based on the contractual payment amount and the contractual payment date for those commitments.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are exposed to market risk from changes in interest rates and raw materials prices.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Interest rates</w:t>
      </w:r>
      <w:r>
        <w:rPr>
          <w:rFonts w:ascii="Arial" w:cs="Arial" w:eastAsia="Arial" w:hAnsi="Arial"/>
          <w:sz w:val="18"/>
          <w:szCs w:val="18"/>
          <w:color w:val="auto"/>
        </w:rPr>
        <w:t>. We are exposed to market risk from changes in interest rates, primarily related to our note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from affiliate. The outstanding principal amount of the note receivable from affiliate of $18.7 million at December 31, 2021 bears interest at prime plus 1.0% (4.25% at December 31, 2021). We received interest income of $1.2 million from the note during 2021.</w:t>
      </w:r>
    </w:p>
    <w:p>
      <w:pPr>
        <w:spacing w:after="0" w:line="18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i w:val="1"/>
          <w:iCs w:val="1"/>
          <w:color w:val="auto"/>
        </w:rPr>
        <w:t xml:space="preserve">Raw materials. </w:t>
      </w:r>
      <w:r>
        <w:rPr>
          <w:rFonts w:ascii="Arial" w:cs="Arial" w:eastAsia="Arial" w:hAnsi="Arial"/>
          <w:sz w:val="16"/>
          <w:szCs w:val="16"/>
          <w:color w:val="auto"/>
        </w:rPr>
        <w:t>We will occasionally enter into short term commodity-related raw material supply arrangements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mitigate the impact of future increases in commodity-related raw material costs. We do not have long-term supply agreements for our raw material requirements because either we believe the risk of unavailability of those raw materials is low and we believe the downside risk of price volatility to be too great or because long-term supply agreements for those materials are generally not available. We do not engage in commodity raw material hedging programs.</w:t>
      </w:r>
    </w:p>
    <w:p>
      <w:pPr>
        <w:spacing w:after="0" w:line="157"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information called for by this Item is contained in a separate section of this Annual Report. See “Index of Financial Statements” (page F-1).</w:t>
      </w:r>
    </w:p>
    <w:p>
      <w:pPr>
        <w:spacing w:after="0" w:line="166" w:lineRule="exact"/>
        <w:rPr>
          <w:sz w:val="20"/>
          <w:szCs w:val="20"/>
          <w:color w:val="auto"/>
        </w:rPr>
      </w:pPr>
    </w:p>
    <w:p>
      <w:pPr>
        <w:ind w:left="1340" w:right="45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21" w:name="page22"/>
    <w:bookmarkEnd w:id="21"/>
    <w:p>
      <w:pPr>
        <w:ind w:left="60"/>
        <w:spacing w:after="0"/>
        <w:tabs>
          <w:tab w:leader="none" w:pos="13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We maintain disclosure controls and procedures which,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Michael S. Simmons, our Senior Vice President and Chief Financial Officer, has evaluated the design and operating effectiveness of our disclosure controls and procedures as of December 31, 2021. Based upon their evaluation, these executive officers have concluded that our disclosure controls and procedures are effective as of the date of such evaluation.</w:t>
      </w:r>
    </w:p>
    <w:p>
      <w:pPr>
        <w:spacing w:after="0" w:line="16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color w:val="auto"/>
        </w:rPr>
        <w:t xml:space="preserve">Management’s Report on Internal Control Over Financial Reporting. </w:t>
      </w:r>
      <w:r>
        <w:rPr>
          <w:rFonts w:ascii="Arial" w:cs="Arial" w:eastAsia="Arial" w:hAnsi="Arial"/>
          <w:sz w:val="18"/>
          <w:szCs w:val="18"/>
          <w:color w:val="auto"/>
        </w:rPr>
        <w:t>Our management is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establishing and maintaining 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193" w:lineRule="exact"/>
        <w:rPr>
          <w:sz w:val="20"/>
          <w:szCs w:val="20"/>
          <w:color w:val="auto"/>
        </w:rPr>
      </w:pPr>
    </w:p>
    <w:p>
      <w:pPr>
        <w:ind w:left="720" w:right="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183"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our consolidated financial statements.</w:t>
      </w:r>
    </w:p>
    <w:p>
      <w:pPr>
        <w:spacing w:after="0" w:line="14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evaluation of the effectiveness of our internal control over financial reporting is based upon the framework established in Internal Control – Integrated Framework issued by the Committee of Sponsoring Organizations of the Treadway Commission in 2013 (commonly referred to as the “2013 COSO” framework). Based on our evaluation under that framework, our management has concluded that our internal control over financial reporting was effective as of December 31, 2021.</w:t>
      </w:r>
    </w:p>
    <w:p>
      <w:pPr>
        <w:spacing w:after="0" w:line="188"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This annual report does not include an attestation report of our registered public accounting firm regarding internal control over financial reporting. Management’s report was not subject to attestation by our registered public accounting firm pursuant to rules of the SEC that permit us to provide only management’s report in this annual report.</w:t>
      </w:r>
    </w:p>
    <w:p>
      <w:pPr>
        <w:spacing w:after="0" w:line="161"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8"/>
          <w:szCs w:val="18"/>
          <w:b w:val="1"/>
          <w:bCs w:val="1"/>
          <w:color w:val="auto"/>
        </w:rPr>
        <w:t>Changes in Internal Control Over Financial Reporting</w:t>
      </w:r>
      <w:r>
        <w:rPr>
          <w:rFonts w:ascii="Arial" w:cs="Arial" w:eastAsia="Arial" w:hAnsi="Arial"/>
          <w:sz w:val="18"/>
          <w:szCs w:val="18"/>
          <w:color w:val="auto"/>
        </w:rPr>
        <w:t>. There have been no changes in our internal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over financial reporting during the quarter ended December 31, 2021 that have materially affected, or are reasonably likely to materially affect, our internal control over financial reporting.</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b w:val="1"/>
          <w:bCs w:val="1"/>
          <w:color w:val="auto"/>
        </w:rPr>
        <w:t xml:space="preserve">Certifications. </w:t>
      </w:r>
      <w:r>
        <w:rPr>
          <w:rFonts w:ascii="Arial" w:cs="Arial" w:eastAsia="Arial" w:hAnsi="Arial"/>
          <w:sz w:val="18"/>
          <w:szCs w:val="18"/>
          <w:color w:val="auto"/>
        </w:rPr>
        <w:t>Our chief executive officer and chief financial officer are required to, among other things,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file a certification with the SEC regarding the quality of our public disclosures, as required by Section 302 of the Sarbanes-Oxley Act of 2002. We have filed the certifications for the quarter ended December 31, 2021 as exhibits 31.1 and 31.2 to this Annual Report on Form 10-K.</w:t>
      </w:r>
    </w:p>
    <w:p>
      <w:pPr>
        <w:spacing w:after="0" w:line="18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2" w:name="page23"/>
    <w:bookmarkEnd w:id="22"/>
    <w:p>
      <w:pPr>
        <w:ind w:left="60"/>
        <w:spacing w:after="0"/>
        <w:tabs>
          <w:tab w:leader="none" w:pos="13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JURSIDICTIONS THAT PREVENT INSPECTIONS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with the Securities and Exchange Commission pursuant to Regulation 14A within 120 days after the end of the fiscal year covered by this report (“Proxy Statement”).</w:t>
      </w:r>
    </w:p>
    <w:p>
      <w:pPr>
        <w:spacing w:after="0" w:line="18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21" w:lineRule="exact"/>
        <w:rPr>
          <w:sz w:val="20"/>
          <w:szCs w:val="20"/>
          <w:color w:val="auto"/>
        </w:rPr>
      </w:pPr>
    </w:p>
    <w:p>
      <w:pPr>
        <w:ind w:left="1340" w:right="13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21" w:lineRule="exact"/>
        <w:rPr>
          <w:sz w:val="20"/>
          <w:szCs w:val="20"/>
          <w:color w:val="auto"/>
        </w:rPr>
      </w:pPr>
    </w:p>
    <w:p>
      <w:pPr>
        <w:ind w:left="1340" w:right="109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66"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See also Note 9 to the Consolidated Financial Statements.</w:t>
      </w:r>
    </w:p>
    <w:p>
      <w:pPr>
        <w:spacing w:after="0" w:line="166"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and (c) Financial Statements</w:t>
      </w:r>
    </w:p>
    <w:p>
      <w:pPr>
        <w:spacing w:after="0" w:line="225" w:lineRule="exact"/>
        <w:rPr>
          <w:sz w:val="20"/>
          <w:szCs w:val="20"/>
          <w:color w:val="auto"/>
        </w:rPr>
      </w:pPr>
    </w:p>
    <w:p>
      <w:pPr>
        <w:jc w:val="both"/>
        <w:ind w:left="500" w:right="79"/>
        <w:spacing w:after="0" w:line="277" w:lineRule="auto"/>
        <w:rPr>
          <w:sz w:val="20"/>
          <w:szCs w:val="20"/>
          <w:color w:val="auto"/>
        </w:rPr>
      </w:pPr>
      <w:r>
        <w:rPr>
          <w:rFonts w:ascii="Arial" w:cs="Arial" w:eastAsia="Arial" w:hAnsi="Arial"/>
          <w:sz w:val="18"/>
          <w:szCs w:val="18"/>
          <w:color w:val="auto"/>
        </w:rPr>
        <w:t>The consolidated financial statements listed on the accompanying Index of Financial Statements (see page F-1) are filed as part of this Annual Report.</w:t>
      </w:r>
    </w:p>
    <w:p>
      <w:pPr>
        <w:spacing w:after="0" w:line="170" w:lineRule="exact"/>
        <w:rPr>
          <w:sz w:val="20"/>
          <w:szCs w:val="20"/>
          <w:color w:val="auto"/>
        </w:rPr>
      </w:pPr>
    </w:p>
    <w:p>
      <w:pPr>
        <w:jc w:val="both"/>
        <w:ind w:left="500" w:right="59"/>
        <w:spacing w:after="0" w:line="342" w:lineRule="auto"/>
        <w:rPr>
          <w:sz w:val="20"/>
          <w:szCs w:val="20"/>
          <w:color w:val="auto"/>
        </w:rPr>
      </w:pPr>
      <w:r>
        <w:rPr>
          <w:rFonts w:ascii="Arial" w:cs="Arial" w:eastAsia="Arial" w:hAnsi="Arial"/>
          <w:sz w:val="16"/>
          <w:szCs w:val="16"/>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jc w:val="both"/>
        <w:ind w:left="500" w:right="59"/>
        <w:spacing w:after="0" w:line="254" w:lineRule="auto"/>
        <w:rPr>
          <w:sz w:val="20"/>
          <w:szCs w:val="20"/>
          <w:color w:val="auto"/>
        </w:rPr>
      </w:pPr>
      <w:r>
        <w:rPr>
          <w:rFonts w:ascii="Arial" w:cs="Arial" w:eastAsia="Arial" w:hAnsi="Arial"/>
          <w:sz w:val="18"/>
          <w:szCs w:val="18"/>
          <w:color w:val="auto"/>
        </w:rPr>
        <w:t>We have retained a signed original of any of these exhibits that contain signatures, and we will provide such exhibits to the Commission or its staff. Included as exhibits are the items listed in the Exhibit Index. We, upon request, will furnish a copy of any of the exhibits listed below upon payment of $4.00 per exhibit to cover our costs of furnishing the exhibits. Instruments defining the rights of holders of long-term debt issues which do not exceed 10% of consolidated total assets will be furnished to the Commission upon request. Such requests should be directed to the attention of our Corporate Secretary at our corporate offices located at 5430 LBJ Freeway, Suite 1700, Dallas, Texas 75240.</w:t>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w w:val="91"/>
              </w:rPr>
              <w:t>Item No.</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340" w:type="dxa"/>
            <w:vAlign w:val="bottom"/>
            <w:gridSpan w:val="20"/>
          </w:tcPr>
          <w:p>
            <w:pPr>
              <w:spacing w:after="0"/>
              <w:rPr>
                <w:sz w:val="20"/>
                <w:szCs w:val="20"/>
                <w:color w:val="auto"/>
              </w:rPr>
            </w:pPr>
            <w:r>
              <w:rPr>
                <w:rFonts w:ascii="Arial" w:cs="Arial" w:eastAsia="Arial" w:hAnsi="Arial"/>
                <w:sz w:val="18"/>
                <w:szCs w:val="18"/>
                <w:color w:val="auto"/>
              </w:rPr>
              <w:t>Exhibit Item</w:t>
            </w:r>
          </w:p>
        </w:tc>
      </w:tr>
      <w:tr>
        <w:trPr>
          <w:trHeight w:val="20"/>
        </w:trPr>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24"/>
                <w:szCs w:val="24"/>
                <w:color w:val="auto"/>
              </w:rPr>
            </w:pPr>
          </w:p>
        </w:tc>
        <w:tc>
          <w:tcPr>
            <w:tcW w:w="7460" w:type="dxa"/>
            <w:vAlign w:val="bottom"/>
            <w:tcBorders>
              <w:bottom w:val="single" w:sz="8" w:color="0000EE"/>
            </w:tcBorders>
            <w:gridSpan w:val="15"/>
          </w:tcPr>
          <w:p>
            <w:pPr>
              <w:spacing w:after="0"/>
              <w:rPr>
                <w:rFonts w:ascii="Arial" w:cs="Arial" w:eastAsia="Arial" w:hAnsi="Arial"/>
                <w:sz w:val="18"/>
                <w:szCs w:val="18"/>
                <w:color w:val="0000EE"/>
                <w:w w:val="90"/>
              </w:rPr>
            </w:pPr>
            <w:hyperlink r:id="rId39">
              <w:r>
                <w:rPr>
                  <w:rFonts w:ascii="Arial" w:cs="Arial" w:eastAsia="Arial" w:hAnsi="Arial"/>
                  <w:sz w:val="18"/>
                  <w:szCs w:val="18"/>
                  <w:color w:val="0000EE"/>
                  <w:w w:val="90"/>
                </w:rPr>
                <w:t>Second Amended and Restated Certificate of Incorporation of Registrant – incorporated by reference to</w:t>
              </w:r>
            </w:hyperlink>
          </w:p>
        </w:tc>
        <w:tc>
          <w:tcPr>
            <w:tcW w:w="340" w:type="dxa"/>
            <w:vAlign w:val="bottom"/>
            <w:gridSpan w:val="8"/>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Exhibit 3.1 of the Registrant’s Quarterly Report on Form 10-Q for quarter ended June 30, 2018.</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24"/>
                <w:szCs w:val="24"/>
                <w:color w:val="auto"/>
              </w:rPr>
            </w:pPr>
          </w:p>
        </w:tc>
        <w:tc>
          <w:tcPr>
            <w:tcW w:w="7580" w:type="dxa"/>
            <w:vAlign w:val="bottom"/>
            <w:tcBorders>
              <w:bottom w:val="single" w:sz="8" w:color="0000EE"/>
            </w:tcBorders>
            <w:gridSpan w:val="17"/>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Certificate of Retirement – incorporated by reference to Exhibit 3.1 of the Registrant’s Current Report on</w:t>
              </w:r>
            </w:hyperlink>
          </w:p>
        </w:tc>
        <w:tc>
          <w:tcPr>
            <w:tcW w:w="220" w:type="dxa"/>
            <w:vAlign w:val="bottom"/>
            <w:gridSpan w:val="6"/>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Form 8-K filed November 5, 2018.</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320" w:type="dxa"/>
            <w:vAlign w:val="bottom"/>
          </w:tcPr>
          <w:p>
            <w:pPr>
              <w:spacing w:after="0"/>
              <w:rPr>
                <w:sz w:val="24"/>
                <w:szCs w:val="24"/>
                <w:color w:val="auto"/>
              </w:rPr>
            </w:pPr>
          </w:p>
        </w:tc>
        <w:tc>
          <w:tcPr>
            <w:tcW w:w="7800" w:type="dxa"/>
            <w:vAlign w:val="bottom"/>
            <w:gridSpan w:val="23"/>
          </w:tcPr>
          <w:p>
            <w:pPr>
              <w:spacing w:after="0"/>
              <w:rPr>
                <w:rFonts w:ascii="Arial" w:cs="Arial" w:eastAsia="Arial" w:hAnsi="Arial"/>
                <w:sz w:val="18"/>
                <w:szCs w:val="18"/>
                <w:color w:val="0000EE"/>
              </w:rPr>
            </w:pPr>
            <w:hyperlink r:id="rId41">
              <w:r>
                <w:rPr>
                  <w:rFonts w:ascii="Arial" w:cs="Arial" w:eastAsia="Arial" w:hAnsi="Arial"/>
                  <w:sz w:val="18"/>
                  <w:szCs w:val="18"/>
                  <w:color w:val="0000EE"/>
                </w:rPr>
                <w:t>Amended and Restated Bylaws of Registrant, adopted by the Board of Directors March 3, 2021 –</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74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incorporated by reference to Exhibit 3.3 of the Registrant’s Annual Report on Form 10-K filed on March 3,</w:t>
              </w:r>
            </w:hyperlink>
          </w:p>
        </w:tc>
        <w:tc>
          <w:tcPr>
            <w:tcW w:w="60" w:type="dxa"/>
            <w:vAlign w:val="bottom"/>
            <w:gridSpan w:val="2"/>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720" w:type="dxa"/>
            <w:vAlign w:val="bottom"/>
            <w:gridSpan w:val="2"/>
          </w:tcPr>
          <w:p>
            <w:pPr>
              <w:ind w:left="320"/>
              <w:spacing w:after="0" w:line="196" w:lineRule="exact"/>
              <w:rPr>
                <w:rFonts w:ascii="Arial" w:cs="Arial" w:eastAsia="Arial" w:hAnsi="Arial"/>
                <w:sz w:val="18"/>
                <w:szCs w:val="18"/>
                <w:color w:val="0000EE"/>
                <w:w w:val="84"/>
              </w:rPr>
            </w:pPr>
            <w:hyperlink r:id="rId41">
              <w:r>
                <w:rPr>
                  <w:rFonts w:ascii="Arial" w:cs="Arial" w:eastAsia="Arial" w:hAnsi="Arial"/>
                  <w:sz w:val="18"/>
                  <w:szCs w:val="18"/>
                  <w:color w:val="0000EE"/>
                  <w:w w:val="84"/>
                </w:rPr>
                <w:t>2021.</w:t>
              </w:r>
            </w:hyperlink>
          </w:p>
        </w:tc>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7800" w:type="dxa"/>
            <w:vAlign w:val="bottom"/>
            <w:tcBorders>
              <w:bottom w:val="single" w:sz="8" w:color="0000EE"/>
            </w:tcBorders>
            <w:gridSpan w:val="23"/>
          </w:tcPr>
          <w:p>
            <w:pP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Description of Capital Stock – incorporated by reference to Exhibit 4.1 of the Registrant’s Annual Report on</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Form 10-K for the year ended December 31, 2019 filed on February 26, 2020.</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24"/>
                <w:szCs w:val="24"/>
                <w:color w:val="auto"/>
              </w:rPr>
            </w:pPr>
          </w:p>
        </w:tc>
        <w:tc>
          <w:tcPr>
            <w:tcW w:w="7740" w:type="dxa"/>
            <w:vAlign w:val="bottom"/>
            <w:tcBorders>
              <w:bottom w:val="single" w:sz="8" w:color="0000EE"/>
            </w:tcBorders>
            <w:gridSpan w:val="21"/>
          </w:tcPr>
          <w:p>
            <w:pPr>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Intercorporate Services Agreement between the Registrant and Contran Corporation effective as of January</w:t>
              </w:r>
            </w:hyperlink>
          </w:p>
        </w:tc>
        <w:tc>
          <w:tcPr>
            <w:tcW w:w="60" w:type="dxa"/>
            <w:vAlign w:val="bottom"/>
            <w:gridSpan w:val="2"/>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7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1, 2004 – incorporated by reference to Exhibit 10.2 of the Registrant’s Annual Report on Form 10-K for the</w:t>
              </w:r>
            </w:hyperlink>
          </w:p>
        </w:tc>
        <w:tc>
          <w:tcPr>
            <w:tcW w:w="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year ended December 31, 2003 filed on March 4, 2004.</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99"/>
              </w:rPr>
              <w:t>10.2*</w:t>
            </w:r>
          </w:p>
        </w:tc>
        <w:tc>
          <w:tcPr>
            <w:tcW w:w="320" w:type="dxa"/>
            <w:vAlign w:val="bottom"/>
          </w:tcPr>
          <w:p>
            <w:pPr>
              <w:spacing w:after="0"/>
              <w:rPr>
                <w:sz w:val="24"/>
                <w:szCs w:val="24"/>
                <w:color w:val="auto"/>
              </w:rPr>
            </w:pPr>
          </w:p>
        </w:tc>
        <w:tc>
          <w:tcPr>
            <w:tcW w:w="7800" w:type="dxa"/>
            <w:vAlign w:val="bottom"/>
            <w:gridSpan w:val="23"/>
          </w:tcPr>
          <w:p>
            <w:pPr>
              <w:spacing w:after="0"/>
              <w:rPr>
                <w:rFonts w:ascii="Arial" w:cs="Arial" w:eastAsia="Arial" w:hAnsi="Arial"/>
                <w:sz w:val="18"/>
                <w:szCs w:val="18"/>
                <w:color w:val="0000EE"/>
                <w:w w:val="97"/>
              </w:rPr>
            </w:pPr>
            <w:hyperlink r:id="rId44">
              <w:r>
                <w:rPr>
                  <w:rFonts w:ascii="Arial" w:cs="Arial" w:eastAsia="Arial" w:hAnsi="Arial"/>
                  <w:sz w:val="18"/>
                  <w:szCs w:val="18"/>
                  <w:color w:val="0000EE"/>
                  <w:w w:val="97"/>
                </w:rPr>
                <w:t>CompX International Inc. 2012 Director Stock Plan – incorporated by reference to Exhibit 10.2 of the</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Registrant’s Annual Report on Form 10-K for the year ended December 31, 2012 filed on March 6, 2013.</w:t>
              </w:r>
            </w:hyperlink>
          </w:p>
        </w:tc>
        <w:tc>
          <w:tcPr>
            <w:tcW w:w="200" w:type="dxa"/>
            <w:vAlign w:val="bottom"/>
            <w:gridSpan w:val="5"/>
          </w:tcPr>
          <w:p>
            <w:pPr>
              <w:spacing w:after="0"/>
              <w:rPr>
                <w:sz w:val="17"/>
                <w:szCs w:val="17"/>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320" w:type="dxa"/>
            <w:vAlign w:val="bottom"/>
          </w:tcPr>
          <w:p>
            <w:pPr>
              <w:spacing w:after="0"/>
              <w:rPr>
                <w:sz w:val="24"/>
                <w:szCs w:val="24"/>
                <w:color w:val="auto"/>
              </w:rPr>
            </w:pPr>
          </w:p>
        </w:tc>
        <w:tc>
          <w:tcPr>
            <w:tcW w:w="7800" w:type="dxa"/>
            <w:vAlign w:val="bottom"/>
            <w:gridSpan w:val="23"/>
          </w:tcPr>
          <w:p>
            <w:pPr>
              <w:spacing w:after="0"/>
              <w:rPr>
                <w:rFonts w:ascii="Arial" w:cs="Arial" w:eastAsia="Arial" w:hAnsi="Arial"/>
                <w:sz w:val="18"/>
                <w:szCs w:val="18"/>
                <w:color w:val="0000EE"/>
                <w:w w:val="93"/>
              </w:rPr>
            </w:pPr>
            <w:hyperlink r:id="rId45">
              <w:r>
                <w:rPr>
                  <w:rFonts w:ascii="Arial" w:cs="Arial" w:eastAsia="Arial" w:hAnsi="Arial"/>
                  <w:sz w:val="18"/>
                  <w:szCs w:val="18"/>
                  <w:color w:val="0000EE"/>
                  <w:w w:val="93"/>
                </w:rPr>
                <w:t>Tax Sharing Agreement between the Registrant, NL Industries, Inc. and Contran Corporation dated as of</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7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January 1, 2020 – incorporated by reference to Exhibit 10.3 of the Registrant’s Annual Report on Form 10-</w:t>
              </w:r>
            </w:hyperlink>
          </w:p>
        </w:tc>
        <w:tc>
          <w:tcPr>
            <w:tcW w:w="80" w:type="dxa"/>
            <w:vAlign w:val="bottom"/>
            <w:gridSpan w:val="3"/>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K for the year ended December 31, 2019 filed on February 26, 2020.</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320" w:type="dxa"/>
            <w:vAlign w:val="bottom"/>
          </w:tcPr>
          <w:p>
            <w:pPr>
              <w:spacing w:after="0"/>
              <w:rPr>
                <w:sz w:val="24"/>
                <w:szCs w:val="24"/>
                <w:color w:val="auto"/>
              </w:rPr>
            </w:pPr>
          </w:p>
        </w:tc>
        <w:tc>
          <w:tcPr>
            <w:tcW w:w="7800" w:type="dxa"/>
            <w:vAlign w:val="bottom"/>
            <w:gridSpan w:val="23"/>
          </w:tcPr>
          <w:p>
            <w:pPr>
              <w:spacing w:after="0"/>
              <w:rPr>
                <w:rFonts w:ascii="Arial" w:cs="Arial" w:eastAsia="Arial" w:hAnsi="Arial"/>
                <w:sz w:val="18"/>
                <w:szCs w:val="18"/>
                <w:color w:val="0000EE"/>
                <w:w w:val="93"/>
              </w:rPr>
            </w:pPr>
            <w:hyperlink r:id="rId46">
              <w:r>
                <w:rPr>
                  <w:rFonts w:ascii="Arial" w:cs="Arial" w:eastAsia="Arial" w:hAnsi="Arial"/>
                  <w:sz w:val="18"/>
                  <w:szCs w:val="18"/>
                  <w:color w:val="0000EE"/>
                  <w:w w:val="93"/>
                </w:rPr>
                <w:t>Second Amended and Restated Agreement Regarding Shared Insurance among the Registrant, Contran</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20" w:type="dxa"/>
            <w:vAlign w:val="bottom"/>
            <w:tcBorders>
              <w:top w:val="single" w:sz="8" w:color="0000EE"/>
            </w:tcBorders>
            <w:gridSpan w:val="14"/>
          </w:tcPr>
          <w:p>
            <w:pPr>
              <w:spacing w:after="0" w:line="196" w:lineRule="exact"/>
              <w:rPr>
                <w:rFonts w:ascii="Arial" w:cs="Arial" w:eastAsia="Arial" w:hAnsi="Arial"/>
                <w:sz w:val="18"/>
                <w:szCs w:val="18"/>
                <w:color w:val="0000EE"/>
                <w:w w:val="95"/>
              </w:rPr>
            </w:pPr>
            <w:hyperlink r:id="rId46">
              <w:r>
                <w:rPr>
                  <w:rFonts w:ascii="Arial" w:cs="Arial" w:eastAsia="Arial" w:hAnsi="Arial"/>
                  <w:sz w:val="18"/>
                  <w:szCs w:val="18"/>
                  <w:color w:val="0000EE"/>
                  <w:w w:val="95"/>
                </w:rPr>
                <w:t>Corporation, Kronos Worldwide, Inc., NL Industries, Inc., and Valhi, Inc. dated January 25, 2019 –</w:t>
              </w:r>
            </w:hyperlink>
          </w:p>
        </w:tc>
        <w:tc>
          <w:tcPr>
            <w:tcW w:w="380" w:type="dxa"/>
            <w:vAlign w:val="bottom"/>
            <w:gridSpan w:val="9"/>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color w:val="0000EE"/>
                <w:w w:val="96"/>
              </w:rPr>
            </w:pPr>
            <w:hyperlink r:id="rId46">
              <w:r>
                <w:rPr>
                  <w:rFonts w:ascii="Arial" w:cs="Arial" w:eastAsia="Arial" w:hAnsi="Arial"/>
                  <w:sz w:val="18"/>
                  <w:szCs w:val="18"/>
                  <w:color w:val="0000EE"/>
                  <w:w w:val="96"/>
                </w:rPr>
                <w:t>incorporated by reference to Exhibit 10.4 of the Registrant’s Annual Report on Form 10-K for the year</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ended December 31, 2018 filed on February 27, 2019.</w:t>
              </w:r>
            </w:hyperlink>
          </w:p>
        </w:tc>
        <w:tc>
          <w:tcPr>
            <w:tcW w:w="3480" w:type="dxa"/>
            <w:vAlign w:val="bottom"/>
            <w:tcBorders>
              <w:top w:val="single" w:sz="8" w:color="0000EE"/>
            </w:tcBorders>
            <w:gridSpan w:val="9"/>
          </w:tcPr>
          <w:p>
            <w:pPr>
              <w:spacing w:after="0"/>
              <w:rPr>
                <w:sz w:val="17"/>
                <w:szCs w:val="17"/>
                <w:color w:val="auto"/>
              </w:rPr>
            </w:pPr>
          </w:p>
        </w:tc>
        <w:tc>
          <w:tcPr>
            <w:tcW w:w="420" w:type="dxa"/>
            <w:vAlign w:val="bottom"/>
            <w:gridSpan w:val="10"/>
          </w:tcPr>
          <w:p>
            <w:pPr>
              <w:spacing w:after="0"/>
              <w:rPr>
                <w:sz w:val="17"/>
                <w:szCs w:val="17"/>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77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Unsecured Revolving Demand Promissory Note dated December 31, 2021 in the original principal amount</w:t>
              </w:r>
            </w:hyperlink>
          </w:p>
        </w:tc>
        <w:tc>
          <w:tcPr>
            <w:tcW w:w="100" w:type="dxa"/>
            <w:vAlign w:val="bottom"/>
            <w:gridSpan w:val="4"/>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 xml:space="preserve">of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30 million executed by Valhi, Inc. and payable to the Registrant.</w:t>
              </w:r>
            </w:hyperlink>
          </w:p>
        </w:tc>
        <w:tc>
          <w:tcPr>
            <w:tcW w:w="2860" w:type="dxa"/>
            <w:vAlign w:val="bottom"/>
            <w:gridSpan w:val="16"/>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Item No.</w:t>
            </w: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Exhibit Item</w:t>
            </w:r>
          </w:p>
        </w:tc>
      </w:tr>
      <w:tr>
        <w:trPr>
          <w:trHeight w:val="20"/>
        </w:trPr>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10.6*</w:t>
            </w:r>
          </w:p>
        </w:tc>
        <w:tc>
          <w:tcPr>
            <w:tcW w:w="320" w:type="dxa"/>
            <w:vAlign w:val="bottom"/>
          </w:tcPr>
          <w:p>
            <w:pPr>
              <w:spacing w:after="0"/>
              <w:rPr>
                <w:sz w:val="17"/>
                <w:szCs w:val="17"/>
                <w:color w:val="auto"/>
              </w:rPr>
            </w:pPr>
          </w:p>
        </w:tc>
        <w:tc>
          <w:tcPr>
            <w:tcW w:w="77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Form of Indemnification Agreement – incorporated by reference to Exhibit 10.1 of the Registrant’s Current</w:t>
              </w:r>
            </w:hyperlink>
          </w:p>
        </w:tc>
      </w:tr>
      <w:tr>
        <w:trPr>
          <w:trHeight w:val="196"/>
        </w:trPr>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720" w:type="dxa"/>
            <w:vAlign w:val="bottom"/>
            <w:gridSpan w:val="7"/>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Report on Form 8-K filed May 26, 2016.</w:t>
              </w:r>
            </w:hyperlink>
          </w:p>
        </w:tc>
      </w:tr>
      <w:tr>
        <w:trPr>
          <w:trHeight w:val="412"/>
        </w:trPr>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4"/>
                <w:szCs w:val="24"/>
                <w:color w:val="auto"/>
              </w:rPr>
            </w:pPr>
          </w:p>
        </w:tc>
        <w:tc>
          <w:tcPr>
            <w:tcW w:w="2940" w:type="dxa"/>
            <w:vAlign w:val="bottom"/>
            <w:tcBorders>
              <w:top w:val="single" w:sz="8" w:color="0000EE"/>
            </w:tcBorders>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Subsidiaries of the Registrant.</w:t>
              </w:r>
            </w:hyperlink>
          </w:p>
        </w:tc>
        <w:tc>
          <w:tcPr>
            <w:tcW w:w="4780" w:type="dxa"/>
            <w:vAlign w:val="bottom"/>
            <w:gridSpan w:val="4"/>
          </w:tcPr>
          <w:p>
            <w:pPr>
              <w:spacing w:after="0"/>
              <w:rPr>
                <w:sz w:val="24"/>
                <w:szCs w:val="24"/>
                <w:color w:val="auto"/>
              </w:rPr>
            </w:pPr>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r>
      <w:tr>
        <w:trPr>
          <w:trHeight w:val="412"/>
        </w:trPr>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772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Consent of PricewaterhouseCoopers LLP.</w:t>
              </w:r>
            </w:hyperlink>
          </w:p>
        </w:tc>
      </w:tr>
      <w:tr>
        <w:trPr>
          <w:trHeight w:val="412"/>
        </w:trPr>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3000" w:type="dxa"/>
            <w:vAlign w:val="bottom"/>
            <w:tcBorders>
              <w:top w:val="single" w:sz="8" w:color="0000EE"/>
            </w:tcBorders>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Certification</w:t>
              </w:r>
            </w:hyperlink>
          </w:p>
        </w:tc>
        <w:tc>
          <w:tcPr>
            <w:tcW w:w="4720" w:type="dxa"/>
            <w:vAlign w:val="bottom"/>
            <w:gridSpan w:val="3"/>
          </w:tcPr>
          <w:p>
            <w:pPr>
              <w:spacing w:after="0"/>
              <w:rPr>
                <w:sz w:val="24"/>
                <w:szCs w:val="24"/>
                <w:color w:val="auto"/>
              </w:rPr>
            </w:pPr>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820" w:type="dxa"/>
            <w:vAlign w:val="bottom"/>
            <w:gridSpan w:val="6"/>
          </w:tcPr>
          <w:p>
            <w:pPr>
              <w:spacing w:after="0" w:line="20" w:lineRule="exact"/>
              <w:rPr>
                <w:sz w:val="1"/>
                <w:szCs w:val="1"/>
                <w:color w:val="auto"/>
              </w:rPr>
            </w:pPr>
          </w:p>
        </w:tc>
      </w:tr>
      <w:tr>
        <w:trPr>
          <w:trHeight w:val="412"/>
        </w:trPr>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7720" w:type="dxa"/>
            <w:vAlign w:val="bottom"/>
            <w:gridSpan w:val="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Certification</w:t>
              </w:r>
            </w:hyperlink>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820" w:type="dxa"/>
            <w:vAlign w:val="bottom"/>
            <w:gridSpan w:val="6"/>
          </w:tcPr>
          <w:p>
            <w:pPr>
              <w:spacing w:after="0" w:line="20" w:lineRule="exact"/>
              <w:rPr>
                <w:sz w:val="1"/>
                <w:szCs w:val="1"/>
                <w:color w:val="auto"/>
              </w:rPr>
            </w:pPr>
          </w:p>
        </w:tc>
      </w:tr>
      <w:tr>
        <w:trPr>
          <w:trHeight w:val="412"/>
        </w:trPr>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772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Certification</w:t>
              </w:r>
            </w:hyperlink>
          </w:p>
        </w:tc>
      </w:tr>
      <w:tr>
        <w:trPr>
          <w:trHeight w:val="20"/>
        </w:trPr>
        <w:tc>
          <w:tcPr>
            <w:tcW w:w="106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820" w:type="dxa"/>
            <w:vAlign w:val="bottom"/>
            <w:gridSpan w:val="6"/>
          </w:tcPr>
          <w:p>
            <w:pPr>
              <w:spacing w:after="0" w:line="20" w:lineRule="exact"/>
              <w:rPr>
                <w:sz w:val="1"/>
                <w:szCs w:val="1"/>
                <w:color w:val="auto"/>
              </w:rPr>
            </w:pPr>
          </w:p>
        </w:tc>
      </w:tr>
      <w:tr>
        <w:trPr>
          <w:trHeight w:val="438"/>
        </w:trPr>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101.INS**</w:t>
            </w:r>
          </w:p>
        </w:tc>
        <w:tc>
          <w:tcPr>
            <w:tcW w:w="7720" w:type="dxa"/>
            <w:vAlign w:val="bottom"/>
            <w:gridSpan w:val="7"/>
          </w:tcPr>
          <w:p>
            <w:pPr>
              <w:spacing w:after="0"/>
              <w:rPr>
                <w:sz w:val="20"/>
                <w:szCs w:val="20"/>
                <w:color w:val="auto"/>
              </w:rPr>
            </w:pPr>
            <w:r>
              <w:rPr>
                <w:rFonts w:ascii="Arial" w:cs="Arial" w:eastAsia="Arial" w:hAnsi="Arial"/>
                <w:sz w:val="18"/>
                <w:szCs w:val="18"/>
                <w:color w:val="auto"/>
                <w:w w:val="94"/>
              </w:rPr>
              <w:t>Inline XBRL Instance – the instance document does not appear in the Interactive Data File because its</w:t>
            </w:r>
          </w:p>
        </w:tc>
      </w:tr>
      <w:tr>
        <w:trPr>
          <w:trHeight w:val="230"/>
        </w:trPr>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20" w:type="dxa"/>
            <w:vAlign w:val="bottom"/>
            <w:gridSpan w:val="7"/>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432"/>
        </w:trPr>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101.SCH**</w:t>
            </w: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w:t>
            </w:r>
          </w:p>
        </w:tc>
      </w:tr>
      <w:tr>
        <w:trPr>
          <w:trHeight w:val="432"/>
        </w:trPr>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rPr>
              <w:t>101.CAL**</w:t>
            </w: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432"/>
        </w:trPr>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w w:val="96"/>
              </w:rPr>
              <w:t>101.DEF**</w:t>
            </w: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432"/>
        </w:trPr>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rPr>
              <w:t>101.LAB**</w:t>
            </w: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432"/>
        </w:trPr>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101.PRE**</w:t>
            </w: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2" w:lineRule="exact"/>
        <w:rPr>
          <w:sz w:val="20"/>
          <w:szCs w:val="20"/>
          <w:color w:val="auto"/>
        </w:rPr>
      </w:pPr>
    </w:p>
    <w:p>
      <w:pPr>
        <w:ind w:left="60" w:right="1379" w:firstLine="294"/>
        <w:spacing w:after="0" w:line="383" w:lineRule="auto"/>
        <w:tabs>
          <w:tab w:leader="none" w:pos="1127"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compensatory plan or agreement.</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3" w:lineRule="exact"/>
        <w:rPr>
          <w:rFonts w:ascii="Arial" w:cs="Arial" w:eastAsia="Arial" w:hAnsi="Arial"/>
          <w:sz w:val="18"/>
          <w:szCs w:val="18"/>
          <w:color w:val="auto"/>
        </w:rPr>
      </w:pPr>
    </w:p>
    <w:p>
      <w:pPr>
        <w:ind w:left="4400" w:hanging="96"/>
        <w:spacing w:after="0"/>
        <w:tabs>
          <w:tab w:leader="none" w:pos="44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920" w:type="dxa"/>
            <w:vAlign w:val="bottom"/>
            <w:gridSpan w:val="2"/>
          </w:tcPr>
          <w:p>
            <w:pPr>
              <w:ind w:left="1480"/>
              <w:spacing w:after="0"/>
              <w:rPr>
                <w:sz w:val="20"/>
                <w:szCs w:val="20"/>
                <w:color w:val="auto"/>
              </w:rPr>
            </w:pPr>
            <w:r>
              <w:rPr>
                <w:rFonts w:ascii="Arial" w:cs="Arial" w:eastAsia="Arial" w:hAnsi="Arial"/>
                <w:sz w:val="18"/>
                <w:szCs w:val="18"/>
                <w:b w:val="1"/>
                <w:bCs w:val="1"/>
                <w:color w:val="auto"/>
              </w:rPr>
              <w:t>COMPX INTERNATIONAL INC.</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 March 2, 2022</w:t>
            </w:r>
          </w:p>
        </w:tc>
        <w:tc>
          <w:tcPr>
            <w:tcW w:w="5920" w:type="dxa"/>
            <w:vAlign w:val="bottom"/>
            <w:gridSpan w:val="2"/>
          </w:tcPr>
          <w:p>
            <w:pPr>
              <w:ind w:left="1480"/>
              <w:spacing w:after="0"/>
              <w:rPr>
                <w:sz w:val="20"/>
                <w:szCs w:val="20"/>
                <w:color w:val="auto"/>
              </w:rPr>
            </w:pPr>
            <w:r>
              <w:rPr>
                <w:rFonts w:ascii="Arial" w:cs="Arial" w:eastAsia="Arial" w:hAnsi="Arial"/>
                <w:sz w:val="18"/>
                <w:szCs w:val="18"/>
                <w:color w:val="auto"/>
              </w:rPr>
              <w:t>By:/s/ Scott C. James</w:t>
            </w:r>
          </w:p>
        </w:tc>
      </w:tr>
      <w:tr>
        <w:trPr>
          <w:trHeight w:val="195"/>
        </w:trPr>
        <w:tc>
          <w:tcPr>
            <w:tcW w:w="2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Scott C. James</w:t>
            </w:r>
          </w:p>
        </w:tc>
      </w:tr>
      <w:tr>
        <w:trPr>
          <w:trHeight w:val="216"/>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and on the dates indicated.</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4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7"/>
              </w:rPr>
              <w:t>Title</w:t>
            </w:r>
          </w:p>
        </w:tc>
        <w:tc>
          <w:tcPr>
            <w:tcW w:w="1460" w:type="dxa"/>
            <w:vAlign w:val="bottom"/>
            <w:gridSpan w:val="3"/>
          </w:tcPr>
          <w:p>
            <w:pPr>
              <w:jc w:val="center"/>
              <w:ind w:left="29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26"/>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Loretta J. Feehan</w:t>
            </w:r>
          </w:p>
        </w:tc>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3"/>
              </w:rPr>
              <w:t>Chair of the Board</w:t>
            </w:r>
          </w:p>
        </w:tc>
        <w:tc>
          <w:tcPr>
            <w:tcW w:w="1460" w:type="dxa"/>
            <w:vAlign w:val="bottom"/>
            <w:gridSpan w:val="3"/>
          </w:tcPr>
          <w:p>
            <w:pPr>
              <w:jc w:val="center"/>
              <w:ind w:left="312"/>
              <w:spacing w:after="0"/>
              <w:rPr>
                <w:sz w:val="20"/>
                <w:szCs w:val="20"/>
                <w:color w:val="auto"/>
              </w:rPr>
            </w:pPr>
            <w:r>
              <w:rPr>
                <w:rFonts w:ascii="Arial" w:cs="Arial" w:eastAsia="Arial" w:hAnsi="Arial"/>
                <w:sz w:val="18"/>
                <w:szCs w:val="18"/>
                <w:color w:val="auto"/>
                <w:w w:val="92"/>
              </w:rPr>
              <w:t>March 2, 2022</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Loretta J. Feehan</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Robert D. Graham</w:t>
            </w:r>
          </w:p>
        </w:tc>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2"/>
              </w:rPr>
              <w:t>Vice Chairman of the Board</w:t>
            </w:r>
          </w:p>
        </w:tc>
        <w:tc>
          <w:tcPr>
            <w:tcW w:w="1460" w:type="dxa"/>
            <w:vAlign w:val="bottom"/>
            <w:gridSpan w:val="3"/>
          </w:tcPr>
          <w:p>
            <w:pPr>
              <w:jc w:val="center"/>
              <w:ind w:left="312"/>
              <w:spacing w:after="0"/>
              <w:rPr>
                <w:sz w:val="20"/>
                <w:szCs w:val="20"/>
                <w:color w:val="auto"/>
              </w:rPr>
            </w:pPr>
            <w:r>
              <w:rPr>
                <w:rFonts w:ascii="Arial" w:cs="Arial" w:eastAsia="Arial" w:hAnsi="Arial"/>
                <w:sz w:val="18"/>
                <w:szCs w:val="18"/>
                <w:color w:val="auto"/>
                <w:w w:val="92"/>
              </w:rPr>
              <w:t>March 2, 2022</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Robert D. Graham</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/s/Scott C. James</w:t>
            </w:r>
          </w:p>
        </w:tc>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460" w:type="dxa"/>
            <w:vAlign w:val="bottom"/>
            <w:gridSpan w:val="3"/>
          </w:tcPr>
          <w:p>
            <w:pPr>
              <w:jc w:val="center"/>
              <w:ind w:left="312"/>
              <w:spacing w:after="0"/>
              <w:rPr>
                <w:sz w:val="20"/>
                <w:szCs w:val="20"/>
                <w:color w:val="auto"/>
              </w:rPr>
            </w:pPr>
            <w:r>
              <w:rPr>
                <w:rFonts w:ascii="Arial" w:cs="Arial" w:eastAsia="Arial" w:hAnsi="Arial"/>
                <w:sz w:val="18"/>
                <w:szCs w:val="18"/>
                <w:color w:val="auto"/>
                <w:w w:val="92"/>
              </w:rPr>
              <w:t>March 2, 2022</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Scott C. James</w:t>
            </w:r>
          </w:p>
        </w:tc>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Michael S. Simmons</w:t>
            </w:r>
          </w:p>
        </w:tc>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2"/>
              </w:rPr>
              <w:t>Senior Vice President, Chief Financial Officer</w:t>
            </w:r>
          </w:p>
        </w:tc>
        <w:tc>
          <w:tcPr>
            <w:tcW w:w="1460" w:type="dxa"/>
            <w:vAlign w:val="bottom"/>
            <w:gridSpan w:val="3"/>
          </w:tcPr>
          <w:p>
            <w:pPr>
              <w:jc w:val="center"/>
              <w:ind w:left="312"/>
              <w:spacing w:after="0"/>
              <w:rPr>
                <w:sz w:val="20"/>
                <w:szCs w:val="20"/>
                <w:color w:val="auto"/>
              </w:rPr>
            </w:pPr>
            <w:r>
              <w:rPr>
                <w:rFonts w:ascii="Arial" w:cs="Arial" w:eastAsia="Arial" w:hAnsi="Arial"/>
                <w:sz w:val="18"/>
                <w:szCs w:val="18"/>
                <w:color w:val="auto"/>
                <w:w w:val="92"/>
              </w:rPr>
              <w:t>March 2, 2022</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Michael S. Simmons</w:t>
            </w:r>
          </w:p>
        </w:tc>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Amy E. Ruf</w:t>
            </w:r>
          </w:p>
        </w:tc>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2"/>
              </w:rPr>
              <w:t>Vice President, Controller</w:t>
            </w:r>
          </w:p>
        </w:tc>
        <w:tc>
          <w:tcPr>
            <w:tcW w:w="1460" w:type="dxa"/>
            <w:vAlign w:val="bottom"/>
            <w:gridSpan w:val="3"/>
          </w:tcPr>
          <w:p>
            <w:pPr>
              <w:jc w:val="center"/>
              <w:ind w:left="312"/>
              <w:spacing w:after="0"/>
              <w:rPr>
                <w:sz w:val="20"/>
                <w:szCs w:val="20"/>
                <w:color w:val="auto"/>
              </w:rPr>
            </w:pPr>
            <w:r>
              <w:rPr>
                <w:rFonts w:ascii="Arial" w:cs="Arial" w:eastAsia="Arial" w:hAnsi="Arial"/>
                <w:sz w:val="18"/>
                <w:szCs w:val="18"/>
                <w:color w:val="auto"/>
                <w:w w:val="92"/>
              </w:rPr>
              <w:t>March 2, 2022</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Amy E. Ruf</w:t>
            </w:r>
          </w:p>
        </w:tc>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Thomas E. Barry</w:t>
            </w:r>
          </w:p>
        </w:tc>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460" w:type="dxa"/>
            <w:vAlign w:val="bottom"/>
            <w:gridSpan w:val="3"/>
          </w:tcPr>
          <w:p>
            <w:pPr>
              <w:jc w:val="center"/>
              <w:ind w:left="312"/>
              <w:spacing w:after="0"/>
              <w:rPr>
                <w:sz w:val="20"/>
                <w:szCs w:val="20"/>
                <w:color w:val="auto"/>
              </w:rPr>
            </w:pPr>
            <w:r>
              <w:rPr>
                <w:rFonts w:ascii="Arial" w:cs="Arial" w:eastAsia="Arial" w:hAnsi="Arial"/>
                <w:sz w:val="18"/>
                <w:szCs w:val="18"/>
                <w:color w:val="auto"/>
                <w:w w:val="92"/>
              </w:rPr>
              <w:t>March 2, 2022</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Thomas E. Barry</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Terri L. Herrington</w:t>
            </w:r>
          </w:p>
        </w:tc>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460" w:type="dxa"/>
            <w:vAlign w:val="bottom"/>
            <w:gridSpan w:val="3"/>
          </w:tcPr>
          <w:p>
            <w:pPr>
              <w:jc w:val="center"/>
              <w:ind w:left="312"/>
              <w:spacing w:after="0"/>
              <w:rPr>
                <w:sz w:val="20"/>
                <w:szCs w:val="20"/>
                <w:color w:val="auto"/>
              </w:rPr>
            </w:pPr>
            <w:r>
              <w:rPr>
                <w:rFonts w:ascii="Arial" w:cs="Arial" w:eastAsia="Arial" w:hAnsi="Arial"/>
                <w:sz w:val="18"/>
                <w:szCs w:val="18"/>
                <w:color w:val="auto"/>
                <w:w w:val="92"/>
              </w:rPr>
              <w:t>March 2, 2022</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Terri L. Herrington</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Ann Manix</w:t>
            </w:r>
          </w:p>
        </w:tc>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460" w:type="dxa"/>
            <w:vAlign w:val="bottom"/>
            <w:gridSpan w:val="3"/>
          </w:tcPr>
          <w:p>
            <w:pPr>
              <w:jc w:val="center"/>
              <w:ind w:left="312"/>
              <w:spacing w:after="0"/>
              <w:rPr>
                <w:sz w:val="20"/>
                <w:szCs w:val="20"/>
                <w:color w:val="auto"/>
              </w:rPr>
            </w:pPr>
            <w:r>
              <w:rPr>
                <w:rFonts w:ascii="Arial" w:cs="Arial" w:eastAsia="Arial" w:hAnsi="Arial"/>
                <w:sz w:val="18"/>
                <w:szCs w:val="18"/>
                <w:color w:val="auto"/>
                <w:w w:val="92"/>
              </w:rPr>
              <w:t>March 2, 2022</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Ann Manix</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Mary A. Tidlund</w:t>
            </w:r>
          </w:p>
        </w:tc>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460" w:type="dxa"/>
            <w:vAlign w:val="bottom"/>
            <w:gridSpan w:val="3"/>
          </w:tcPr>
          <w:p>
            <w:pPr>
              <w:jc w:val="center"/>
              <w:ind w:left="312"/>
              <w:spacing w:after="0"/>
              <w:rPr>
                <w:sz w:val="20"/>
                <w:szCs w:val="20"/>
                <w:color w:val="auto"/>
              </w:rPr>
            </w:pPr>
            <w:r>
              <w:rPr>
                <w:rFonts w:ascii="Arial" w:cs="Arial" w:eastAsia="Arial" w:hAnsi="Arial"/>
                <w:sz w:val="18"/>
                <w:szCs w:val="18"/>
                <w:color w:val="auto"/>
                <w:w w:val="92"/>
              </w:rPr>
              <w:t>March 2, 2022</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Mary A. Tidlund</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6" w:name="page27"/>
    <w:bookmarkEnd w:id="26"/>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Items 8 and 15(a)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of Financial Statements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Financial Statements</w:t>
            </w:r>
          </w:p>
        </w:tc>
        <w:tc>
          <w:tcPr>
            <w:tcW w:w="180" w:type="dxa"/>
            <w:vAlign w:val="bottom"/>
          </w:tcPr>
          <w:p>
            <w:pPr>
              <w:spacing w:after="0"/>
              <w:rPr>
                <w:sz w:val="14"/>
                <w:szCs w:val="1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8140" w:type="dxa"/>
            <w:vAlign w:val="bottom"/>
            <w:gridSpan w:val="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238)</w:t>
            </w:r>
          </w:p>
        </w:tc>
        <w:tc>
          <w:tcPr>
            <w:tcW w:w="740" w:type="dxa"/>
            <w:vAlign w:val="bottom"/>
          </w:tcPr>
          <w:p>
            <w:pPr>
              <w:ind w:left="500"/>
              <w:spacing w:after="0"/>
              <w:rPr>
                <w:sz w:val="20"/>
                <w:szCs w:val="20"/>
                <w:color w:val="auto"/>
              </w:rPr>
            </w:pPr>
            <w:r>
              <w:rPr>
                <w:rFonts w:ascii="Arial" w:cs="Arial" w:eastAsia="Arial" w:hAnsi="Arial"/>
                <w:sz w:val="18"/>
                <w:szCs w:val="18"/>
                <w:color w:val="auto"/>
                <w:w w:val="81"/>
              </w:rPr>
              <w:t>F-2</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140" w:type="dxa"/>
            <w:vAlign w:val="bottom"/>
            <w:gridSpan w:val="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Consolidated Balance Sheets—December 31, 2020 and 2021</w:t>
              </w:r>
            </w:hyperlink>
          </w:p>
        </w:tc>
        <w:tc>
          <w:tcPr>
            <w:tcW w:w="740" w:type="dxa"/>
            <w:vAlign w:val="bottom"/>
          </w:tcPr>
          <w:p>
            <w:pPr>
              <w:ind w:left="500"/>
              <w:spacing w:after="0"/>
              <w:rPr>
                <w:sz w:val="20"/>
                <w:szCs w:val="20"/>
                <w:color w:val="auto"/>
              </w:rPr>
            </w:pPr>
            <w:r>
              <w:rPr>
                <w:rFonts w:ascii="Arial" w:cs="Arial" w:eastAsia="Arial" w:hAnsi="Arial"/>
                <w:sz w:val="18"/>
                <w:szCs w:val="18"/>
                <w:color w:val="auto"/>
                <w:w w:val="81"/>
              </w:rPr>
              <w:t>F-4</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140" w:type="dxa"/>
            <w:vAlign w:val="bottom"/>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Consolidated Statements of Income—Years ended December 31, 2019, 2020 and 2021</w:t>
              </w:r>
            </w:hyperlink>
          </w:p>
        </w:tc>
        <w:tc>
          <w:tcPr>
            <w:tcW w:w="740" w:type="dxa"/>
            <w:vAlign w:val="bottom"/>
          </w:tcPr>
          <w:p>
            <w:pPr>
              <w:ind w:left="500"/>
              <w:spacing w:after="0"/>
              <w:rPr>
                <w:sz w:val="20"/>
                <w:szCs w:val="20"/>
                <w:color w:val="auto"/>
              </w:rPr>
            </w:pPr>
            <w:r>
              <w:rPr>
                <w:rFonts w:ascii="Arial" w:cs="Arial" w:eastAsia="Arial" w:hAnsi="Arial"/>
                <w:sz w:val="18"/>
                <w:szCs w:val="18"/>
                <w:color w:val="auto"/>
                <w:w w:val="81"/>
              </w:rPr>
              <w:t>F-5</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2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Consolidated Statements of Stockholders’ Equity—Years ended December 31, 2019, 2020 and 2021</w:t>
              </w:r>
            </w:hyperlink>
          </w:p>
        </w:tc>
        <w:tc>
          <w:tcPr>
            <w:tcW w:w="920" w:type="dxa"/>
            <w:vAlign w:val="bottom"/>
            <w:gridSpan w:val="2"/>
          </w:tcPr>
          <w:p>
            <w:pPr>
              <w:spacing w:after="0"/>
              <w:rPr>
                <w:sz w:val="24"/>
                <w:szCs w:val="24"/>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w w:val="81"/>
              </w:rPr>
              <w:t>F-6</w:t>
            </w:r>
          </w:p>
        </w:tc>
      </w:tr>
      <w:tr>
        <w:trPr>
          <w:trHeight w:val="412"/>
        </w:trPr>
        <w:tc>
          <w:tcPr>
            <w:tcW w:w="20" w:type="dxa"/>
            <w:vAlign w:val="bottom"/>
          </w:tcPr>
          <w:p>
            <w:pPr>
              <w:spacing w:after="0"/>
              <w:rPr>
                <w:sz w:val="24"/>
                <w:szCs w:val="24"/>
                <w:color w:val="auto"/>
              </w:rPr>
            </w:pPr>
          </w:p>
        </w:tc>
        <w:tc>
          <w:tcPr>
            <w:tcW w:w="65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Consolidated Statements of Cash Flows—Years ended December 31, 2019, 2020 and 2021</w:t>
              </w:r>
            </w:hyperlink>
          </w:p>
        </w:tc>
        <w:tc>
          <w:tcPr>
            <w:tcW w:w="1600" w:type="dxa"/>
            <w:vAlign w:val="bottom"/>
            <w:gridSpan w:val="3"/>
          </w:tcPr>
          <w:p>
            <w:pPr>
              <w:spacing w:after="0"/>
              <w:rPr>
                <w:sz w:val="24"/>
                <w:szCs w:val="24"/>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w w:val="81"/>
              </w:rPr>
              <w:t>F-7</w:t>
            </w:r>
          </w:p>
        </w:tc>
      </w:tr>
      <w:tr>
        <w:trPr>
          <w:trHeight w:val="412"/>
        </w:trPr>
        <w:tc>
          <w:tcPr>
            <w:tcW w:w="20" w:type="dxa"/>
            <w:vAlign w:val="bottom"/>
          </w:tcPr>
          <w:p>
            <w:pPr>
              <w:spacing w:after="0"/>
              <w:rPr>
                <w:sz w:val="24"/>
                <w:szCs w:val="24"/>
                <w:color w:val="auto"/>
              </w:rPr>
            </w:pPr>
          </w:p>
        </w:tc>
        <w:tc>
          <w:tcPr>
            <w:tcW w:w="3140" w:type="dxa"/>
            <w:vAlign w:val="bottom"/>
            <w:tcBorders>
              <w:bottom w:val="single" w:sz="8" w:color="0000EE"/>
            </w:tcBorders>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Notes to Consolidated Financial Statements</w:t>
              </w:r>
            </w:hyperlink>
          </w:p>
        </w:tc>
        <w:tc>
          <w:tcPr>
            <w:tcW w:w="5000" w:type="dxa"/>
            <w:vAlign w:val="bottom"/>
            <w:gridSpan w:val="7"/>
          </w:tcPr>
          <w:p>
            <w:pPr>
              <w:spacing w:after="0"/>
              <w:rPr>
                <w:sz w:val="24"/>
                <w:szCs w:val="24"/>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w w:val="81"/>
              </w:rPr>
              <w:t>F-8</w:t>
            </w:r>
          </w:p>
        </w:tc>
      </w:tr>
    </w:tbl>
    <w:p>
      <w:pPr>
        <w:spacing w:after="0" w:line="22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993775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 of CompX International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have audited the accompanying consolidated balance sheets of CompX International Inc. and its subsidiaries (the “Company”) as of January 2, 2022 and January 3, 2021, and the related consolidated statements of income, of stockholders’ equity and of cash flows for each of the three years in the period ended January 2, 2022, including the related notes (collectively referred to as the “consolidated financial statements”). In our opinion, the consolidated financial statements present fairly, in all material respects, the financial position of the Company as of January 2, 2022 and January 3, 2021, and the results of its operations and its cash flows for each of the three years in the period ended January 2, 2022 in conformity with accounting principles generally accepted in the United States of America.</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Goodwill Impairment Assessment – Security Products Reporting Unit</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As described in Note 5 to the consolidated financial statements, the Company’s consolidated goodwill balance was $23.7 million as of December 31, 2021, all of which related to the Company’s Security Products reporting unit, which corresponds to its Security Products operating segment. As disclosed by management, management performs an annual goodwill impairment test in the third quarter of each year, or at other times whenever an event occurs or circumstances change that would more-likely-than-not reduce the fair value of a reporting unit below its carrying value. Management first assesses qualitative factors to determine whether it is more likely than not the fair value of the Security Products</w:t>
      </w:r>
    </w:p>
    <w:p>
      <w:pPr>
        <w:sectPr>
          <w:pgSz w:w="11900" w:h="16838" w:orient="portrait"/>
          <w:cols w:equalWidth="0" w:num="1">
            <w:col w:w="9019"/>
          </w:cols>
          <w:pgMar w:left="1440" w:top="1269"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8" w:name="page29"/>
    <w:bookmarkEnd w:id="28"/>
    <w:p>
      <w:pPr>
        <w:jc w:val="both"/>
        <w:ind w:left="60" w:right="59"/>
        <w:spacing w:after="0" w:line="273" w:lineRule="auto"/>
        <w:rPr>
          <w:sz w:val="20"/>
          <w:szCs w:val="20"/>
          <w:color w:val="auto"/>
        </w:rPr>
      </w:pPr>
      <w:r>
        <w:rPr>
          <w:rFonts w:ascii="Arial" w:cs="Arial" w:eastAsia="Arial" w:hAnsi="Arial"/>
          <w:sz w:val="17"/>
          <w:szCs w:val="17"/>
          <w:color w:val="auto"/>
        </w:rPr>
        <w:t>reporting unit is less than its carrying value. When performing a qualitative assessment, considerable management judgment is necessary to evaluate the qualitative impact of events and circumstances on the fair value of a reporting unit. Events and circumstances considered in management’s impairment evaluations include historical profits and stability of the markets served. In 2021, management used the qualitative assessment for the annual impairment test and determined it was not necessary to perform the quantitative goodwill impairment test, as management concluded it was more likely than not the fair value of the Security Products reporting unit exceeded its carrying amount.</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assessment of the Security Products reporting unit is a critical audit matter are (i) the significant judgment by management when performing the qualitative impairment assessment and (ii) the high degree of auditor judgment and subjectivity in performing procedures and evaluating evidence relating to management’s qualitative impairment assessment.</w:t>
      </w:r>
    </w:p>
    <w:p>
      <w:pPr>
        <w:spacing w:after="0" w:line="15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and the review of qualitative factors affecting the Security Products reporting unit. These procedures also included, among others, (i) evaluating management’s qualitative impairment assessment by analyzing financial performance of the Security Products reporting unit, the Company’s market capitalization and other events or circumstances impacting the reporting unit and (ii) comparing actual financial performance with forecasted financial performance used in previous impairment assessments to evaluate management’s assessment of whether it is more likely than not that the fair value of each reporting unit is less than the carrying value.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 2022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60" w:type="dxa"/>
            <w:vAlign w:val="bottom"/>
            <w:vMerge w:val="restart"/>
          </w:tcPr>
          <w:p>
            <w:pPr>
              <w:ind w:left="2560"/>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vMerge w:val="continue"/>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70,637</w:t>
            </w:r>
          </w:p>
        </w:tc>
        <w:tc>
          <w:tcPr>
            <w:tcW w:w="7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18,337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101,246</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120,231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 receivable from affiliate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w:t>
            </w: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other assets</w:t>
            </w:r>
          </w:p>
        </w:tc>
        <w:tc>
          <w:tcPr>
            <w:tcW w:w="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53,849</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43,039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Buildings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23,146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Construction in progress</w:t>
            </w:r>
          </w:p>
        </w:tc>
        <w:tc>
          <w:tcPr>
            <w:tcW w:w="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accumulated depreciation</w:t>
            </w:r>
          </w:p>
        </w:tc>
        <w:tc>
          <w:tcPr>
            <w:tcW w:w="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68,373</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property and equipment</w:t>
            </w: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28,950</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29,182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184,045</w:t>
            </w:r>
          </w:p>
        </w:tc>
        <w:tc>
          <w:tcPr>
            <w:tcW w:w="2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192,452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94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6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12,198</w:t>
            </w:r>
          </w:p>
        </w:tc>
        <w:tc>
          <w:tcPr>
            <w:tcW w:w="7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 to affiliate</w:t>
            </w: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13,150</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Noncurrent liabilities - deferred income taxes</w:t>
            </w:r>
          </w:p>
        </w:tc>
        <w:tc>
          <w:tcPr>
            <w:tcW w:w="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Preferred stock, $.01 par value; 1,000 shares authorized, none issued</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ind w:left="200"/>
              <w:spacing w:after="0" w:line="201" w:lineRule="exact"/>
              <w:rPr>
                <w:sz w:val="20"/>
                <w:szCs w:val="20"/>
                <w:color w:val="auto"/>
              </w:rPr>
            </w:pPr>
            <w:r>
              <w:rPr>
                <w:rFonts w:ascii="Arial" w:cs="Arial" w:eastAsia="Arial" w:hAnsi="Arial"/>
                <w:sz w:val="18"/>
                <w:szCs w:val="18"/>
                <w:color w:val="auto"/>
                <w:w w:val="97"/>
              </w:rPr>
              <w:t>Class A common stock, $.01 par value; 20,000,000 shares authorized;</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300"/>
              <w:spacing w:after="0"/>
              <w:rPr>
                <w:sz w:val="20"/>
                <w:szCs w:val="20"/>
                <w:color w:val="auto"/>
              </w:rPr>
            </w:pPr>
            <w:r>
              <w:rPr>
                <w:rFonts w:ascii="Arial" w:cs="Arial" w:eastAsia="Arial" w:hAnsi="Arial"/>
                <w:sz w:val="18"/>
                <w:szCs w:val="18"/>
                <w:color w:val="auto"/>
              </w:rPr>
              <w:t>12,451,157 and 12,380,657 shares issued and outstanding</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111,545</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167,656</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173,088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184,045</w:t>
            </w:r>
          </w:p>
        </w:tc>
        <w:tc>
          <w:tcPr>
            <w:tcW w:w="2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192,452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color w:val="auto"/>
        </w:rPr>
        <w:t>Commitments and contingencies (Note 10)</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124,243</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114,537</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6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85,280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81,689</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6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21,297</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21,031</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w:t>
            </w:r>
          </w:p>
        </w:tc>
        <w:tc>
          <w:tcPr>
            <w:tcW w:w="6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15,998</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common share</w:t>
            </w:r>
          </w:p>
        </w:tc>
        <w:tc>
          <w:tcPr>
            <w:tcW w:w="8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12,440</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1" w:name="page32"/>
    <w:bookmarkEnd w:id="31"/>
    <w:p>
      <w:pPr>
        <w:jc w:val="center"/>
        <w:ind w:left="60" w:right="79"/>
        <w:spacing w:after="0" w:line="375" w:lineRule="auto"/>
        <w:rPr>
          <w:sz w:val="20"/>
          <w:szCs w:val="20"/>
          <w:color w:val="auto"/>
        </w:rPr>
      </w:pPr>
      <w:r>
        <w:rPr>
          <w:rFonts w:ascii="Arial" w:cs="Arial" w:eastAsia="Arial" w:hAnsi="Arial"/>
          <w:sz w:val="18"/>
          <w:szCs w:val="18"/>
          <w:b w:val="1"/>
          <w:bCs w:val="1"/>
          <w:color w:val="auto"/>
        </w:rPr>
        <w:t>COMPX INTERNATIONAL INC. AND SUBSIDIARIES CONSOLIDATED STATEMENTS OF STOCKHOLDERS’ EQUITY Years ended December 31, 2019, 2020 and 2021</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3180" w:type="dxa"/>
            <w:vAlign w:val="bottom"/>
            <w:gridSpan w:val="8"/>
          </w:tcPr>
          <w:p>
            <w:pPr>
              <w:jc w:val="right"/>
              <w:spacing w:after="0"/>
              <w:rPr>
                <w:sz w:val="20"/>
                <w:szCs w:val="20"/>
                <w:color w:val="auto"/>
              </w:rPr>
            </w:pPr>
            <w:r>
              <w:rPr>
                <w:rFonts w:ascii="Arial" w:cs="Arial" w:eastAsia="Arial" w:hAnsi="Arial"/>
                <w:sz w:val="18"/>
                <w:szCs w:val="18"/>
                <w:b w:val="1"/>
                <w:bCs w:val="1"/>
                <w:color w:val="auto"/>
                <w:w w:val="98"/>
              </w:rPr>
              <w:t>(In thousands, except per share data)</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27"/>
        </w:trPr>
        <w:tc>
          <w:tcPr>
            <w:tcW w:w="2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3"/>
              </w:rPr>
              <w:t>Class 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16"/>
        </w:trPr>
        <w:tc>
          <w:tcPr>
            <w:tcW w:w="2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7"/>
              </w:rPr>
              <w:t>common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paid-in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Retained</w:t>
            </w:r>
          </w:p>
        </w:tc>
        <w:tc>
          <w:tcPr>
            <w:tcW w:w="18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Treasury</w:t>
            </w:r>
          </w:p>
        </w:tc>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87"/>
              </w:rPr>
              <w:t>stockholders'</w:t>
            </w:r>
          </w:p>
        </w:tc>
      </w:tr>
      <w:tr>
        <w:trPr>
          <w:trHeight w:val="234"/>
        </w:trPr>
        <w:tc>
          <w:tcPr>
            <w:tcW w:w="2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earnings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stock</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equity</w:t>
            </w: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149,562</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15,998</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($0.28 per share)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106,202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162,195</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10,323</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($0.40 per share)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111,545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167,656</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16,568</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($0.80 per share)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700" w:type="dxa"/>
            <w:vAlign w:val="bottom"/>
          </w:tcPr>
          <w:p>
            <w:pPr>
              <w:ind w:left="100"/>
              <w:spacing w:after="0"/>
              <w:rPr>
                <w:sz w:val="20"/>
                <w:szCs w:val="20"/>
                <w:color w:val="auto"/>
              </w:rPr>
            </w:pPr>
            <w:r>
              <w:rPr>
                <w:rFonts w:ascii="Arial" w:cs="Arial" w:eastAsia="Arial" w:hAnsi="Arial"/>
                <w:sz w:val="18"/>
                <w:szCs w:val="18"/>
                <w:color w:val="auto"/>
              </w:rPr>
              <w:t>Acquired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16"/>
        </w:trPr>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Retired</w:t>
            </w:r>
          </w:p>
        </w:tc>
        <w:tc>
          <w:tcPr>
            <w:tcW w:w="1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700" w:type="dxa"/>
            <w:vAlign w:val="bottom"/>
          </w:tcPr>
          <w:p>
            <w:pPr>
              <w:spacing w:after="0"/>
              <w:rPr>
                <w:sz w:val="20"/>
                <w:szCs w:val="20"/>
                <w:color w:val="auto"/>
              </w:rPr>
            </w:pPr>
            <w:r>
              <w:rPr>
                <w:rFonts w:ascii="Arial" w:cs="Arial" w:eastAsia="Arial" w:hAnsi="Arial"/>
                <w:sz w:val="18"/>
                <w:szCs w:val="18"/>
                <w:b w:val="1"/>
                <w:bCs w:val="1"/>
                <w:color w:val="auto"/>
              </w:rPr>
              <w:t>Balance at December 31, 2021</w:t>
            </w:r>
          </w:p>
        </w:tc>
        <w:tc>
          <w:tcPr>
            <w:tcW w:w="10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54,780</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118,184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173,088</w:t>
            </w:r>
          </w:p>
        </w:tc>
      </w:tr>
      <w:tr>
        <w:trPr>
          <w:trHeight w:val="20"/>
        </w:trPr>
        <w:tc>
          <w:tcPr>
            <w:tcW w:w="2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15,998</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10,323</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Change in assets and liabilities: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liabilities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00"/>
              <w:spacing w:after="0"/>
              <w:rPr>
                <w:sz w:val="20"/>
                <w:szCs w:val="20"/>
                <w:color w:val="auto"/>
              </w:rPr>
            </w:pPr>
            <w:r>
              <w:rPr>
                <w:rFonts w:ascii="Arial" w:cs="Arial" w:eastAsia="Arial" w:hAnsi="Arial"/>
                <w:sz w:val="18"/>
                <w:szCs w:val="18"/>
                <w:color w:val="auto"/>
              </w:rPr>
              <w:t>Accounts with affiliates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Prepaids and other, net</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fixed assets, net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Note receivable from affiliate: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Collections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Advances</w:t>
            </w: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(34,828)</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provided by (used in) investing activities</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Treasury stock acquired</w:t>
            </w: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used in financing activities</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change for the year</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7,382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70,637</w:t>
            </w:r>
          </w:p>
        </w:tc>
        <w:tc>
          <w:tcPr>
            <w:tcW w:w="0" w:type="dxa"/>
            <w:vAlign w:val="bottom"/>
          </w:tcPr>
          <w:p>
            <w:pPr>
              <w:spacing w:after="0"/>
              <w:rPr>
                <w:sz w:val="1"/>
                <w:szCs w:val="1"/>
                <w:color w:val="auto"/>
              </w:rPr>
            </w:pPr>
          </w:p>
        </w:tc>
      </w:tr>
      <w:tr>
        <w:trPr>
          <w:trHeight w:val="250"/>
        </w:trPr>
        <w:tc>
          <w:tcPr>
            <w:tcW w:w="474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48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63,255</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70,637</w:t>
            </w:r>
          </w:p>
        </w:tc>
        <w:tc>
          <w:tcPr>
            <w:tcW w:w="240" w:type="dxa"/>
            <w:vAlign w:val="bottom"/>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76,579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Supplemental disclosures -</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3" w:name="page34"/>
    <w:bookmarkEnd w:id="33"/>
    <w:p>
      <w:pPr>
        <w:jc w:val="center"/>
        <w:ind w:left="60" w:right="79"/>
        <w:spacing w:after="0" w:line="391" w:lineRule="auto"/>
        <w:rPr>
          <w:sz w:val="20"/>
          <w:szCs w:val="20"/>
          <w:color w:val="auto"/>
        </w:rPr>
      </w:pPr>
      <w:r>
        <w:rPr>
          <w:rFonts w:ascii="Arial" w:cs="Arial" w:eastAsia="Arial" w:hAnsi="Arial"/>
          <w:sz w:val="18"/>
          <w:szCs w:val="18"/>
          <w:b w:val="1"/>
          <w:bCs w:val="1"/>
          <w:color w:val="auto"/>
        </w:rPr>
        <w:t>COMPX INTERNATIONAL INC. AND SUBSIDIARIES NOTES TO CONSOLIDATED FINANCIAL STATEMENTS December 31, 2021</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b w:val="1"/>
          <w:bCs w:val="1"/>
          <w:i w:val="1"/>
          <w:iCs w:val="1"/>
          <w:color w:val="auto"/>
        </w:rPr>
        <w:t xml:space="preserve">Organization. </w:t>
      </w:r>
      <w:r>
        <w:rPr>
          <w:rFonts w:ascii="Arial" w:cs="Arial" w:eastAsia="Arial" w:hAnsi="Arial"/>
          <w:sz w:val="17"/>
          <w:szCs w:val="17"/>
          <w:color w:val="auto"/>
        </w:rPr>
        <w:t>We (NYSE American: CIX) are approximately 87% owned by NL Industries, Inc. (NYSE: NL)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2021. We manufacture and sell component products (security products and recreational marine components). At December 31, 2021, Valhi, Inc. (NYSE: VHI) owns approximately 83% of NL’s outstanding common stock and a wholly-owned subsidiary of Contran Corporation owns approximately 92% of Valhi’s outstanding common stock.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December 31, 2021 Ms. Simmons and the Family Trust may be deemed to control Contran, and therefore may be deemed to indirectly control the wholly-owned subsidiary of Contran, Valhi, NL and us.</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Unless otherwise indicated, references in this report to “we,” “us,” or “our” refer to CompX International Inc. and its subsidiaries, taken as a whole.</w:t>
      </w:r>
    </w:p>
    <w:p>
      <w:pPr>
        <w:spacing w:after="0" w:line="17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b w:val="1"/>
          <w:bCs w:val="1"/>
          <w:i w:val="1"/>
          <w:iCs w:val="1"/>
          <w:color w:val="auto"/>
        </w:rPr>
        <w:t xml:space="preserve">Management estimates. </w:t>
      </w:r>
      <w:r>
        <w:rPr>
          <w:rFonts w:ascii="Arial" w:cs="Arial" w:eastAsia="Arial" w:hAnsi="Arial"/>
          <w:sz w:val="17"/>
          <w:szCs w:val="17"/>
          <w:color w:val="auto"/>
        </w:rPr>
        <w:t>In preparing our financial statements in conformity with accounting principles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in the United States of America (“GAAP”) we are required to make estimates and assumptions that affect the reported amounts of assets and liabilities and disclosure of contingent assets and liabilities at each balance sheet date and the reported amounts of our revenues and expenses during each reporting period. Actual results may differ significantly from previously estimated amounts under different assumptions or conditions.</w:t>
      </w:r>
    </w:p>
    <w:p>
      <w:pPr>
        <w:spacing w:after="0" w:line="172" w:lineRule="exact"/>
        <w:rPr>
          <w:sz w:val="20"/>
          <w:szCs w:val="20"/>
          <w:color w:val="auto"/>
        </w:rPr>
      </w:pPr>
    </w:p>
    <w:p>
      <w:pPr>
        <w:jc w:val="both"/>
        <w:ind w:left="60" w:right="79" w:firstLine="648"/>
        <w:spacing w:after="0" w:line="312" w:lineRule="auto"/>
        <w:rPr>
          <w:sz w:val="20"/>
          <w:szCs w:val="20"/>
          <w:color w:val="auto"/>
        </w:rPr>
      </w:pPr>
      <w:r>
        <w:rPr>
          <w:rFonts w:ascii="Arial" w:cs="Arial" w:eastAsia="Arial" w:hAnsi="Arial"/>
          <w:sz w:val="17"/>
          <w:szCs w:val="17"/>
          <w:b w:val="1"/>
          <w:bCs w:val="1"/>
          <w:i w:val="1"/>
          <w:iCs w:val="1"/>
          <w:color w:val="auto"/>
        </w:rPr>
        <w:t>Principles of consolidation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consolidated financial statements include the accounts of CompX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Inc. and our wholly-owned subsidiaries. We eliminate all material intercompany accounts and balances.</w:t>
      </w:r>
    </w:p>
    <w:p>
      <w:pPr>
        <w:spacing w:after="0" w:line="14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b w:val="1"/>
          <w:bCs w:val="1"/>
          <w:i w:val="1"/>
          <w:iCs w:val="1"/>
          <w:color w:val="auto"/>
        </w:rPr>
        <w:t xml:space="preserve">Fiscal year. </w:t>
      </w:r>
      <w:r>
        <w:rPr>
          <w:rFonts w:ascii="Arial" w:cs="Arial" w:eastAsia="Arial" w:hAnsi="Arial"/>
          <w:sz w:val="16"/>
          <w:szCs w:val="16"/>
          <w:color w:val="auto"/>
        </w:rPr>
        <w:t>Our fiscal year end is always the Sunday closest to December 31, and our operations are reported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52 or 53-week fiscal year. Each of the years ended December 31, 2019 and 2020 consisted of 52 weeks and 53 weeks, respectively. The year ended December 31, 2021 consisted of 52 weeks. For presentation purposes, annual information in the consolidated financial statements and accompanying notes is presented as ended on December 31. The actual date of our fiscal years are December 29, 2019, January 3, 2021, and January 2, 2022, respectively.</w:t>
      </w:r>
    </w:p>
    <w:p>
      <w:pPr>
        <w:spacing w:after="0" w:line="157" w:lineRule="exact"/>
        <w:rPr>
          <w:sz w:val="20"/>
          <w:szCs w:val="20"/>
          <w:color w:val="auto"/>
        </w:rPr>
      </w:pPr>
    </w:p>
    <w:p>
      <w:pPr>
        <w:jc w:val="both"/>
        <w:ind w:left="60" w:right="59" w:firstLine="648"/>
        <w:spacing w:after="0" w:line="282"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classify bank time deposits and government and commercial notes and bills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original maturities of three months or less as cash equivalents.</w:t>
      </w:r>
    </w:p>
    <w:p>
      <w:pPr>
        <w:spacing w:after="0" w:line="16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b w:val="1"/>
          <w:bCs w:val="1"/>
          <w:i w:val="1"/>
          <w:iCs w:val="1"/>
          <w:color w:val="auto"/>
        </w:rPr>
        <w:t>Net sales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sales involve single performance obligations to ship our products pursuant to customer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orders. In some cases, the purchase order is supported by an underlying master sales agreement, but our purchase order verification notice generally evidences the contract with our customer by specifying the key terms of product and quantity ordered, price and delivery and payment terms. In accordance with Accounting Standards Codification (“ASC”) Topic 606,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we record revenue when we satisfy our performance obligations to our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by transferring control of our products to them, which generally occurs at point of shipment or upon delivery. Such transfer of control is also evidenced by transfer of legal title and other risks and rewards of ownership (giving the customer the ability to direct the use of, and obtain substantially all of the benefits of, the product), and our customers becoming obligated to pay us and it is probable we will receive payment. In certain arrangements we provide shipping and handling activities after the transfer of control to our customer (e.g. when control transfers prior to delivery). In such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4" w:name="page35"/>
    <w:bookmarkEnd w:id="34"/>
    <w:p>
      <w:pPr>
        <w:jc w:val="both"/>
        <w:ind w:left="60" w:right="59"/>
        <w:spacing w:after="0" w:line="277" w:lineRule="auto"/>
        <w:rPr>
          <w:sz w:val="20"/>
          <w:szCs w:val="20"/>
          <w:color w:val="auto"/>
        </w:rPr>
      </w:pPr>
      <w:r>
        <w:rPr>
          <w:rFonts w:ascii="Arial" w:cs="Arial" w:eastAsia="Arial" w:hAnsi="Arial"/>
          <w:sz w:val="18"/>
          <w:szCs w:val="18"/>
          <w:color w:val="auto"/>
        </w:rPr>
        <w:t>arrangements shipping and handling are considered fulfillment activities, and accordingly, such costs are accrued when the related revenue is recognized.</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Revenue is recorded in an amount that reflects the net consideration we expect to receive in exchange for our products. Prices for our products are based on terms specified in published list prices and purchase orders, which generally do not include financing components, noncash consideration or consideration paid to our customers. As our standard payment terms are less than one year, we have elected the practical expedient under ASC 606 and we have not assessed whether a contract has a significant financing component. We state sales net of price, early payment and distributor discounts as well as volume rebates (collectively, variable consideration). Variable consideration, to the extent present, is not material and is recognized as the amount to which we are most-likely to be entitled, using all information (historical, current and forecasted) that is reasonably available to us, and only to the extent that a significant reversal in the amount of the cumulative revenue recognized is not probable of occurring in a future period. Differences, if any, between estimates of the amount of variable consideration to which we will be entitled and the actual amount of such variable consideration have not been material in the past. We report any tax assessed by a governmental authority that we collect from our customers that is both imposed on and concurrent with our revenue-producing activities (such as sales, use, value added and excise taxes) on a net basis (meaning we do not recognize these taxes either in our revenues or in our costs and expenses).</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Frequently, we receive orders for products to be delivered over dates that may extend across reporting periods. We invoice for each delivery upon shipment and recognize revenue for each distinct shipment when all sales recognition criteria for that shipment have been satisfied. As scheduled delivery dates for these orders are within a one year period, under the optional exemption provided by ASC 606, we do not disclose sales allocated to future shipments of partially completed contracts.</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determined that our disclosure of sales by segment meets the requirements to disclose a disaggregation of our sales into categories that depict how the nature, amount, timing and uncertainty of revenue and cash flows are affected by economic factors. See Note 2.</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provide an allowance for doubtful accounts for known and estimated potential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arising from our sales to customers based on a periodic review of these accounts.</w:t>
      </w:r>
    </w:p>
    <w:p>
      <w:pPr>
        <w:spacing w:after="0" w:line="16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b w:val="1"/>
          <w:bCs w:val="1"/>
          <w:i w:val="1"/>
          <w:iCs w:val="1"/>
          <w:color w:val="auto"/>
        </w:rPr>
        <w:t>Inventories and cost of sales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state inventories at the lower of cost or net realizable value. We record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 for obsolete and slow-moving inventories. We generally base inventory costs for all inventory categories on average cost that approximates the first-in, first-out method. Inventories include the costs for raw materials, the cost to manufacture the raw materials into finished goods and overhead. Depending on the inventory’s stage of completion, our manufacturing costs can include the costs of packing and finishing, utilities, maintenance and depreciation, shipping and handling, and salaries and benefits associated with our manufacturing process. We allocate fixed manufacturing overhead costs based on normal production capacity. Unallocated overhead costs resulting from periods with abnormally low production levels are charged to expense as incurred. As inventory is sold to third parties, we recognize the cost of sales in the same period that the sale occurs. We periodically review our inventory for estimated obsolescence or instances when inventory is no longer marketable for its intended use, and we record any write-down, equal to the difference between the cost of inventory and its estimated net realizable value, based on assumptions about alternative uses, market conditions and other factors.</w:t>
      </w:r>
    </w:p>
    <w:p>
      <w:pPr>
        <w:spacing w:after="0" w:line="183"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advertising costs. </w:t>
      </w:r>
      <w:r>
        <w:rPr>
          <w:rFonts w:ascii="Arial" w:cs="Arial" w:eastAsia="Arial" w:hAnsi="Arial"/>
          <w:sz w:val="17"/>
          <w:szCs w:val="17"/>
          <w:color w:val="auto"/>
        </w:rPr>
        <w:t>Selling, general and administrative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costs related to marketing, sales, distribution, research and development and administrative functions such as accounting, treasury and finance, and include costs for salaries and benefits, travel and entertainment, promotional materials and professional fees. We expense advertising and research and development costs as incurred. Advertising and research and development costs were not significant in 2019, 2020 or 2021.</w:t>
      </w:r>
    </w:p>
    <w:p>
      <w:pPr>
        <w:spacing w:after="0" w:line="1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cost over fair value of individual net assets acquired in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Goodwill is not subject to periodic amortization. We evaluate goodwill for impairment annually or when circumstances indicate the carrying value may not be recoverable. See Note 5.</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35" w:name="page36"/>
    <w:bookmarkEnd w:id="35"/>
    <w:p>
      <w:pPr>
        <w:jc w:val="both"/>
        <w:ind w:left="60" w:right="59" w:firstLine="648"/>
        <w:spacing w:after="0" w:line="273" w:lineRule="auto"/>
        <w:rPr>
          <w:sz w:val="20"/>
          <w:szCs w:val="20"/>
          <w:color w:val="auto"/>
        </w:rPr>
      </w:pPr>
      <w:r>
        <w:rPr>
          <w:rFonts w:ascii="Arial" w:cs="Arial" w:eastAsia="Arial" w:hAnsi="Arial"/>
          <w:sz w:val="17"/>
          <w:szCs w:val="17"/>
          <w:b w:val="1"/>
          <w:bCs w:val="1"/>
          <w:i w:val="1"/>
          <w:iCs w:val="1"/>
          <w:color w:val="auto"/>
        </w:rPr>
        <w:t>Property and equipment; depreciation expense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state property and equipment, including purchased computer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for internal use, at cost. We compute depreciation of property and equipment for financial reporting purposes principally by the straight-line method over the estimated useful lives of 15 to 40 years for buildings and 3 to 20 years for equipment and software. We use accelerated depreciation methods for income tax purposes, as permitted. Upon sale or retirement of an asset, the related cost and accumulated depreciation are removed from the accounts and any gain or loss is recognized in income currently. Expenditures for maintenance, repairs and minor renewals are expensed; expenditures for major improvements are capitalized.</w:t>
      </w:r>
    </w:p>
    <w:p>
      <w:pPr>
        <w:spacing w:after="0" w:line="176"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We perform impairment tests when events or changes in circumstances indicate the carrying value may not be recoverable. We consider all relevant factors. We perform the impairment test by comparing the estimated future undiscounted cash flows associated with the asset to the asset’s net carrying value to determine if impairment exists.</w:t>
      </w:r>
    </w:p>
    <w:p>
      <w:pPr>
        <w:spacing w:after="0" w:line="16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We enter into various arrangements (or leases) that convey the rights to use and control identified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underlying assets for a period of time in exchange for consideration. We lease various facilities and equipment. From time to time, we may also enter into an arrangement in which the right to use and control an identified underlying asset is embedded in another type of contract. We determine if an arrangement is a lease (including leases embedded in another type of contract) at inception. All of our leases are classified as operating leases under ASC Topic 842, </w:t>
      </w:r>
      <w:r>
        <w:rPr>
          <w:rFonts w:ascii="Arial" w:cs="Arial" w:eastAsia="Arial" w:hAnsi="Arial"/>
          <w:sz w:val="18"/>
          <w:szCs w:val="18"/>
          <w:i w:val="1"/>
          <w:iCs w:val="1"/>
          <w:color w:val="auto"/>
        </w:rPr>
        <w:t>Leases</w:t>
      </w:r>
      <w:r>
        <w:rPr>
          <w:rFonts w:ascii="Arial" w:cs="Arial" w:eastAsia="Arial" w:hAnsi="Arial"/>
          <w:sz w:val="18"/>
          <w:szCs w:val="18"/>
          <w:color w:val="auto"/>
        </w:rPr>
        <w:t>. Operating leases are not material.</w:t>
      </w:r>
    </w:p>
    <w:p>
      <w:pPr>
        <w:spacing w:after="0" w:line="19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b w:val="1"/>
          <w:bCs w:val="1"/>
          <w:i w:val="1"/>
          <w:iCs w:val="1"/>
          <w:color w:val="auto"/>
        </w:rPr>
        <w:t xml:space="preserve">Employee benefit plans. </w:t>
      </w:r>
      <w:r>
        <w:rPr>
          <w:rFonts w:ascii="Arial" w:cs="Arial" w:eastAsia="Arial" w:hAnsi="Arial"/>
          <w:sz w:val="18"/>
          <w:szCs w:val="18"/>
          <w:color w:val="auto"/>
        </w:rPr>
        <w:t>We maintain various defined contribution plans in which we make contributions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matching or other formulas. Defined contribution plan expense approximated $3.2 million in 2019, $3.0 million in 2020 and $3.7 million in 2021.</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b w:val="1"/>
          <w:bCs w:val="1"/>
          <w:i w:val="1"/>
          <w:iCs w:val="1"/>
          <w:color w:val="auto"/>
        </w:rPr>
        <w:t xml:space="preserve">Self-insurance. </w:t>
      </w:r>
      <w:r>
        <w:rPr>
          <w:rFonts w:ascii="Arial" w:cs="Arial" w:eastAsia="Arial" w:hAnsi="Arial"/>
          <w:sz w:val="18"/>
          <w:szCs w:val="18"/>
          <w:color w:val="auto"/>
        </w:rPr>
        <w:t>We are partially self-insured for workers’ compensation and certain employee health benefits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self-insured for most environmental issues. We purchase coverage in order to limit our exposure to significant workers’ compensation or employee health benefit claims. We accrue self-insured losses based upon estimates of the aggregate liability for uninsured claims incurred using certain actuarial assumptions followed in the insurance industry and our own historical claims experience.</w:t>
      </w:r>
    </w:p>
    <w:p>
      <w:pPr>
        <w:spacing w:after="0" w:line="184"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and our parent NL, are members of the Contran Tax Group. We have been and currently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of the consolidated tax returns filed by Contran for U.S. federal purposes as well as for certain U.S. state jurisdictions. As a member of the Contran Tax Group, we are jointly and severally liable for the federal income tax liability of Contran and the other companies included in the Contran Tax Group for all periods in which we are included in the Contran Tax Group. See Note 10.</w:t>
      </w:r>
    </w:p>
    <w:p>
      <w:pPr>
        <w:spacing w:after="0" w:line="18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As a member of the Contran Tax Group, we are a party to a tax sharing agreement which provides that we compute our provision for U.S. income taxes on a separate-company basis. Pursuant to the tax sharing agreement, we make payments to or receive payments from NL in amounts we would have paid to or received from the U.S. Internal Revenue Service or the applicable state tax authority had we not been a member of the Contran Tax Group. The separate company provisions and payments are computed using the tax elections made by Contran. We made net cash payments for income taxes to NL of $5.0 million in 2019, $3.2 million in 2020 and $4.7 million in 2021.</w:t>
      </w:r>
    </w:p>
    <w:p>
      <w:pPr>
        <w:spacing w:after="0" w:line="17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Deferred income tax assets and liabilities are recognized for the expected future tax consequences of temporary differences between the income tax and financial reporting carrying amounts of assets and liabilities. Deferred income tax assets and liabilities for each tax-paying jurisdiction in which we operate are netted and presented as either a noncurrent deferred income tax asset or liability, as applicable. We periodically evaluate our deferred tax assets in the various taxing jurisdictions in which we operate and adjust any related valuation allowance based on the estimate of the amount of deferred tax assets which we believe do not meet the more-likely-than-not recognition criteria. See Notes 7 and 10.</w:t>
      </w:r>
    </w:p>
    <w:p>
      <w:pPr>
        <w:spacing w:after="0" w:line="16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record a reserve for uncertain tax positions for tax positions where we believe it is more-likely-than-not our position will not prevail with the applicable tax authorities. We did not have a reserve for uncertain tax positions in 2019, 2020 or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and geographic segments: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operating segments are defined as components of our operations about which separate financial information is available that is regularly evaluated by our chief operating decision maker in determining how to allocate resources and in assessing performance. At December 31, 2021, we had two reportable operating segments – Security Products and Marine Components.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Security Products segment, with a facility in South Carolina and a facility shared with Marine Components in Illinois, manufactures locking mechanisms and other security products for sale to the transportation, postal, office and institutional furniture, cabinetry, tool storage, healthcare and other industries.</w:t>
      </w:r>
    </w:p>
    <w:p>
      <w:pPr>
        <w:spacing w:after="0" w:line="184"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Our Marine Components segment, with a facility in Wisconsin and a facility shared with Security Products in Illinois, manufactures and distributes stainless steel exhaust systems, gauges, throttle controls, wake enhancement systems, trim tabs and related hardware and accessories primarily for performance and ski/wakeboard boats.</w:t>
      </w:r>
    </w:p>
    <w:p>
      <w:pPr>
        <w:spacing w:after="0" w:line="16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chief operating decision maker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 The accounting policies of the reportable operating segments are the same as those described in Note 1. Capital expenditures include additions to property and equipment but exclude amounts attributable to business combinations.</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Segment assets are comprised of all assets attributable to the reportable segments. Corporate assets are not attributable to the operating segments and consist primarily of cash, cash equivalents and note receivable from affiliate. For geographic information, the point of origin (place of manufacture) for all net sales is the U.S., the point of destination for net sales is based on the location of the customer, and property and equipment are attributable to their physical location. Intersegment sales are not material.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10"/>
          </w:tcPr>
          <w:p>
            <w:pPr>
              <w:jc w:val="center"/>
              <w:ind w:left="490"/>
              <w:spacing w:after="0"/>
              <w:rPr>
                <w:sz w:val="20"/>
                <w:szCs w:val="20"/>
                <w:color w:val="auto"/>
              </w:rPr>
            </w:pPr>
            <w:r>
              <w:rPr>
                <w:rFonts w:ascii="Arial" w:cs="Arial" w:eastAsia="Arial" w:hAnsi="Arial"/>
                <w:sz w:val="18"/>
                <w:szCs w:val="18"/>
                <w:b w:val="1"/>
                <w:bCs w:val="1"/>
                <w:color w:val="auto"/>
                <w:w w:val="89"/>
              </w:rPr>
              <w:t>Years ended 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1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99,328</w:t>
            </w:r>
          </w:p>
        </w:tc>
        <w:tc>
          <w:tcPr>
            <w:tcW w:w="2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87,863</w:t>
            </w:r>
          </w:p>
        </w:tc>
        <w:tc>
          <w:tcPr>
            <w:tcW w:w="20" w:type="dxa"/>
            <w:vAlign w:val="bottom"/>
          </w:tcPr>
          <w:p>
            <w:pPr>
              <w:spacing w:after="0"/>
              <w:rPr>
                <w:sz w:val="18"/>
                <w:szCs w:val="18"/>
                <w:color w:val="auto"/>
              </w:rPr>
            </w:pPr>
          </w:p>
        </w:tc>
        <w:tc>
          <w:tcPr>
            <w:tcW w:w="500" w:type="dxa"/>
            <w:vAlign w:val="bottom"/>
            <w:gridSpan w:val="3"/>
          </w:tcPr>
          <w:p>
            <w:pPr>
              <w:ind w:left="2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105,124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1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24,915</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26,674</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35,691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net sales</w:t>
            </w:r>
          </w:p>
        </w:tc>
        <w:tc>
          <w:tcPr>
            <w:tcW w:w="1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124,243</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114,537</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140,815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Products</w:t>
            </w:r>
          </w:p>
        </w:tc>
        <w:tc>
          <w:tcPr>
            <w:tcW w:w="15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21,013</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14,926</w:t>
            </w: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Marine Components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operating expenses</w:t>
            </w:r>
          </w:p>
        </w:tc>
        <w:tc>
          <w:tcPr>
            <w:tcW w:w="1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ind w:left="400"/>
              <w:spacing w:after="0"/>
              <w:rPr>
                <w:sz w:val="20"/>
                <w:szCs w:val="20"/>
                <w:color w:val="auto"/>
              </w:rPr>
            </w:pPr>
            <w:r>
              <w:rPr>
                <w:rFonts w:ascii="Arial" w:cs="Arial" w:eastAsia="Arial" w:hAnsi="Arial"/>
                <w:sz w:val="18"/>
                <w:szCs w:val="18"/>
                <w:color w:val="auto"/>
              </w:rPr>
              <w:t>Total operating income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before income taxes</w:t>
            </w:r>
          </w:p>
        </w:tc>
        <w:tc>
          <w:tcPr>
            <w:tcW w:w="1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20,936</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13,497</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21,723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Products</w:t>
            </w:r>
          </w:p>
        </w:tc>
        <w:tc>
          <w:tcPr>
            <w:tcW w:w="15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Marine Components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1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3,839</w:t>
            </w: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1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1,530</w:t>
            </w:r>
          </w:p>
        </w:tc>
        <w:tc>
          <w:tcPr>
            <w:tcW w:w="2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1,252</w:t>
            </w:r>
          </w:p>
        </w:tc>
        <w:tc>
          <w:tcPr>
            <w:tcW w:w="20" w:type="dxa"/>
            <w:vAlign w:val="bottom"/>
          </w:tcPr>
          <w:p>
            <w:pPr>
              <w:spacing w:after="0"/>
              <w:rPr>
                <w:sz w:val="18"/>
                <w:szCs w:val="18"/>
                <w:color w:val="auto"/>
              </w:rPr>
            </w:pPr>
          </w:p>
        </w:tc>
        <w:tc>
          <w:tcPr>
            <w:tcW w:w="500" w:type="dxa"/>
            <w:vAlign w:val="bottom"/>
            <w:gridSpan w:val="3"/>
          </w:tcPr>
          <w:p>
            <w:pPr>
              <w:ind w:left="2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4,094</w:t>
            </w: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sales point of destination:</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114,186</w:t>
            </w:r>
          </w:p>
        </w:tc>
        <w:tc>
          <w:tcPr>
            <w:tcW w:w="2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107,712</w:t>
            </w:r>
          </w:p>
        </w:tc>
        <w:tc>
          <w:tcPr>
            <w:tcW w:w="20" w:type="dxa"/>
            <w:vAlign w:val="bottom"/>
          </w:tcPr>
          <w:p>
            <w:pPr>
              <w:spacing w:after="0"/>
              <w:rPr>
                <w:sz w:val="18"/>
                <w:szCs w:val="18"/>
                <w:color w:val="auto"/>
              </w:rPr>
            </w:pPr>
          </w:p>
        </w:tc>
        <w:tc>
          <w:tcPr>
            <w:tcW w:w="500" w:type="dxa"/>
            <w:vAlign w:val="bottom"/>
            <w:gridSpan w:val="3"/>
          </w:tcPr>
          <w:p>
            <w:pPr>
              <w:ind w:left="2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129,160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Mexico</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114,537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1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73,697</w:t>
            </w:r>
          </w:p>
        </w:tc>
        <w:tc>
          <w:tcPr>
            <w:tcW w:w="2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70,755</w:t>
            </w:r>
          </w:p>
        </w:tc>
        <w:tc>
          <w:tcPr>
            <w:tcW w:w="20" w:type="dxa"/>
            <w:vAlign w:val="bottom"/>
          </w:tcPr>
          <w:p>
            <w:pPr>
              <w:spacing w:after="0"/>
              <w:rPr>
                <w:sz w:val="18"/>
                <w:szCs w:val="18"/>
                <w:color w:val="auto"/>
              </w:rPr>
            </w:pPr>
          </w:p>
        </w:tc>
        <w:tc>
          <w:tcPr>
            <w:tcW w:w="500" w:type="dxa"/>
            <w:vAlign w:val="bottom"/>
            <w:gridSpan w:val="3"/>
          </w:tcPr>
          <w:p>
            <w:pPr>
              <w:ind w:left="2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Corporate</w:t>
            </w:r>
          </w:p>
        </w:tc>
        <w:tc>
          <w:tcPr>
            <w:tcW w:w="1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89,591</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97,775</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96,092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178,544</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184,045</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property and equipment for 2019, 2020 and 2021 is entirely located within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82" w:right="1440" w:bottom="1440" w:gutter="0" w:footer="0" w:header="0"/>
        </w:sectPr>
      </w:pPr>
    </w:p>
    <w:bookmarkStart w:id="38" w:name="page39"/>
    <w:bookmarkEnd w:id="38"/>
    <w:tbl>
      <w:tblPr>
        <w:tblLayout w:type="fixed"/>
        <w:tblInd w:w="6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receivable, net:</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5"/>
          </w:tcPr>
          <w:p>
            <w:pPr>
              <w:jc w:val="right"/>
              <w:ind w:right="830"/>
              <w:spacing w:after="0" w:line="196" w:lineRule="exact"/>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8,797</w:t>
            </w:r>
          </w:p>
        </w:tc>
        <w:tc>
          <w:tcPr>
            <w:tcW w:w="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12,896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2,720</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doubtful accounts</w:t>
            </w:r>
          </w:p>
        </w:tc>
        <w:tc>
          <w:tcPr>
            <w:tcW w:w="1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09"/>
        </w:trPr>
        <w:tc>
          <w:tcPr>
            <w:tcW w:w="4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accounts receivable, net</w:t>
            </w: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15,546</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6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5"/>
          </w:tcPr>
          <w:p>
            <w:pPr>
              <w:jc w:val="right"/>
              <w:ind w:right="830"/>
              <w:spacing w:after="0" w:line="196" w:lineRule="exact"/>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2,318</w:t>
            </w:r>
          </w:p>
        </w:tc>
        <w:tc>
          <w:tcPr>
            <w:tcW w:w="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3,640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1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c>
          <w:tcPr>
            <w:tcW w:w="0" w:type="dxa"/>
            <w:vAlign w:val="bottom"/>
          </w:tcPr>
          <w:p>
            <w:pPr>
              <w:spacing w:after="0"/>
              <w:rPr>
                <w:sz w:val="1"/>
                <w:szCs w:val="1"/>
                <w:color w:val="auto"/>
              </w:rPr>
            </w:pPr>
          </w:p>
        </w:tc>
      </w:tr>
      <w:tr>
        <w:trPr>
          <w:trHeight w:val="209"/>
        </w:trPr>
        <w:tc>
          <w:tcPr>
            <w:tcW w:w="42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raw materials</w:t>
            </w:r>
          </w:p>
        </w:tc>
        <w:tc>
          <w:tcPr>
            <w:tcW w:w="1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5,042</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Work-in-process: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12,721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1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4,046</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work-in-process</w:t>
            </w:r>
          </w:p>
        </w:tc>
        <w:tc>
          <w:tcPr>
            <w:tcW w:w="1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11,668</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16,767</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2,271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1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1,562</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finished goods</w:t>
            </w:r>
          </w:p>
        </w:tc>
        <w:tc>
          <w:tcPr>
            <w:tcW w:w="1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3,833</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inventories, net</w:t>
            </w: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18,337</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25,642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 xml:space="preserve">We assign goodwill based on </w:t>
      </w:r>
      <w:r>
        <w:rPr>
          <w:rFonts w:ascii="Arial" w:cs="Arial" w:eastAsia="Arial" w:hAnsi="Arial"/>
          <w:sz w:val="18"/>
          <w:szCs w:val="18"/>
          <w:i w:val="1"/>
          <w:iCs w:val="1"/>
          <w:color w:val="auto"/>
        </w:rPr>
        <w:t>reporting unit</w:t>
      </w:r>
      <w:r>
        <w:rPr>
          <w:rFonts w:ascii="Arial" w:cs="Arial" w:eastAsia="Arial" w:hAnsi="Arial"/>
          <w:sz w:val="18"/>
          <w:szCs w:val="18"/>
          <w:color w:val="auto"/>
        </w:rPr>
        <w:t xml:space="preserve"> (as that term is defined in ASC Topic 350-20-20, </w:t>
      </w:r>
      <w:r>
        <w:rPr>
          <w:rFonts w:ascii="Arial" w:cs="Arial" w:eastAsia="Arial" w:hAnsi="Arial"/>
          <w:sz w:val="18"/>
          <w:szCs w:val="18"/>
          <w:i w:val="1"/>
          <w:iCs w:val="1"/>
          <w:color w:val="auto"/>
        </w:rPr>
        <w:t>Goodwill</w:t>
      </w:r>
      <w:r>
        <w:rPr>
          <w:rFonts w:ascii="Arial" w:cs="Arial" w:eastAsia="Arial" w:hAnsi="Arial"/>
          <w:sz w:val="18"/>
          <w:szCs w:val="18"/>
          <w:color w:val="auto"/>
        </w:rPr>
        <w:t>) which corresponds to our operating segments. All of our net goodwill relates to our Security Products segment and was generated from acquisitions relating to our Security Products segment prior to 2001. We test for goodwill impairment at the reporting unit level. In accordance with the requirements of ASC Topic 350-20-20, we review goodwill for each of our reporting units for impairment during the third quarter of each year or when circumstances arise that indicate an impairment might be present.</w:t>
      </w:r>
    </w:p>
    <w:p>
      <w:pPr>
        <w:spacing w:after="0" w:line="19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2019, 2020 and 2021, our goodwill was tested for impairment only in the third quarter of each year in connection with our annual testing date. No impairment was indicated as part of such annual reviews of goodwill. As permitted by GAAP, during each of 2019, 2020 and 2021 we used the qualitative assessment of ASC 350-20-35 for our annual impairment test and determined it was not necessary to perform the quantitative goodwill impairment test.</w:t>
      </w:r>
    </w:p>
    <w:p>
      <w:pPr>
        <w:spacing w:after="0" w:line="171"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Our gross goodwill at December 31, 2021 is $33.6 million. Prior to 2019, we recorded a $9.9 million goodwill impairment in our Marine Components segment resulting in a net consolidated carrying amount of $23.7 million. There have been no changes in the carrying amount of our goodwill during the past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9" w:name="page40"/>
    <w:bookmarkEnd w:id="39"/>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payable and accrued liabilities:</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45"/>
        </w:trPr>
        <w:tc>
          <w:tcPr>
            <w:tcW w:w="4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10"/>
        </w:trPr>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2021</w:t>
            </w:r>
          </w:p>
        </w:tc>
      </w:tr>
      <w:tr>
        <w:trPr>
          <w:trHeight w:val="196"/>
        </w:trPr>
        <w:tc>
          <w:tcPr>
            <w:tcW w:w="4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17"/>
                <w:szCs w:val="17"/>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1,859</w:t>
            </w:r>
          </w:p>
        </w:tc>
        <w:tc>
          <w:tcPr>
            <w:tcW w:w="7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2,594</w:t>
            </w:r>
          </w:p>
        </w:tc>
      </w:tr>
      <w:tr>
        <w:trPr>
          <w:trHeight w:val="216"/>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Accrued liabilities: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benefits</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9,797</w:t>
            </w: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Customer tooling</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516</w:t>
            </w:r>
          </w:p>
        </w:tc>
      </w:tr>
      <w:tr>
        <w:trPr>
          <w:trHeight w:val="216"/>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other than on income</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208</w:t>
            </w:r>
          </w:p>
        </w:tc>
      </w:tr>
      <w:tr>
        <w:trPr>
          <w:trHeight w:val="216"/>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rebates</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r>
      <w:tr>
        <w:trPr>
          <w:trHeight w:val="216"/>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w:t>
            </w:r>
          </w:p>
        </w:tc>
      </w:tr>
      <w:tr>
        <w:trPr>
          <w:trHeight w:val="209"/>
        </w:trPr>
        <w:tc>
          <w:tcPr>
            <w:tcW w:w="4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accounts payable and accrued liabilities</w:t>
            </w: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2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14,724</w:t>
            </w:r>
          </w:p>
        </w:tc>
      </w:tr>
      <w:tr>
        <w:trPr>
          <w:trHeight w:val="20"/>
        </w:trPr>
        <w:tc>
          <w:tcPr>
            <w:tcW w:w="4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provision for income taxes and the difference between such provision for income taxes and the amount that would be expected using the U.S. federal statutory income tax rate of 21% are presented below. All of our pre-tax income relates to operations in the United States.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right"/>
              <w:ind w:right="51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Currently payable</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3,222</w:t>
            </w:r>
          </w:p>
        </w:tc>
        <w:tc>
          <w:tcPr>
            <w:tcW w:w="18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expense (benefit)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2"/>
              </w:rPr>
              <w:t>Expected tax expense, at the U.S. federal statutory income tax rate of 21%</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4,397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2,835</w:t>
            </w:r>
          </w:p>
        </w:tc>
        <w:tc>
          <w:tcPr>
            <w:tcW w:w="18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FDII benefit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300"/>
              <w:spacing w:after="0"/>
              <w:rPr>
                <w:sz w:val="20"/>
                <w:szCs w:val="20"/>
                <w:color w:val="auto"/>
              </w:rPr>
            </w:pPr>
            <w:r>
              <w:rPr>
                <w:rFonts w:ascii="Arial" w:cs="Arial" w:eastAsia="Arial" w:hAnsi="Arial"/>
                <w:sz w:val="18"/>
                <w:szCs w:val="18"/>
                <w:color w:val="auto"/>
              </w:rPr>
              <w:t>Total provision for income taxes</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Under the “Tax Cuts and Jobs Act,” domestic corporations who are U.S. exporters with no foreign operations may be eligible for a deduction under the foreign derived intangible income provisions. We qualify for this deduction and recognized a current cash tax benefit of $0.2 million in 2019 ($0.1 million of such current cash tax benefit is related to 2018) and $0.1 million in each of 2020 and 2021. See also Note 10 to our Consolidated Financial Statements.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tbl>
      <w:tblPr>
        <w:tblLayout w:type="fixed"/>
        <w:tblInd w:w="60" w:type="dxa"/>
        <w:tblCellMar>
          <w:top w:w="0" w:type="dxa"/>
          <w:left w:w="0" w:type="dxa"/>
          <w:bottom w:w="0" w:type="dxa"/>
          <w:right w:w="0" w:type="dxa"/>
        </w:tblCellMar>
      </w:tblPr>
      <w:tr>
        <w:trPr>
          <w:trHeight w:val="230"/>
        </w:trPr>
        <w:tc>
          <w:tcPr>
            <w:tcW w:w="5860" w:type="dxa"/>
            <w:vAlign w:val="bottom"/>
          </w:tcPr>
          <w:p>
            <w:pPr>
              <w:ind w:left="640"/>
              <w:spacing w:after="0"/>
              <w:rPr>
                <w:sz w:val="20"/>
                <w:szCs w:val="20"/>
                <w:color w:val="auto"/>
              </w:rPr>
            </w:pPr>
            <w:r>
              <w:rPr>
                <w:rFonts w:ascii="Arial" w:cs="Arial" w:eastAsia="Arial" w:hAnsi="Arial"/>
                <w:sz w:val="18"/>
                <w:szCs w:val="18"/>
                <w:color w:val="auto"/>
                <w:w w:val="91"/>
              </w:rPr>
              <w:t>The components of the net deferred tax liability are summarized below.</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45"/>
        </w:trPr>
        <w:tc>
          <w:tcPr>
            <w:tcW w:w="5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09"/>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2021</w:t>
            </w:r>
          </w:p>
        </w:tc>
      </w:tr>
      <w:tr>
        <w:trPr>
          <w:trHeight w:val="196"/>
        </w:trPr>
        <w:tc>
          <w:tcPr>
            <w:tcW w:w="5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temporary differences related to:</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18"/>
                <w:szCs w:val="18"/>
                <w:color w:val="auto"/>
              </w:rPr>
            </w:pPr>
          </w:p>
        </w:tc>
        <w:tc>
          <w:tcPr>
            <w:tcW w:w="460" w:type="dxa"/>
            <w:vAlign w:val="bottom"/>
            <w:gridSpan w:val="2"/>
          </w:tcPr>
          <w:p>
            <w:pPr>
              <w:jc w:val="right"/>
              <w:ind w:right="287"/>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531</w:t>
            </w: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(2,951)</w:t>
            </w: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Accrued liabilities and other deductible differences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employee benefits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1,182</w:t>
            </w: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(1,693)</w:t>
            </w: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taxable differences</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Total deferred tax liability</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(2,918)</w:t>
            </w:r>
          </w:p>
        </w:tc>
      </w:tr>
      <w:tr>
        <w:trPr>
          <w:trHeight w:val="20"/>
        </w:trPr>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and Contran file income tax returns in U.S. federal and various state and local jurisdictions. Our income tax returns prior to 2018 are generally considered closed to examination by applicable tax authorities.</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720" w:type="dxa"/>
            <w:vAlign w:val="bottom"/>
            <w:tcBorders>
              <w:bottom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Shares of common 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Issued</w:t>
            </w: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Treasury</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Outstanding</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12,435,557</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Issued</w:t>
            </w:r>
          </w:p>
        </w:tc>
        <w:tc>
          <w:tcPr>
            <w:tcW w:w="104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12,443,057</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Issued</w:t>
            </w:r>
          </w:p>
        </w:tc>
        <w:tc>
          <w:tcPr>
            <w:tcW w:w="1040" w:type="dxa"/>
            <w:vAlign w:val="bottom"/>
          </w:tcPr>
          <w:p>
            <w:pPr>
              <w:jc w:val="right"/>
              <w:spacing w:after="0"/>
              <w:rPr>
                <w:sz w:val="20"/>
                <w:szCs w:val="20"/>
                <w:color w:val="auto"/>
              </w:rPr>
            </w:pPr>
            <w:r>
              <w:rPr>
                <w:rFonts w:ascii="Arial" w:cs="Arial" w:eastAsia="Arial" w:hAnsi="Arial"/>
                <w:sz w:val="18"/>
                <w:szCs w:val="18"/>
                <w:color w:val="auto"/>
              </w:rPr>
              <w:t>8,100</w:t>
            </w:r>
          </w:p>
        </w:tc>
        <w:tc>
          <w:tcPr>
            <w:tcW w:w="2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12,451,157</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Issued</w:t>
            </w:r>
          </w:p>
        </w:tc>
        <w:tc>
          <w:tcPr>
            <w:tcW w:w="1040" w:type="dxa"/>
            <w:vAlign w:val="bottom"/>
          </w:tcPr>
          <w:p>
            <w:pPr>
              <w:jc w:val="right"/>
              <w:spacing w:after="0"/>
              <w:rPr>
                <w:sz w:val="20"/>
                <w:szCs w:val="20"/>
                <w:color w:val="auto"/>
              </w:rPr>
            </w:pPr>
            <w:r>
              <w:rPr>
                <w:rFonts w:ascii="Arial" w:cs="Arial" w:eastAsia="Arial" w:hAnsi="Arial"/>
                <w:sz w:val="18"/>
                <w:szCs w:val="18"/>
                <w:color w:val="auto"/>
              </w:rPr>
              <w:t>4,500</w:t>
            </w:r>
          </w:p>
        </w:tc>
        <w:tc>
          <w:tcPr>
            <w:tcW w:w="2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Retired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12,380,657</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12,380,657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Our authorized capital stock consists of 20,000,000 shares of Class A common stock and 1,000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preferred stock.</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i w:val="1"/>
          <w:iCs w:val="1"/>
          <w:color w:val="auto"/>
        </w:rPr>
        <w:t xml:space="preserve">Share repurchases and cancellations. </w:t>
      </w:r>
      <w:r>
        <w:rPr>
          <w:rFonts w:ascii="Arial" w:cs="Arial" w:eastAsia="Arial" w:hAnsi="Arial"/>
          <w:sz w:val="16"/>
          <w:szCs w:val="16"/>
          <w:color w:val="auto"/>
        </w:rPr>
        <w:t>Prior to 2019, our board of directors authorized various repurchases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Class A common 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will generally use cash on hand to acquire the shares. Repurchased shares will be added to our treasury and cancelled. We made no treasury purchases during 2019 or 2020. During 2021, we purchased 75,000 shares of our Class A common stock (50,000 shares in the first quarter and 25,000 shares in the fourth quarter) in market transactions for approximately $1.3 million. We cancelled these treasury shares and allocated their costs to common stock at par value and additional paid-in-capital. At December 31, 2021, 602,547 shares were available for purchase under these authorizations.</w:t>
      </w:r>
    </w:p>
    <w:p>
      <w:pPr>
        <w:spacing w:after="0" w:line="16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 xml:space="preserve">Incentive compensation plan. </w:t>
      </w:r>
      <w:r>
        <w:rPr>
          <w:rFonts w:ascii="Arial" w:cs="Arial" w:eastAsia="Arial" w:hAnsi="Arial"/>
          <w:sz w:val="18"/>
          <w:szCs w:val="18"/>
          <w:color w:val="auto"/>
        </w:rPr>
        <w:t>We have a share-based incentive compensation plan pursuant to which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of up to 200,000 shares of our Class A common stock can be awarded to non-employee members of our board of directors. All of the Class A common shares we issued in 2019, 2020 and 2021 were issued under this plan. At December 31, 2021, 136,450 shares were available for award under this plan.</w:t>
      </w:r>
    </w:p>
    <w:p>
      <w:pPr>
        <w:spacing w:after="0" w:line="187"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We paid regular quarterly dividends of $.07 per share during 2019, $0.10 per share during 2020 and</w:t>
      </w:r>
      <w:r>
        <w:rPr>
          <w:rFonts w:ascii="Arial" w:cs="Arial" w:eastAsia="Arial" w:hAnsi="Arial"/>
          <w:sz w:val="16"/>
          <w:szCs w:val="16"/>
          <w:i w:val="1"/>
          <w:iCs w:val="1"/>
          <w:color w:val="auto"/>
        </w:rPr>
        <w:t xml:space="preserve"> </w:t>
      </w:r>
      <w:r>
        <w:rPr>
          <w:rFonts w:ascii="Arial" w:cs="Arial" w:eastAsia="Arial" w:hAnsi="Arial"/>
          <w:sz w:val="16"/>
          <w:szCs w:val="16"/>
          <w:color w:val="auto"/>
        </w:rPr>
        <w:t>$.20 per share during 2021. Declaration and payment of future dividends and the amount thereof, if any, is discretionary</w:t>
      </w:r>
    </w:p>
    <w:p>
      <w:pPr>
        <w:sectPr>
          <w:pgSz w:w="11900" w:h="16838" w:orient="portrait"/>
          <w:cols w:equalWidth="0" w:num="1">
            <w:col w:w="9019"/>
          </w:cols>
          <w:pgMar w:left="1440" w:top="1273"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41" w:name="page42"/>
    <w:bookmarkEnd w:id="41"/>
    <w:p>
      <w:pPr>
        <w:jc w:val="both"/>
        <w:ind w:left="60" w:right="59"/>
        <w:spacing w:after="0" w:line="277" w:lineRule="auto"/>
        <w:rPr>
          <w:sz w:val="20"/>
          <w:szCs w:val="20"/>
          <w:color w:val="auto"/>
        </w:rPr>
      </w:pPr>
      <w:r>
        <w:rPr>
          <w:rFonts w:ascii="Arial" w:cs="Arial" w:eastAsia="Arial" w:hAnsi="Arial"/>
          <w:sz w:val="18"/>
          <w:szCs w:val="18"/>
          <w:color w:val="auto"/>
        </w:rPr>
        <w:t>and dependent upon our results of operations, financial condition, cash requirements for our businesses, contractual requirements and restrictions and other factors deemed relevant by our board of directors.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may be deemed to be controlled by Ms. Lisa Simmons and the Family Trust. See Note 1. Corporations that may be deemed to be controlled by or affiliated with these individuals sometimes engage in (a) intercorporate transactions such as guarantees, management and expense sharing arrangements, shared fee arrangements, joint ventures, partnerships, loans, options, advances of funds on open account, and sales, leases and exchanges of assets, including securities issued by both related and unrelated parties and (b) 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 publicly-held minority equity interest in another related party. We continuously consider, review and evaluate, and understand that Contran and related entities consider, review and evaluate such transactions. Depending upon the business, tax and other objectives then relevant, it is possible that we might be a party to one or more such transactions in the future.</w:t>
      </w:r>
    </w:p>
    <w:p>
      <w:pPr>
        <w:spacing w:after="0" w:line="17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While certain of these loans may be of a lesser credit quality than cash equivalent instruments otherwise available to us, we believe we have evaluated the credit risks in the terms of the applicable loans. In this regard, prior to 2019, we entered into an unsecured revolving demand promissory note with Valhi under which, as amended, we have agreed to loan Valhi up to $30 million. Our loan to Valhi, as amended, bears interest at prime plus 1.00%, payable quarterly, with all principal due on demand, but in any event no earlier than December 31, 2023. Loans made to Valhi at any time under the agreement are at our discretion. At the end of our fiscal year in 2020 and 2021, the outstanding principal balance receivable from Valhi under the promissory note was $29.5 million and $18.7 million, respectively. Interest income (including unused commitment fees) on our loan to Valhi was $2.4 million in 2019, $1.5 million in 2020 and $1.2 million in 2021.</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Under the terms of an Intercorporate Service Agreement (“ISA”) with Contran, employees of Contran perform certain management, tax planning, financial, legal and administrative services for us on a fee basis. Such fees are based upon the compensation of individual Contran employees providing services for us and/or estimates of time devoted to our affairs by such persons. Because of the number of companies affiliated with Contran, we believe we benefit from cost savings and economies of scale gained by not having certain management, financial and administrative staffs duplicated at each entity, thus allowing certain individuals to provide services to multiple companies but only be compensated by one entity. We negotiate ISA fees annually and agreements renew quarterly. Fees pursuant to these agreements aggregated $3.4 million in each of 2019, 2020, and 2021.</w:t>
      </w:r>
    </w:p>
    <w:p>
      <w:pPr>
        <w:spacing w:after="0" w:line="17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Contran and certain of its subsidiaries and affiliates, including us, purchase certain of their insurance policies as a group, with the costs of the jointly-owned policies being apportioned among the participating companies. Tall Pines Insurance Company (“Tall Pines”), a subsidiary of Valhi, underwrites certain insurance policies for Contran and certain of its subsidiaries and affiliates, including us. Tall Pines purchases reinsurance from third-party insurance carriers with an A.M. Best Company rating of generally at least A-(Excellent) for substantially all of the risks it underwrites. EWI RE, Inc., a subsidiary of NL, brokered certain of our insurance policies, provided claims and risk management services and, where appropriate, engaged certain third-party risk management consultants prior to NL’s sale of EWI’s insurance and risk management business to a third party in November 2019. Consistent with insurance industry practices, Tall Pines receives commissions from reinsurance underwriters and/or assesses fees for certain of the policies that it underwrites, and prior to November 2019 EWI received commissions from the insurance and reinsurance underwriters for the policies that it brokered. The aggregate amounts we paid under the group insurance program was approximately $2.3 million through the date of the sale in 2019. This amount principally represents insurance premiums paid to Tall Pines or EWI, including amounts paid to EWI that EWI then remitted, net of brokerage commissions, to insurers. Following the sale of EWI’s insurance and risk management business, Contran engaged the third-party insurance broker that purchased the business to provide many of the services previously provided by EWI, and we continue to utilize Tall Pines to underwrite certain</w:t>
      </w:r>
    </w:p>
    <w:p>
      <w:pPr>
        <w:sectPr>
          <w:pgSz w:w="11900" w:h="16838" w:orient="portrait"/>
          <w:cols w:equalWidth="0" w:num="1">
            <w:col w:w="9019"/>
          </w:cols>
          <w:pgMar w:left="1440" w:top="1273"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42" w:name="page43"/>
    <w:bookmarkEnd w:id="42"/>
    <w:p>
      <w:pPr>
        <w:jc w:val="both"/>
        <w:ind w:left="60" w:right="59"/>
        <w:spacing w:after="0" w:line="272" w:lineRule="auto"/>
        <w:rPr>
          <w:sz w:val="20"/>
          <w:szCs w:val="20"/>
          <w:color w:val="auto"/>
        </w:rPr>
      </w:pPr>
      <w:r>
        <w:rPr>
          <w:rFonts w:ascii="Arial" w:cs="Arial" w:eastAsia="Arial" w:hAnsi="Arial"/>
          <w:sz w:val="17"/>
          <w:szCs w:val="17"/>
          <w:color w:val="auto"/>
        </w:rPr>
        <w:t>insurance risks. During 2020 and 2021, we paid $2.8 million and $2.9 million, respectively under the group insurance program, which amounts principally represent insurance premiums, including $.7 million and $.9 million, respectively, for policies written by Tall Pines. Amounts paid under the group insurance program also include payments to insurers or reinsurers (which prior to the sale were made through EWI) for the reimbursement of claims within our applicable deductible or retention ranges that such insurers and reinsurers paid to third parties on our behalf, as well as amounts for claims and risk management services and various other third-party fees and expenses incurred by the program. We expect that these relationships in place during 2021 will continue in 2022.</w:t>
      </w:r>
    </w:p>
    <w:p>
      <w:pPr>
        <w:spacing w:after="0" w:line="17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With respect to certain of such jointly-owned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amongst those entities that had submitted claims under the relevant policy. We believe the benefits, in the form of reduced premiums and broader coverage associated with the group coverage for such policies, justifies the risk associated with the potential for any uninsured loss.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 We are involved, from time to time, in various environmental, contractual, product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patent (or intellectual property), employment and other claims and disputes incidental to our business. We currently believe the disposition of all claims and disputes, individually or in the aggregate, should not have a material long-term adverse effect on our consolidated financial condition, results of operations or liquidity.</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i w:val="1"/>
          <w:iCs w:val="1"/>
          <w:color w:val="auto"/>
        </w:rPr>
        <w:t>Environmental matters and litigation</w:t>
      </w:r>
      <w:r>
        <w:rPr>
          <w:rFonts w:ascii="Arial" w:cs="Arial" w:eastAsia="Arial" w:hAnsi="Arial"/>
          <w:sz w:val="18"/>
          <w:szCs w:val="18"/>
          <w:color w:val="auto"/>
        </w:rPr>
        <w:t>. Our operations are governed by various federal, state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laws and regulations. Our policy is to comply with environmental laws and regulations at all of our facilities and to continually strive to improve environmental performance in association with applicable industry initiatives. We believe our operations are in substantial compliance with applicable requirements of environmental laws. From time to time, we may be subject to environmental regulatory enforcement under various statutes, resolution of which typically involves the establishment of compliance programs.</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From time to time, we undergo examinations of our income tax returns, and tax authorities have or</w:t>
      </w:r>
      <w:r>
        <w:rPr>
          <w:rFonts w:ascii="Arial" w:cs="Arial" w:eastAsia="Arial" w:hAnsi="Arial"/>
          <w:sz w:val="18"/>
          <w:szCs w:val="18"/>
          <w:i w:val="1"/>
          <w:iCs w:val="1"/>
          <w:color w:val="auto"/>
        </w:rPr>
        <w:t xml:space="preserve"> </w:t>
      </w:r>
      <w:r>
        <w:rPr>
          <w:rFonts w:ascii="Arial" w:cs="Arial" w:eastAsia="Arial" w:hAnsi="Arial"/>
          <w:sz w:val="18"/>
          <w:szCs w:val="18"/>
          <w:color w:val="auto"/>
        </w:rPr>
        <w:t>may propose tax deficiencies. We believe we have adequately provided accruals for additional income taxes and related interest expense which may ultimately result from such examinations and we believe that the ultimate disposition of all such examinations should not have a material adverse effect on our consolidated financial position, results of operations or liquidity.</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are a party to a tax sharing agreement with Contran and NL providing for the allocation of tax liabilities and tax payments as described in Note 1. Under applicable law, we, as well as every other member of the Contran Tax Group, are each jointly and severally liable for the aggregate federal income tax liability of Contran and the other companies included in the Contran Tax Group for all periods in which we are included in the Contran Tax Group. NL has agreed, however, to indemnify us for any liability for income taxes of the Contran Tax Group in excess of our tax liability in accordance with the tax sharing agreement.</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 Our products are sold primarily in North America to original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Our ten largest customers accounted for approximately 47% of sales in 2019, 48% in 2020 and 51% in 2021. One customer of the Security Products segment accounted for 14% of consolidated sales in 2019, 17% in 2020 and 16% in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instruments: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3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Fair</w:t>
            </w:r>
          </w:p>
        </w:tc>
      </w:tr>
      <w:tr>
        <w:trPr>
          <w:trHeight w:val="234"/>
        </w:trPr>
        <w:tc>
          <w:tcPr>
            <w:tcW w:w="3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value</w:t>
            </w:r>
          </w:p>
        </w:tc>
      </w:tr>
      <w:tr>
        <w:trPr>
          <w:trHeight w:val="196"/>
        </w:trPr>
        <w:tc>
          <w:tcPr>
            <w:tcW w:w="3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right"/>
              <w:ind w:right="430"/>
              <w:spacing w:after="0" w:line="196"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76,579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76,579</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15,546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15,546</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3,408</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Due to their near-term maturities, the carrying amounts of accounts receivable and accounts payable are considered equivalent to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587375</wp:posOffset>
            </wp:positionH>
            <wp:positionV relativeFrom="page">
              <wp:posOffset>116840</wp:posOffset>
            </wp:positionV>
            <wp:extent cx="6373495" cy="8902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6373495" cy="8902065"/>
                    </a:xfrm>
                    <a:prstGeom prst="rect">
                      <a:avLst/>
                    </a:prstGeom>
                    <a:noFill/>
                  </pic:spPr>
                </pic:pic>
              </a:graphicData>
            </a:graphic>
          </wp:anchor>
        </w:drawing>
        <w:t>UNSECURED REVOLVING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DEMAND PROMISSORY NOTE</w:t>
      </w:r>
    </w:p>
    <w:p>
      <w:pPr>
        <w:spacing w:after="0" w:line="9" w:lineRule="exact"/>
        <w:rPr>
          <w:sz w:val="20"/>
          <w:szCs w:val="20"/>
          <w:color w:val="auto"/>
        </w:rPr>
      </w:pPr>
    </w:p>
    <w:p>
      <w:pPr>
        <w:ind w:left="320"/>
        <w:spacing w:after="0"/>
        <w:tabs>
          <w:tab w:leader="none" w:pos="7220" w:val="left"/>
        </w:tabs>
        <w:rPr>
          <w:sz w:val="20"/>
          <w:szCs w:val="20"/>
          <w:color w:val="auto"/>
        </w:rPr>
      </w:pPr>
      <w:r>
        <w:rPr>
          <w:rFonts w:ascii="Arial" w:cs="Arial" w:eastAsia="Arial" w:hAnsi="Arial"/>
          <w:sz w:val="18"/>
          <w:szCs w:val="18"/>
          <w:b w:val="1"/>
          <w:bCs w:val="1"/>
          <w:color w:val="auto"/>
          <w:highlight w:val="white"/>
        </w:rPr>
        <w:t>$30,000,000.00</w:t>
      </w:r>
      <w:r>
        <w:rPr>
          <w:sz w:val="20"/>
          <w:szCs w:val="20"/>
          <w:color w:val="auto"/>
        </w:rPr>
        <w:tab/>
      </w:r>
      <w:r>
        <w:rPr>
          <w:rFonts w:ascii="Arial" w:cs="Arial" w:eastAsia="Arial" w:hAnsi="Arial"/>
          <w:sz w:val="15"/>
          <w:szCs w:val="15"/>
          <w:b w:val="1"/>
          <w:bCs w:val="1"/>
          <w:color w:val="auto"/>
          <w:highlight w:val="white"/>
        </w:rPr>
        <w:t>December 31, 2021</w:t>
      </w:r>
    </w:p>
    <w:p>
      <w:pPr>
        <w:spacing w:after="0" w:line="200" w:lineRule="exact"/>
        <w:rPr>
          <w:sz w:val="20"/>
          <w:szCs w:val="20"/>
          <w:color w:val="auto"/>
        </w:rPr>
      </w:pPr>
    </w:p>
    <w:p>
      <w:pPr>
        <w:spacing w:after="0" w:line="250" w:lineRule="exact"/>
        <w:rPr>
          <w:sz w:val="20"/>
          <w:szCs w:val="20"/>
          <w:color w:val="auto"/>
        </w:rPr>
      </w:pPr>
    </w:p>
    <w:p>
      <w:pPr>
        <w:jc w:val="both"/>
        <w:ind w:left="320" w:right="319" w:firstLine="648"/>
        <w:spacing w:after="0" w:line="289"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b w:val="1"/>
          <w:bCs w:val="1"/>
          <w:i w:val="1"/>
          <w:iCs w:val="1"/>
          <w:color w:val="auto"/>
        </w:rPr>
        <w:t>Promise to Pay</w:t>
      </w:r>
      <w:r>
        <w:rPr>
          <w:rFonts w:ascii="Arial" w:cs="Arial" w:eastAsia="Arial" w:hAnsi="Arial"/>
          <w:sz w:val="16"/>
          <w:szCs w:val="16"/>
          <w:color w:val="auto"/>
        </w:rPr>
        <w:t>. For and in consideration of value received, the undersigned, V</w:t>
      </w:r>
      <w:r>
        <w:rPr>
          <w:rFonts w:ascii="Arial" w:cs="Arial" w:eastAsia="Arial" w:hAnsi="Arial"/>
          <w:sz w:val="11"/>
          <w:szCs w:val="11"/>
          <w:color w:val="auto"/>
        </w:rPr>
        <w:t>ALHI</w:t>
      </w:r>
      <w:r>
        <w:rPr>
          <w:rFonts w:ascii="Arial" w:cs="Arial" w:eastAsia="Arial" w:hAnsi="Arial"/>
          <w:sz w:val="16"/>
          <w:szCs w:val="16"/>
          <w:color w:val="auto"/>
        </w:rPr>
        <w:t>, I</w:t>
      </w:r>
      <w:r>
        <w:rPr>
          <w:rFonts w:ascii="Arial" w:cs="Arial" w:eastAsia="Arial" w:hAnsi="Arial"/>
          <w:sz w:val="11"/>
          <w:szCs w:val="11"/>
          <w:color w:val="auto"/>
        </w:rPr>
        <w:t>NC</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duly organized under the laws of the state of Delaware (“</w:t>
      </w:r>
      <w:r>
        <w:rPr>
          <w:rFonts w:ascii="Arial" w:cs="Arial" w:eastAsia="Arial" w:hAnsi="Arial"/>
          <w:sz w:val="16"/>
          <w:szCs w:val="16"/>
          <w:i w:val="1"/>
          <w:iCs w:val="1"/>
          <w:color w:val="auto"/>
        </w:rPr>
        <w:t>Borrower</w:t>
      </w:r>
      <w:r>
        <w:rPr>
          <w:rFonts w:ascii="Arial" w:cs="Arial" w:eastAsia="Arial" w:hAnsi="Arial"/>
          <w:sz w:val="16"/>
          <w:szCs w:val="16"/>
          <w:color w:val="auto"/>
        </w:rPr>
        <w:t>”), promises to pay, in lawful money of the United States of America, to the order of COMPX INTERNATIONAL INC., a corporation duly organized under the laws of the state of Delaware (“</w:t>
      </w:r>
      <w:r>
        <w:rPr>
          <w:rFonts w:ascii="Arial" w:cs="Arial" w:eastAsia="Arial" w:hAnsi="Arial"/>
          <w:sz w:val="16"/>
          <w:szCs w:val="16"/>
          <w:i w:val="1"/>
          <w:iCs w:val="1"/>
          <w:color w:val="auto"/>
        </w:rPr>
        <w:t>CompX</w:t>
      </w:r>
      <w:r>
        <w:rPr>
          <w:rFonts w:ascii="Arial" w:cs="Arial" w:eastAsia="Arial" w:hAnsi="Arial"/>
          <w:sz w:val="16"/>
          <w:szCs w:val="16"/>
          <w:color w:val="auto"/>
        </w:rPr>
        <w:t>”), or the holder hereof (as applicable, CompX or such holder shall be referred to as the “</w:t>
      </w:r>
      <w:r>
        <w:rPr>
          <w:rFonts w:ascii="Arial" w:cs="Arial" w:eastAsia="Arial" w:hAnsi="Arial"/>
          <w:sz w:val="16"/>
          <w:szCs w:val="16"/>
          <w:i w:val="1"/>
          <w:iCs w:val="1"/>
          <w:color w:val="auto"/>
        </w:rPr>
        <w:t>Noteholder</w:t>
      </w:r>
      <w:r>
        <w:rPr>
          <w:rFonts w:ascii="Arial" w:cs="Arial" w:eastAsia="Arial" w:hAnsi="Arial"/>
          <w:sz w:val="16"/>
          <w:szCs w:val="16"/>
          <w:color w:val="auto"/>
        </w:rPr>
        <w:t>”), the principal sum of THIRTY MILLION and NO/100ths United States Dollars ($30,000,000.00) or such lesser amount as shall equal the unpaid principal amount of the loan made by the Noteholder to Borrower together with accrued and unpaid interest on the unpaid principal balance from time to time pursuant to the terms of this Unsecured Revolving Demand Promissory Note, as it may be amended from time to time (this “</w:t>
      </w:r>
      <w:r>
        <w:rPr>
          <w:rFonts w:ascii="Arial" w:cs="Arial" w:eastAsia="Arial" w:hAnsi="Arial"/>
          <w:sz w:val="16"/>
          <w:szCs w:val="16"/>
          <w:i w:val="1"/>
          <w:iCs w:val="1"/>
          <w:color w:val="auto"/>
        </w:rPr>
        <w:t>Note</w:t>
      </w:r>
      <w:r>
        <w:rPr>
          <w:rFonts w:ascii="Arial" w:cs="Arial" w:eastAsia="Arial" w:hAnsi="Arial"/>
          <w:sz w:val="16"/>
          <w:szCs w:val="16"/>
          <w:color w:val="auto"/>
        </w:rPr>
        <w:t xml:space="preserve">”). This Note shall be unsecured and will bear interest on the terms set forth in </w:t>
      </w:r>
      <w:r>
        <w:rPr>
          <w:rFonts w:ascii="Arial" w:cs="Arial" w:eastAsia="Arial" w:hAnsi="Arial"/>
          <w:sz w:val="16"/>
          <w:szCs w:val="16"/>
          <w:b w:val="1"/>
          <w:bCs w:val="1"/>
          <w:color w:val="auto"/>
        </w:rPr>
        <w:t>Section 7</w:t>
      </w:r>
      <w:r>
        <w:rPr>
          <w:rFonts w:ascii="Arial" w:cs="Arial" w:eastAsia="Arial" w:hAnsi="Arial"/>
          <w:sz w:val="16"/>
          <w:szCs w:val="16"/>
          <w:color w:val="auto"/>
        </w:rPr>
        <w:t xml:space="preserve"> below. Capitalized terms not otherwise defined shall have the meanings given to such terms in </w:t>
      </w:r>
      <w:r>
        <w:rPr>
          <w:rFonts w:ascii="Arial" w:cs="Arial" w:eastAsia="Arial" w:hAnsi="Arial"/>
          <w:sz w:val="16"/>
          <w:szCs w:val="16"/>
          <w:b w:val="1"/>
          <w:bCs w:val="1"/>
          <w:color w:val="auto"/>
        </w:rPr>
        <w:t>Section 19</w:t>
      </w:r>
      <w:r>
        <w:rPr>
          <w:rFonts w:ascii="Arial" w:cs="Arial" w:eastAsia="Arial" w:hAnsi="Arial"/>
          <w:sz w:val="16"/>
          <w:szCs w:val="16"/>
          <w:color w:val="auto"/>
        </w:rPr>
        <w:t xml:space="preserve"> of this Note.</w:t>
      </w:r>
    </w:p>
    <w:p>
      <w:pPr>
        <w:spacing w:after="0" w:line="151" w:lineRule="exact"/>
        <w:rPr>
          <w:sz w:val="20"/>
          <w:szCs w:val="20"/>
          <w:color w:val="auto"/>
        </w:rPr>
      </w:pPr>
    </w:p>
    <w:p>
      <w:pPr>
        <w:jc w:val="both"/>
        <w:ind w:left="320" w:right="319" w:firstLine="648"/>
        <w:spacing w:after="0" w:line="287" w:lineRule="auto"/>
        <w:rPr>
          <w:sz w:val="20"/>
          <w:szCs w:val="20"/>
          <w:color w:val="auto"/>
        </w:rPr>
      </w:pPr>
      <w:r>
        <w:rPr>
          <w:rFonts w:ascii="Arial" w:cs="Arial" w:eastAsia="Arial" w:hAnsi="Arial"/>
          <w:sz w:val="16"/>
          <w:szCs w:val="16"/>
          <w:b w:val="1"/>
          <w:bCs w:val="1"/>
          <w:color w:val="auto"/>
        </w:rPr>
        <w:t xml:space="preserve">Section </w:t>
      </w:r>
      <w:r>
        <w:rPr>
          <w:rFonts w:ascii="Arial" w:cs="Arial" w:eastAsia="Arial" w:hAnsi="Arial"/>
          <w:sz w:val="19"/>
          <w:szCs w:val="19"/>
          <w:b w:val="1"/>
          <w:bCs w:val="1"/>
          <w:color w:val="auto"/>
        </w:rPr>
        <w:t>2.2.</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Amendment and Restatement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Note renews, replaces, amends and restates in its</w:t>
      </w:r>
      <w:r>
        <w:rPr>
          <w:rFonts w:ascii="Arial" w:cs="Arial" w:eastAsia="Arial" w:hAnsi="Arial"/>
          <w:sz w:val="16"/>
          <w:szCs w:val="16"/>
          <w:b w:val="1"/>
          <w:bCs w:val="1"/>
          <w:color w:val="auto"/>
        </w:rPr>
        <w:t xml:space="preserve"> </w:t>
      </w:r>
      <w:r>
        <w:rPr>
          <w:rFonts w:ascii="Arial" w:cs="Arial" w:eastAsia="Arial" w:hAnsi="Arial"/>
          <w:sz w:val="16"/>
          <w:szCs w:val="16"/>
          <w:color w:val="auto"/>
        </w:rPr>
        <w:t>entirety the Unsecured Revolving Demand Promissory Note dated December 31, 2020 in the original principal amount of $40,000,000.00 payable to the order of the Noteholder and executed by the Borrower (the “</w:t>
      </w:r>
      <w:r>
        <w:rPr>
          <w:rFonts w:ascii="Arial" w:cs="Arial" w:eastAsia="Arial" w:hAnsi="Arial"/>
          <w:sz w:val="16"/>
          <w:szCs w:val="16"/>
          <w:i w:val="1"/>
          <w:iCs w:val="1"/>
          <w:color w:val="auto"/>
        </w:rPr>
        <w:t>Prior Note”</w:t>
      </w:r>
      <w:r>
        <w:rPr>
          <w:rFonts w:ascii="Arial" w:cs="Arial" w:eastAsia="Arial" w:hAnsi="Arial"/>
          <w:sz w:val="16"/>
          <w:szCs w:val="16"/>
          <w:color w:val="auto"/>
        </w:rPr>
        <w:t>).</w:t>
      </w:r>
    </w:p>
    <w:p>
      <w:pPr>
        <w:spacing w:after="0" w:line="1" w:lineRule="exact"/>
        <w:rPr>
          <w:sz w:val="20"/>
          <w:szCs w:val="20"/>
          <w:color w:val="auto"/>
        </w:rPr>
      </w:pPr>
    </w:p>
    <w:p>
      <w:pPr>
        <w:jc w:val="both"/>
        <w:ind w:left="320" w:right="319" w:firstLine="186"/>
        <w:spacing w:after="0" w:line="252" w:lineRule="auto"/>
        <w:rPr>
          <w:sz w:val="20"/>
          <w:szCs w:val="20"/>
          <w:color w:val="auto"/>
        </w:rPr>
      </w:pPr>
      <w:r>
        <w:rPr>
          <w:rFonts w:ascii="Arial" w:cs="Arial" w:eastAsia="Arial" w:hAnsi="Arial"/>
          <w:sz w:val="18"/>
          <w:szCs w:val="18"/>
          <w:color w:val="auto"/>
        </w:rPr>
        <w:t>As of the close of business on December 31, 2021, the unpaid principal balance of the Prior Note was $18,700,000.00, the accrued and unpaid interest thereon was nil and the accrued and unpaid commitment fee thereon was nil, which is the unpaid principal, accrued and unpaid interest and accrued and unpaid commitment fee owed under this Note as of the close of business on the date of this Note. This Note contains the entire understanding between the Noteholder and the Borrower with respect to the transactions contemplated hereby and supersedes all other instruments, agreements and understandings between the Noteholder and the Borrower with respect to the subject matter of this Note</w:t>
      </w:r>
      <w:r>
        <w:rPr>
          <w:rFonts w:ascii="Arial" w:cs="Arial" w:eastAsia="Arial" w:hAnsi="Arial"/>
          <w:sz w:val="21"/>
          <w:szCs w:val="21"/>
          <w:color w:val="auto"/>
        </w:rPr>
        <w:t>.</w:t>
      </w:r>
    </w:p>
    <w:p>
      <w:pPr>
        <w:spacing w:after="0" w:line="170" w:lineRule="exact"/>
        <w:rPr>
          <w:sz w:val="20"/>
          <w:szCs w:val="20"/>
          <w:color w:val="auto"/>
        </w:rPr>
      </w:pPr>
    </w:p>
    <w:p>
      <w:pPr>
        <w:jc w:val="both"/>
        <w:ind w:left="320" w:right="339" w:firstLine="648"/>
        <w:spacing w:after="0" w:line="265" w:lineRule="auto"/>
        <w:rPr>
          <w:sz w:val="20"/>
          <w:szCs w:val="20"/>
          <w:color w:val="auto"/>
        </w:rPr>
      </w:pPr>
      <w:r>
        <w:rPr>
          <w:rFonts w:ascii="Arial" w:cs="Arial" w:eastAsia="Arial" w:hAnsi="Arial"/>
          <w:sz w:val="18"/>
          <w:szCs w:val="18"/>
          <w:b w:val="1"/>
          <w:bCs w:val="1"/>
          <w:color w:val="auto"/>
        </w:rPr>
        <w:t xml:space="preserve">Section </w:t>
      </w:r>
      <w:r>
        <w:rPr>
          <w:rFonts w:ascii="Arial" w:cs="Arial" w:eastAsia="Arial" w:hAnsi="Arial"/>
          <w:sz w:val="21"/>
          <w:szCs w:val="21"/>
          <w:b w:val="1"/>
          <w:bCs w:val="1"/>
          <w:color w:val="auto"/>
        </w:rPr>
        <w:t>3.2.</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Place of Payment</w:t>
      </w:r>
      <w:r>
        <w:rPr>
          <w:rFonts w:ascii="Arial" w:cs="Arial" w:eastAsia="Arial" w:hAnsi="Arial"/>
          <w:sz w:val="18"/>
          <w:szCs w:val="18"/>
          <w:color w:val="auto"/>
        </w:rPr>
        <w:t>. All payments will be made at Noteholder’s address at Three Lincoln</w:t>
      </w:r>
      <w:r>
        <w:rPr>
          <w:rFonts w:ascii="Arial" w:cs="Arial" w:eastAsia="Arial" w:hAnsi="Arial"/>
          <w:sz w:val="18"/>
          <w:szCs w:val="18"/>
          <w:b w:val="1"/>
          <w:bCs w:val="1"/>
          <w:color w:val="auto"/>
        </w:rPr>
        <w:t xml:space="preserve"> </w:t>
      </w:r>
      <w:r>
        <w:rPr>
          <w:rFonts w:ascii="Arial" w:cs="Arial" w:eastAsia="Arial" w:hAnsi="Arial"/>
          <w:sz w:val="18"/>
          <w:szCs w:val="18"/>
          <w:color w:val="auto"/>
        </w:rPr>
        <w:t>Centre, 5430 LBJ Freeway, Suite 1700, Dallas, Texas 75240-2620, Attention: Treasurer, or such other place as the Noteholder may from time to time appoint in writing.</w:t>
      </w:r>
    </w:p>
    <w:p>
      <w:pPr>
        <w:spacing w:after="0" w:line="176" w:lineRule="exact"/>
        <w:rPr>
          <w:sz w:val="20"/>
          <w:szCs w:val="20"/>
          <w:color w:val="auto"/>
        </w:rPr>
      </w:pPr>
    </w:p>
    <w:p>
      <w:pPr>
        <w:jc w:val="both"/>
        <w:ind w:left="320" w:right="319" w:firstLine="648"/>
        <w:spacing w:after="0" w:line="292"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i w:val="1"/>
          <w:iCs w:val="1"/>
          <w:color w:val="auto"/>
        </w:rPr>
        <w:t>Payments</w:t>
      </w:r>
      <w:r>
        <w:rPr>
          <w:rFonts w:ascii="Arial" w:cs="Arial" w:eastAsia="Arial" w:hAnsi="Arial"/>
          <w:sz w:val="16"/>
          <w:szCs w:val="16"/>
          <w:color w:val="auto"/>
        </w:rPr>
        <w:t>. The unpaid principal balance of this Note and any accrued and unpaid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shall be due and payable on the Final Payment Date. Prior to the Final Payment Date, any accrued and unpaid interest on an unpaid principal balance shall be paid in arrears quarterly on the last day of each March, June, September and December, commencing March 31, 2022. All payments on this Note shall be applied first to accrued and unpaid interest, next to accrued interest not yet payable and then to principal. If any payment of principal or interest on this Note shall become due on a day that is not a Business Day, such payment shall be made on the next succeeding Business Day and the payment shall be the amount owed on the original payment date.</w:t>
      </w:r>
    </w:p>
    <w:p>
      <w:pPr>
        <w:spacing w:after="0" w:line="161"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i w:val="1"/>
          <w:iCs w:val="1"/>
          <w:color w:val="auto"/>
        </w:rPr>
        <w:t>Prepayments</w:t>
      </w:r>
      <w:r>
        <w:rPr>
          <w:rFonts w:ascii="Arial" w:cs="Arial" w:eastAsia="Arial" w:hAnsi="Arial"/>
          <w:sz w:val="18"/>
          <w:szCs w:val="18"/>
          <w:color w:val="auto"/>
        </w:rPr>
        <w:t>. This Note may be prepaid in part or in full at any time without penalty.</w:t>
      </w:r>
    </w:p>
    <w:p>
      <w:pPr>
        <w:spacing w:after="0" w:line="225" w:lineRule="exact"/>
        <w:rPr>
          <w:sz w:val="20"/>
          <w:szCs w:val="20"/>
          <w:color w:val="auto"/>
        </w:rPr>
      </w:pPr>
    </w:p>
    <w:p>
      <w:pPr>
        <w:jc w:val="both"/>
        <w:ind w:left="320" w:right="339" w:firstLine="648"/>
        <w:spacing w:after="0" w:line="312"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i w:val="1"/>
          <w:iCs w:val="1"/>
          <w:color w:val="auto"/>
        </w:rPr>
        <w:t>Borrowings</w:t>
      </w:r>
      <w:r>
        <w:rPr>
          <w:rFonts w:ascii="Arial" w:cs="Arial" w:eastAsia="Arial" w:hAnsi="Arial"/>
          <w:sz w:val="17"/>
          <w:szCs w:val="17"/>
          <w:color w:val="auto"/>
        </w:rPr>
        <w:t>. Prior to the Final Payment Date, Noteholder expressly authorizes Borrower to</w:t>
      </w:r>
      <w:r>
        <w:rPr>
          <w:rFonts w:ascii="Arial" w:cs="Arial" w:eastAsia="Arial" w:hAnsi="Arial"/>
          <w:sz w:val="17"/>
          <w:szCs w:val="17"/>
          <w:b w:val="1"/>
          <w:bCs w:val="1"/>
          <w:color w:val="auto"/>
        </w:rPr>
        <w:t xml:space="preserve"> </w:t>
      </w:r>
      <w:r>
        <w:rPr>
          <w:rFonts w:ascii="Arial" w:cs="Arial" w:eastAsia="Arial" w:hAnsi="Arial"/>
          <w:sz w:val="17"/>
          <w:szCs w:val="17"/>
          <w:color w:val="auto"/>
        </w:rPr>
        <w:t>borrow, repay and re-borrow principal under this Note in increments of $100,000 on a daily basis so long as:</w:t>
      </w:r>
    </w:p>
    <w:p>
      <w:pPr>
        <w:spacing w:after="0" w:line="135" w:lineRule="exact"/>
        <w:rPr>
          <w:sz w:val="20"/>
          <w:szCs w:val="20"/>
          <w:color w:val="auto"/>
        </w:rPr>
      </w:pPr>
    </w:p>
    <w:p>
      <w:pPr>
        <w:ind w:left="1620" w:hanging="655"/>
        <w:spacing w:after="0"/>
        <w:tabs>
          <w:tab w:leader="none" w:pos="1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aggregate outstanding principal balance does not exceed $30,000,000.00; and</w:t>
      </w:r>
    </w:p>
    <w:p>
      <w:pPr>
        <w:spacing w:after="0" w:line="23" w:lineRule="exact"/>
        <w:rPr>
          <w:rFonts w:ascii="Arial" w:cs="Arial" w:eastAsia="Arial" w:hAnsi="Arial"/>
          <w:sz w:val="22"/>
          <w:szCs w:val="22"/>
          <w:color w:val="auto"/>
        </w:rPr>
      </w:pPr>
    </w:p>
    <w:p>
      <w:pPr>
        <w:ind w:left="1620" w:hanging="655"/>
        <w:spacing w:after="0" w:line="208" w:lineRule="auto"/>
        <w:tabs>
          <w:tab w:leader="none" w:pos="16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no Event of Default has occurred and is continuing.</w:t>
      </w:r>
    </w:p>
    <w:p>
      <w:pPr>
        <w:spacing w:after="0" w:line="215" w:lineRule="exact"/>
        <w:rPr>
          <w:sz w:val="20"/>
          <w:szCs w:val="20"/>
          <w:color w:val="auto"/>
        </w:rPr>
      </w:pPr>
    </w:p>
    <w:p>
      <w:pPr>
        <w:jc w:val="both"/>
        <w:ind w:left="320" w:right="319"/>
        <w:spacing w:after="0" w:line="308" w:lineRule="auto"/>
        <w:rPr>
          <w:sz w:val="20"/>
          <w:szCs w:val="20"/>
          <w:color w:val="auto"/>
        </w:rPr>
      </w:pPr>
      <w:r>
        <w:rPr>
          <w:rFonts w:ascii="Arial" w:cs="Arial" w:eastAsia="Arial" w:hAnsi="Arial"/>
          <w:sz w:val="17"/>
          <w:szCs w:val="17"/>
          <w:i w:val="1"/>
          <w:iCs w:val="1"/>
          <w:color w:val="auto"/>
        </w:rPr>
        <w:t>Notwithstanding anything else in this Note, in no event will Noteholder be required to lend money to Borrower under this Note and loans under this Note shall be at the sole and absolute discretion of Noteholder.</w:t>
      </w:r>
    </w:p>
    <w:p>
      <w:pPr>
        <w:spacing w:after="0" w:line="142" w:lineRule="exact"/>
        <w:rPr>
          <w:sz w:val="20"/>
          <w:szCs w:val="20"/>
          <w:color w:val="auto"/>
        </w:rPr>
      </w:pPr>
    </w:p>
    <w:p>
      <w:pPr>
        <w:jc w:val="both"/>
        <w:ind w:left="320" w:right="319" w:firstLine="648"/>
        <w:spacing w:after="0" w:line="269"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i w:val="1"/>
          <w:iCs w:val="1"/>
          <w:color w:val="auto"/>
        </w:rPr>
        <w:t>Interest</w:t>
      </w:r>
      <w:r>
        <w:rPr>
          <w:rFonts w:ascii="Arial" w:cs="Arial" w:eastAsia="Arial" w:hAnsi="Arial"/>
          <w:sz w:val="17"/>
          <w:szCs w:val="17"/>
          <w:color w:val="auto"/>
        </w:rPr>
        <w:t>. The unpaid principal balance of this Note shall bear interest at the rate per annum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Prime Rate plus one percent (1.00%). In the event that an Event of Default occurs and is continuing, the unpaid principal amount shall bear interest from the Event of Default at the rate per annum of the Prime Rate plus four percent (4.00%) until such time as the Event of Default is cured. Accrued interest on the unpaid principal of this Note shall be computed on the basis of a 365- or 366-day year for actual days (including the first, but excluding the last day) elapsed, but in no event shall such computation result in an amount of accrued interest that would exceed accrued interest on the unpaid principal balance during the same period at the Maximum Rate. Notwithstanding anything to the contrary, this Note is expressly limited so that in no contingency or event whatsoever shall the amount paid or agreed to be paid to the Noteholder exceed the Maximum Rate. If, from any circumstances whatsoever, the Noteholder shall ever receive as interest an amount that would exceed the Maximum Rate, such amount that would be excessive</w:t>
      </w:r>
    </w:p>
    <w:p>
      <w:pPr>
        <w:spacing w:after="0" w:line="91" w:lineRule="exact"/>
        <w:rPr>
          <w:sz w:val="20"/>
          <w:szCs w:val="20"/>
          <w:color w:val="auto"/>
        </w:rPr>
      </w:pPr>
    </w:p>
    <w:p>
      <w:pPr>
        <w:ind w:left="320"/>
        <w:spacing w:after="0"/>
        <w:tabs>
          <w:tab w:leader="none" w:pos="7820" w:val="left"/>
        </w:tabs>
        <w:rPr>
          <w:sz w:val="20"/>
          <w:szCs w:val="20"/>
          <w:color w:val="auto"/>
        </w:rPr>
      </w:pPr>
      <w:r>
        <w:rPr>
          <w:rFonts w:ascii="Arial" w:cs="Arial" w:eastAsia="Arial" w:hAnsi="Arial"/>
          <w:sz w:val="14"/>
          <w:szCs w:val="14"/>
          <w:color w:val="auto"/>
          <w:highlight w:val="white"/>
        </w:rPr>
        <w:t>w:\teams\team_legal\working\valhi\finance\compx loan\vhi-cix-dmnd-revolvr-prom-note-211231-fin.docx</w:t>
      </w:r>
      <w:r>
        <w:rPr>
          <w:sz w:val="20"/>
          <w:szCs w:val="20"/>
          <w:color w:val="auto"/>
        </w:rPr>
        <w:tab/>
      </w:r>
      <w:r>
        <w:rPr>
          <w:rFonts w:ascii="Arial" w:cs="Arial" w:eastAsia="Arial" w:hAnsi="Arial"/>
          <w:sz w:val="15"/>
          <w:szCs w:val="15"/>
          <w:color w:val="auto"/>
          <w:highlight w:val="white"/>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516890</wp:posOffset>
            </wp:positionV>
            <wp:extent cx="65665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5" w:name="page46"/>
    <w:bookmarkEnd w:id="45"/>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8936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6373495" cy="8936355"/>
                    </a:xfrm>
                    <a:prstGeom prst="rect">
                      <a:avLst/>
                    </a:prstGeom>
                    <a:noFill/>
                  </pic:spPr>
                </pic:pic>
              </a:graphicData>
            </a:graphic>
          </wp:anchor>
        </w:drawing>
      </w:r>
    </w:p>
    <w:p>
      <w:pPr>
        <w:jc w:val="both"/>
        <w:ind w:left="320" w:right="319"/>
        <w:spacing w:after="0" w:line="267" w:lineRule="auto"/>
        <w:rPr>
          <w:sz w:val="20"/>
          <w:szCs w:val="20"/>
          <w:color w:val="auto"/>
        </w:rPr>
      </w:pPr>
      <w:r>
        <w:rPr>
          <w:rFonts w:ascii="Arial" w:cs="Arial" w:eastAsia="Arial" w:hAnsi="Arial"/>
          <w:sz w:val="17"/>
          <w:szCs w:val="17"/>
          <w:color w:val="auto"/>
        </w:rPr>
        <w:t>interest shall be applied to the reduction of the unpaid principal balance and not to the payment of interest, and if the principal amount of this Note is paid in full, any remaining excess shall be paid to Borrower, and in such event, the Noteholder shall not be subject to any penalties provided by any laws for contracting for, charging, taking, reserving or receiving interest in excess of the highest lawful rate permissible under applicable law. All sums paid or agreed to be paid to Noteholder for the use, forbearance or detention of the indebtedness of the Borrower to Noteholder shall, to the extent permitted by applicable law, be amortized, prorated, allocated and spread throughout the full term of such indebtedness until payment in full of the principal (including the period of any renewal or extension thereof) so that the interest on account of such indebtedness shall not exceed the Maximum Rate. If at any time the Contract Rate is limited to the Maximum Rate, any subsequent reductions in the Contract Rate shall not reduce the rate of interest on this Note below the Maximum Rate until the total amount of interest accrued equals the amount of interest that would have accrued if the Contract Rate had not been limited by the Maximum Rate. In the event that, upon the Final Payment Date, the total amount of interest paid or accrued on this Note is less than the amount of interest that would have accrued if the Contract Rate had not been limited by the Maximum Rate, then at such time, to the extent permitted by law, in addition to the principal and any other amounts Borrower owes to the Noteholder, the Borrower shall pay to the Noteholder an amount equal to the difference between: (i) the lesser of the amount of interest that would have accrued if the Contract Rate had not been limited by the Maximum Rate or the amount of interest that would have accrued if the Maximum Rate had at all times been in effect; and (ii) the amount of interest actually paid on this Note.</w:t>
      </w:r>
    </w:p>
    <w:p>
      <w:pPr>
        <w:spacing w:after="0" w:line="186" w:lineRule="exact"/>
        <w:rPr>
          <w:sz w:val="20"/>
          <w:szCs w:val="20"/>
          <w:color w:val="auto"/>
        </w:rPr>
      </w:pPr>
    </w:p>
    <w:p>
      <w:pPr>
        <w:jc w:val="both"/>
        <w:ind w:left="320" w:right="319" w:firstLine="648"/>
        <w:spacing w:after="0" w:line="272" w:lineRule="auto"/>
        <w:rPr>
          <w:sz w:val="20"/>
          <w:szCs w:val="20"/>
          <w:color w:val="auto"/>
        </w:rPr>
      </w:pPr>
      <w:r>
        <w:rPr>
          <w:rFonts w:ascii="Arial" w:cs="Arial" w:eastAsia="Arial" w:hAnsi="Arial"/>
          <w:sz w:val="17"/>
          <w:szCs w:val="17"/>
          <w:b w:val="1"/>
          <w:bCs w:val="1"/>
          <w:color w:val="auto"/>
        </w:rPr>
        <w:t>Section 8. Fees and Expenses</w:t>
      </w:r>
      <w:r>
        <w:rPr>
          <w:rFonts w:ascii="Arial" w:cs="Arial" w:eastAsia="Arial" w:hAnsi="Arial"/>
          <w:sz w:val="17"/>
          <w:szCs w:val="17"/>
          <w:color w:val="auto"/>
        </w:rPr>
        <w:t>. On the last day of each March, June, September and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commencing March 31, 2022, and on the Final Payment Date, Borrower shall pay to Noteholder the Unused Commitment Fee for such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Borrower will not owe any Unused Commitment Fee for any part of such period (prorated as applicable) that the Noteholder is a net borrower of money from the Borrower. In addition, Borrower and any guarantor jointly and severally agree to pay on the Final Payment Date to Noteholder any other cost or expense reasonably incurred by Noteholder in connection with Noteholder’s commitment to Borrower pursuant to the terms of this Note, including without limitation any other cost reasonably incurred by Noteholder pursuant to the terms of any credit facility of Noteholder.</w:t>
      </w:r>
    </w:p>
    <w:p>
      <w:pPr>
        <w:spacing w:after="0" w:line="172" w:lineRule="exact"/>
        <w:rPr>
          <w:sz w:val="20"/>
          <w:szCs w:val="20"/>
          <w:color w:val="auto"/>
        </w:rPr>
      </w:pPr>
    </w:p>
    <w:p>
      <w:pPr>
        <w:jc w:val="both"/>
        <w:ind w:left="320" w:right="319" w:firstLine="648"/>
        <w:spacing w:after="0" w:line="272" w:lineRule="auto"/>
        <w:rPr>
          <w:sz w:val="20"/>
          <w:szCs w:val="20"/>
          <w:color w:val="auto"/>
        </w:rPr>
      </w:pPr>
      <w:r>
        <w:rPr>
          <w:rFonts w:ascii="Arial" w:cs="Arial" w:eastAsia="Arial" w:hAnsi="Arial"/>
          <w:sz w:val="17"/>
          <w:szCs w:val="17"/>
          <w:b w:val="1"/>
          <w:bCs w:val="1"/>
          <w:color w:val="auto"/>
        </w:rPr>
        <w:t xml:space="preserve">Section 9. </w:t>
      </w:r>
      <w:r>
        <w:rPr>
          <w:rFonts w:ascii="Arial" w:cs="Arial" w:eastAsia="Arial" w:hAnsi="Arial"/>
          <w:sz w:val="17"/>
          <w:szCs w:val="17"/>
          <w:b w:val="1"/>
          <w:bCs w:val="1"/>
          <w:i w:val="1"/>
          <w:iCs w:val="1"/>
          <w:color w:val="auto"/>
        </w:rPr>
        <w:t>Remedy</w:t>
      </w:r>
      <w:r>
        <w:rPr>
          <w:rFonts w:ascii="Arial" w:cs="Arial" w:eastAsia="Arial" w:hAnsi="Arial"/>
          <w:sz w:val="17"/>
          <w:szCs w:val="17"/>
          <w:color w:val="auto"/>
        </w:rPr>
        <w:t>. Upon the occurrence and during the continuation of an Event of Default, the</w:t>
      </w:r>
      <w:r>
        <w:rPr>
          <w:rFonts w:ascii="Arial" w:cs="Arial" w:eastAsia="Arial" w:hAnsi="Arial"/>
          <w:sz w:val="17"/>
          <w:szCs w:val="17"/>
          <w:b w:val="1"/>
          <w:bCs w:val="1"/>
          <w:color w:val="auto"/>
        </w:rPr>
        <w:t xml:space="preserve"> </w:t>
      </w:r>
      <w:r>
        <w:rPr>
          <w:rFonts w:ascii="Arial" w:cs="Arial" w:eastAsia="Arial" w:hAnsi="Arial"/>
          <w:sz w:val="17"/>
          <w:szCs w:val="17"/>
          <w:color w:val="auto"/>
        </w:rPr>
        <w:t>Noteholder shall have all of the rights and remedies provided in the applicable Uniform Commercial Code, this Note or any other agreement among Borrower and in favor of the Noteholder, as well as those rights and remedies provided by any other applicable law, rule or regulation. In conjunction with and in addition to the foregoing rights and remedies of the Noteholder, the Noteholder may declare all indebtedness due under this Note, although otherwise unmatured, to be due and payable immediately without notice or demand whatsoever. All rights and remedies of the Noteholder are cumulative and may be exercised singly or concurrently. The failure to exercise any right or remedy will not be a waiver of such right or remedy.</w:t>
      </w:r>
    </w:p>
    <w:p>
      <w:pPr>
        <w:spacing w:after="0" w:line="172" w:lineRule="exact"/>
        <w:rPr>
          <w:sz w:val="20"/>
          <w:szCs w:val="20"/>
          <w:color w:val="auto"/>
        </w:rPr>
      </w:pPr>
    </w:p>
    <w:p>
      <w:pPr>
        <w:jc w:val="both"/>
        <w:ind w:left="320" w:right="339" w:firstLine="648"/>
        <w:spacing w:after="0" w:line="28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i w:val="1"/>
          <w:iCs w:val="1"/>
          <w:color w:val="auto"/>
        </w:rPr>
        <w:t>Right of Offset</w:t>
      </w:r>
      <w:r>
        <w:rPr>
          <w:rFonts w:ascii="Arial" w:cs="Arial" w:eastAsia="Arial" w:hAnsi="Arial"/>
          <w:sz w:val="18"/>
          <w:szCs w:val="18"/>
          <w:color w:val="auto"/>
        </w:rPr>
        <w:t>. The Noteholder shall have the right of offset against amounts that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due by the Noteholder now or in the future to Borrower against amounts due under this Note.</w:t>
      </w:r>
    </w:p>
    <w:p>
      <w:pPr>
        <w:spacing w:after="0" w:line="162" w:lineRule="exact"/>
        <w:rPr>
          <w:sz w:val="20"/>
          <w:szCs w:val="20"/>
          <w:color w:val="auto"/>
        </w:rPr>
      </w:pPr>
    </w:p>
    <w:p>
      <w:pPr>
        <w:jc w:val="both"/>
        <w:ind w:left="320" w:right="319" w:firstLine="648"/>
        <w:spacing w:after="0" w:line="273"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b w:val="1"/>
          <w:bCs w:val="1"/>
          <w:i w:val="1"/>
          <w:iCs w:val="1"/>
          <w:color w:val="auto"/>
        </w:rPr>
        <w:t>Record of Outstanding Indebtedness</w:t>
      </w:r>
      <w:r>
        <w:rPr>
          <w:rFonts w:ascii="Arial" w:cs="Arial" w:eastAsia="Arial" w:hAnsi="Arial"/>
          <w:sz w:val="17"/>
          <w:szCs w:val="17"/>
          <w:color w:val="auto"/>
        </w:rPr>
        <w:t>. The date and amount of each repayment of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outstanding under this Note or interest thereon shall be recorded by Noteholder in its records. The principal balance outstanding and all accrued or accruing interest owed under this Note as recorded by Noteholder in its records shall be the best evidence of the principal balance outstanding and all accrued or accruing interest owed under this Note;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failure of Noteholder to so record or any error in so recording or computing any such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owed shall not limit or otherwise affect the obligations of the Borrower under this Note to repay the principal balance outstanding and all accrued or accruing interest.</w:t>
      </w:r>
    </w:p>
    <w:p>
      <w:pPr>
        <w:spacing w:after="0" w:line="172" w:lineRule="exact"/>
        <w:rPr>
          <w:sz w:val="20"/>
          <w:szCs w:val="20"/>
          <w:color w:val="auto"/>
        </w:rPr>
      </w:pPr>
    </w:p>
    <w:p>
      <w:pPr>
        <w:jc w:val="both"/>
        <w:ind w:left="320" w:right="339" w:firstLine="648"/>
        <w:spacing w:after="0" w:line="294"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i w:val="1"/>
          <w:iCs w:val="1"/>
          <w:color w:val="auto"/>
        </w:rPr>
        <w:t>Waiver</w:t>
      </w:r>
      <w:r>
        <w:rPr>
          <w:rFonts w:ascii="Arial" w:cs="Arial" w:eastAsia="Arial" w:hAnsi="Arial"/>
          <w:sz w:val="16"/>
          <w:szCs w:val="16"/>
          <w:color w:val="auto"/>
        </w:rPr>
        <w:t>. Borrower and each surety, endorser, guarantor, and other party now or subsequently</w:t>
      </w:r>
      <w:r>
        <w:rPr>
          <w:rFonts w:ascii="Arial" w:cs="Arial" w:eastAsia="Arial" w:hAnsi="Arial"/>
          <w:sz w:val="16"/>
          <w:szCs w:val="16"/>
          <w:b w:val="1"/>
          <w:bCs w:val="1"/>
          <w:color w:val="auto"/>
        </w:rPr>
        <w:t xml:space="preserve"> </w:t>
      </w:r>
      <w:r>
        <w:rPr>
          <w:rFonts w:ascii="Arial" w:cs="Arial" w:eastAsia="Arial" w:hAnsi="Arial"/>
          <w:sz w:val="16"/>
          <w:szCs w:val="16"/>
          <w:color w:val="auto"/>
        </w:rPr>
        <w:t>liable for payment of this Note, severally waive demand, presentment for payment, notice of nonpayment, notice of dishonor, protest, notice of protest, notice of the intention to accelerate, notice of acceleration, diligence in collecting or bringing suit against any party liable on this Note, and further agree to any and all extensions, renewals, modifications, partial payments, substitutions of evidence of indebtedness, and the taking or release of any collateral with or without notice before or after demand by the Noteholder for payment under this Note.</w:t>
      </w:r>
    </w:p>
    <w:p>
      <w:pPr>
        <w:spacing w:after="0" w:line="160" w:lineRule="exact"/>
        <w:rPr>
          <w:sz w:val="20"/>
          <w:szCs w:val="20"/>
          <w:color w:val="auto"/>
        </w:rPr>
      </w:pPr>
    </w:p>
    <w:p>
      <w:pPr>
        <w:jc w:val="both"/>
        <w:ind w:left="320" w:right="339" w:firstLine="648"/>
        <w:spacing w:after="0" w:line="261"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i w:val="1"/>
          <w:iCs w:val="1"/>
          <w:color w:val="auto"/>
        </w:rPr>
        <w:t>Costs and Attorneys’ Fees</w:t>
      </w:r>
      <w:r>
        <w:rPr>
          <w:rFonts w:ascii="Arial" w:cs="Arial" w:eastAsia="Arial" w:hAnsi="Arial"/>
          <w:sz w:val="18"/>
          <w:szCs w:val="18"/>
          <w:color w:val="auto"/>
        </w:rPr>
        <w:t>. In addition to any other amounts payable to Noteholder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this Note, in the event the Noteholder incurs costs in collecting on this Note, this Note is placed in the hands of any attorney for collection, suit is filed on this Note or if proceedings are had in bankruptcy, receivership,</w:t>
      </w:r>
    </w:p>
    <w:p>
      <w:pPr>
        <w:spacing w:after="0" w:line="89" w:lineRule="exact"/>
        <w:rPr>
          <w:sz w:val="20"/>
          <w:szCs w:val="20"/>
          <w:color w:val="auto"/>
        </w:rPr>
      </w:pPr>
    </w:p>
    <w:p>
      <w:pPr>
        <w:ind w:left="320"/>
        <w:spacing w:after="0"/>
        <w:tabs>
          <w:tab w:leader="none" w:pos="7820" w:val="left"/>
        </w:tabs>
        <w:rPr>
          <w:sz w:val="20"/>
          <w:szCs w:val="20"/>
          <w:color w:val="auto"/>
        </w:rPr>
      </w:pPr>
      <w:r>
        <w:rPr>
          <w:rFonts w:ascii="Arial" w:cs="Arial" w:eastAsia="Arial" w:hAnsi="Arial"/>
          <w:sz w:val="14"/>
          <w:szCs w:val="14"/>
          <w:color w:val="auto"/>
          <w:highlight w:val="white"/>
        </w:rPr>
        <w:t>w:\teams\team_legal\working\valhi\finance\compx loan\vhi-cix-dmnd-revolvr-prom-note-211231-fin.docx</w:t>
      </w:r>
      <w:r>
        <w:rPr>
          <w:sz w:val="20"/>
          <w:szCs w:val="20"/>
          <w:color w:val="auto"/>
        </w:rPr>
        <w:tab/>
      </w:r>
      <w:r>
        <w:rPr>
          <w:rFonts w:ascii="Arial" w:cs="Arial" w:eastAsia="Arial" w:hAnsi="Arial"/>
          <w:sz w:val="15"/>
          <w:szCs w:val="15"/>
          <w:color w:val="auto"/>
          <w:highlight w:val="white"/>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516890</wp:posOffset>
            </wp:positionV>
            <wp:extent cx="65665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9073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6373495" cy="9073515"/>
                    </a:xfrm>
                    <a:prstGeom prst="rect">
                      <a:avLst/>
                    </a:prstGeom>
                    <a:noFill/>
                  </pic:spPr>
                </pic:pic>
              </a:graphicData>
            </a:graphic>
          </wp:anchor>
        </w:drawing>
      </w:r>
    </w:p>
    <w:p>
      <w:pPr>
        <w:jc w:val="both"/>
        <w:ind w:left="320" w:right="339"/>
        <w:spacing w:after="0" w:line="259" w:lineRule="auto"/>
        <w:rPr>
          <w:sz w:val="20"/>
          <w:szCs w:val="20"/>
          <w:color w:val="auto"/>
        </w:rPr>
      </w:pPr>
      <w:r>
        <w:rPr>
          <w:rFonts w:ascii="Arial" w:cs="Arial" w:eastAsia="Arial" w:hAnsi="Arial"/>
          <w:sz w:val="18"/>
          <w:szCs w:val="18"/>
          <w:color w:val="auto"/>
        </w:rPr>
        <w:t>reorganization, or other legal or judicial proceedings for the collection of this Note, Borrower and any guarantor jointly and severally agree to pay on demand to the Noteholder all expenses and costs of collection, including, but not limited to, reasonable attorneys’ fees incurred in connection with any such collection, suit, or proceeding, in addition to the principal and interest then due.</w:t>
      </w:r>
    </w:p>
    <w:p>
      <w:pPr>
        <w:spacing w:after="0" w:line="183" w:lineRule="exact"/>
        <w:rPr>
          <w:sz w:val="20"/>
          <w:szCs w:val="20"/>
          <w:color w:val="auto"/>
        </w:rPr>
      </w:pPr>
    </w:p>
    <w:p>
      <w:pPr>
        <w:jc w:val="both"/>
        <w:ind w:left="320" w:right="339" w:firstLine="648"/>
        <w:spacing w:after="0" w:line="282"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i w:val="1"/>
          <w:iCs w:val="1"/>
          <w:color w:val="auto"/>
        </w:rPr>
        <w:t>Time of Essence</w:t>
      </w:r>
      <w:r>
        <w:rPr>
          <w:rFonts w:ascii="Arial" w:cs="Arial" w:eastAsia="Arial" w:hAnsi="Arial"/>
          <w:sz w:val="18"/>
          <w:szCs w:val="18"/>
          <w:color w:val="auto"/>
        </w:rPr>
        <w:t>. Time is of the essence with respect to all of Borrower’s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under this Note.</w:t>
      </w:r>
    </w:p>
    <w:p>
      <w:pPr>
        <w:spacing w:after="0" w:line="162" w:lineRule="exact"/>
        <w:rPr>
          <w:sz w:val="20"/>
          <w:szCs w:val="20"/>
          <w:color w:val="auto"/>
        </w:rPr>
      </w:pPr>
    </w:p>
    <w:p>
      <w:pPr>
        <w:jc w:val="both"/>
        <w:ind w:left="320" w:right="339" w:firstLine="648"/>
        <w:spacing w:after="0" w:line="274" w:lineRule="auto"/>
        <w:rPr>
          <w:sz w:val="20"/>
          <w:szCs w:val="20"/>
          <w:color w:val="auto"/>
        </w:rPr>
      </w:pPr>
      <w:r>
        <w:rPr>
          <w:rFonts w:ascii="Arial" w:cs="Arial" w:eastAsia="Arial" w:hAnsi="Arial"/>
          <w:sz w:val="17"/>
          <w:szCs w:val="17"/>
          <w:b w:val="1"/>
          <w:bCs w:val="1"/>
          <w:color w:val="auto"/>
        </w:rPr>
        <w:t xml:space="preserve">Section 15. </w:t>
      </w:r>
      <w:r>
        <w:rPr>
          <w:rFonts w:ascii="Arial" w:cs="Arial" w:eastAsia="Arial" w:hAnsi="Arial"/>
          <w:sz w:val="17"/>
          <w:szCs w:val="17"/>
          <w:b w:val="1"/>
          <w:bCs w:val="1"/>
          <w:i w:val="1"/>
          <w:iCs w:val="1"/>
          <w:color w:val="auto"/>
        </w:rPr>
        <w:t>Jurisdiction and Venue</w:t>
      </w:r>
      <w:r>
        <w:rPr>
          <w:rFonts w:ascii="Arial" w:cs="Arial" w:eastAsia="Arial" w:hAnsi="Arial"/>
          <w:sz w:val="17"/>
          <w:szCs w:val="17"/>
          <w:color w:val="auto"/>
        </w:rPr>
        <w:t>. THIS NOTE SHALL BE GOVERNED BY AND CONSTRUED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DOMESTIC LAWS OF THE STATE OF TEXAS, WITHOUT GIVING EFFECT TO ANY CHOICE OF LAW OR CONFLICT OF LAW PROVISION OR RULE (WHETHER OF THE STATE OF TEXAS OR ANY OTHER JURISDICTION) THAT WOULD CAUSE THE APPLICATION OF THE LAWS OF ANY JURISDICTION OTHER THAN THE STATE OF TEXAS. BORROWER CONSENTS TO JURISDICTION IN THE COURTS LOCATED IN DALLAS, TEXAS.</w:t>
      </w:r>
    </w:p>
    <w:p>
      <w:pPr>
        <w:spacing w:after="0" w:line="173" w:lineRule="exact"/>
        <w:rPr>
          <w:sz w:val="20"/>
          <w:szCs w:val="20"/>
          <w:color w:val="auto"/>
        </w:rPr>
      </w:pPr>
    </w:p>
    <w:p>
      <w:pPr>
        <w:jc w:val="both"/>
        <w:ind w:left="320" w:right="319" w:firstLine="648"/>
        <w:spacing w:after="0" w:line="286" w:lineRule="auto"/>
        <w:rPr>
          <w:sz w:val="20"/>
          <w:szCs w:val="20"/>
          <w:color w:val="auto"/>
        </w:rPr>
      </w:pPr>
      <w:r>
        <w:rPr>
          <w:rFonts w:ascii="Arial" w:cs="Arial" w:eastAsia="Arial" w:hAnsi="Arial"/>
          <w:sz w:val="16"/>
          <w:szCs w:val="16"/>
          <w:b w:val="1"/>
          <w:bCs w:val="1"/>
          <w:color w:val="auto"/>
        </w:rPr>
        <w:t xml:space="preserve">Section 16.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Any notice or demand required by this Note shall be deemed to have been given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received on the earlier of </w:t>
      </w:r>
      <w:r>
        <w:rPr>
          <w:rFonts w:ascii="Arial" w:cs="Arial" w:eastAsia="Arial" w:hAnsi="Arial"/>
          <w:sz w:val="16"/>
          <w:szCs w:val="16"/>
          <w:b w:val="1"/>
          <w:bCs w:val="1"/>
          <w:color w:val="auto"/>
        </w:rPr>
        <w:t>(i)</w:t>
      </w:r>
      <w:r>
        <w:rPr>
          <w:rFonts w:ascii="Arial" w:cs="Arial" w:eastAsia="Arial" w:hAnsi="Arial"/>
          <w:sz w:val="16"/>
          <w:szCs w:val="16"/>
          <w:color w:val="auto"/>
        </w:rPr>
        <w:t xml:space="preserve"> when the notice or demand is actually received by the recipient or </w:t>
      </w:r>
      <w:r>
        <w:rPr>
          <w:rFonts w:ascii="Arial" w:cs="Arial" w:eastAsia="Arial" w:hAnsi="Arial"/>
          <w:sz w:val="16"/>
          <w:szCs w:val="16"/>
          <w:b w:val="1"/>
          <w:bCs w:val="1"/>
          <w:color w:val="auto"/>
        </w:rPr>
        <w:t>(ii)</w:t>
      </w:r>
      <w:r>
        <w:rPr>
          <w:rFonts w:ascii="Arial" w:cs="Arial" w:eastAsia="Arial" w:hAnsi="Arial"/>
          <w:sz w:val="16"/>
          <w:szCs w:val="16"/>
          <w:color w:val="auto"/>
        </w:rPr>
        <w:t xml:space="preserve"> 72 hours after the notice is deposited in the United States mail, certified or registered, with postage prepaid, and addressed to the recipient. The address for giving notice or demand under this Note </w:t>
      </w:r>
      <w:r>
        <w:rPr>
          <w:rFonts w:ascii="Arial" w:cs="Arial" w:eastAsia="Arial" w:hAnsi="Arial"/>
          <w:sz w:val="16"/>
          <w:szCs w:val="16"/>
          <w:b w:val="1"/>
          <w:bCs w:val="1"/>
          <w:color w:val="auto"/>
        </w:rPr>
        <w:t>(i)</w:t>
      </w:r>
      <w:r>
        <w:rPr>
          <w:rFonts w:ascii="Arial" w:cs="Arial" w:eastAsia="Arial" w:hAnsi="Arial"/>
          <w:sz w:val="16"/>
          <w:szCs w:val="16"/>
          <w:color w:val="auto"/>
        </w:rPr>
        <w:t xml:space="preserve"> to the Noteholder shall be the place of payment specified in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or such other place as the Noteholder may specify in writing to the Borrower and</w:t>
      </w:r>
    </w:p>
    <w:p>
      <w:pPr>
        <w:spacing w:after="0" w:line="2" w:lineRule="exact"/>
        <w:rPr>
          <w:sz w:val="20"/>
          <w:szCs w:val="20"/>
          <w:color w:val="auto"/>
        </w:rPr>
      </w:pPr>
    </w:p>
    <w:p>
      <w:pPr>
        <w:ind w:left="320" w:right="319" w:hanging="3"/>
        <w:spacing w:after="0" w:line="260" w:lineRule="auto"/>
        <w:tabs>
          <w:tab w:leader="none" w:pos="613"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to Borrower shall be the address below the Borrower’s signature or such other place as the Borrower may specify in writing to the Noteholder.</w:t>
      </w:r>
    </w:p>
    <w:p>
      <w:pPr>
        <w:spacing w:after="0" w:line="181" w:lineRule="exact"/>
        <w:rPr>
          <w:sz w:val="20"/>
          <w:szCs w:val="20"/>
          <w:color w:val="auto"/>
        </w:rPr>
      </w:pPr>
    </w:p>
    <w:p>
      <w:pPr>
        <w:jc w:val="both"/>
        <w:ind w:left="320" w:right="319" w:firstLine="648"/>
        <w:spacing w:after="0" w:line="256" w:lineRule="auto"/>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i w:val="1"/>
          <w:iCs w:val="1"/>
          <w:color w:val="auto"/>
        </w:rPr>
        <w:t>Amendment or Waiver of Provisions of this Note</w:t>
      </w:r>
      <w:r>
        <w:rPr>
          <w:rFonts w:ascii="Arial" w:cs="Arial" w:eastAsia="Arial" w:hAnsi="Arial"/>
          <w:sz w:val="18"/>
          <w:szCs w:val="18"/>
          <w:color w:val="auto"/>
        </w:rPr>
        <w:t>. No amendment or waiver of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Note shall in any event be effective unless the same shall be in a writing referring to this Note and signed by the Borrower and the Noteholder. Such amendment or waiver shall be effective only in the specific instance and for the specific purpose for which given. No waiver of any of the provisions of this Note shall be deemed or shall constitute a waiver of any other provisions, whether or not similar, nor shall any waiver constitute a continuing waiver.</w:t>
      </w:r>
    </w:p>
    <w:p>
      <w:pPr>
        <w:spacing w:after="0" w:line="187" w:lineRule="exact"/>
        <w:rPr>
          <w:sz w:val="20"/>
          <w:szCs w:val="20"/>
          <w:color w:val="auto"/>
        </w:rPr>
      </w:pPr>
    </w:p>
    <w:p>
      <w:pPr>
        <w:jc w:val="both"/>
        <w:ind w:left="320" w:right="319" w:firstLine="648"/>
        <w:spacing w:after="0" w:line="258"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i w:val="1"/>
          <w:iCs w:val="1"/>
          <w:color w:val="auto"/>
        </w:rPr>
        <w:t>Successors and Assigns</w:t>
      </w:r>
      <w:r>
        <w:rPr>
          <w:rFonts w:ascii="Arial" w:cs="Arial" w:eastAsia="Arial" w:hAnsi="Arial"/>
          <w:sz w:val="18"/>
          <w:szCs w:val="18"/>
          <w:color w:val="auto"/>
        </w:rPr>
        <w:t>. All of the covenants, obligations, promises and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Note made by Borrower shall be binding upon its successors and permitted assigns, as applicable. Notwithstanding the foregoing, Borrower shall not assign this Note or its performance under this Note without the prior written consent of the Noteholder. Noteholder at any time may assign this Note without the consent of Borrower.</w:t>
      </w:r>
    </w:p>
    <w:p>
      <w:pPr>
        <w:spacing w:after="0" w:line="183" w:lineRule="exact"/>
        <w:rPr>
          <w:sz w:val="20"/>
          <w:szCs w:val="20"/>
          <w:color w:val="auto"/>
        </w:rPr>
      </w:pPr>
    </w:p>
    <w:p>
      <w:pPr>
        <w:jc w:val="both"/>
        <w:ind w:left="320" w:right="339" w:firstLine="648"/>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i w:val="1"/>
          <w:iCs w:val="1"/>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Note, the following terms shall have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w:t>
      </w:r>
    </w:p>
    <w:p>
      <w:pPr>
        <w:spacing w:after="0" w:line="166" w:lineRule="exact"/>
        <w:rPr>
          <w:sz w:val="20"/>
          <w:szCs w:val="20"/>
          <w:color w:val="auto"/>
        </w:rPr>
      </w:pPr>
    </w:p>
    <w:p>
      <w:pPr>
        <w:ind w:left="2260" w:hanging="647"/>
        <w:spacing w:after="0"/>
        <w:tabs>
          <w:tab w:leader="none" w:pos="22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Basis Point</w:t>
      </w:r>
      <w:r>
        <w:rPr>
          <w:rFonts w:ascii="Arial" w:cs="Arial" w:eastAsia="Arial" w:hAnsi="Arial"/>
          <w:sz w:val="18"/>
          <w:szCs w:val="18"/>
          <w:color w:val="auto"/>
        </w:rPr>
        <w:t>” shall mean 1/100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1 percent.</w:t>
      </w:r>
    </w:p>
    <w:p>
      <w:pPr>
        <w:spacing w:after="0" w:line="133" w:lineRule="exact"/>
        <w:rPr>
          <w:rFonts w:ascii="Arial" w:cs="Arial" w:eastAsia="Arial" w:hAnsi="Arial"/>
          <w:sz w:val="18"/>
          <w:szCs w:val="18"/>
          <w:b w:val="1"/>
          <w:bCs w:val="1"/>
          <w:color w:val="auto"/>
        </w:rPr>
      </w:pPr>
    </w:p>
    <w:p>
      <w:pPr>
        <w:ind w:left="2260" w:hanging="647"/>
        <w:spacing w:after="0"/>
        <w:tabs>
          <w:tab w:leader="none" w:pos="22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any day banks are open in the state of Texas.</w:t>
      </w:r>
    </w:p>
    <w:p>
      <w:pPr>
        <w:spacing w:after="0" w:line="221" w:lineRule="exact"/>
        <w:rPr>
          <w:sz w:val="20"/>
          <w:szCs w:val="20"/>
          <w:color w:val="auto"/>
        </w:rPr>
      </w:pPr>
    </w:p>
    <w:p>
      <w:pPr>
        <w:jc w:val="both"/>
        <w:ind w:left="960" w:right="319" w:firstLine="648"/>
        <w:spacing w:after="0" w:line="266"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(a) “</w:t>
      </w:r>
      <w:r>
        <w:rPr>
          <w:rFonts w:ascii="Arial" w:cs="Arial" w:eastAsia="Arial" w:hAnsi="Arial"/>
          <w:sz w:val="18"/>
          <w:szCs w:val="18"/>
          <w:b w:val="1"/>
          <w:bCs w:val="1"/>
          <w:i w:val="1"/>
          <w:iCs w:val="1"/>
          <w:color w:val="auto"/>
        </w:rPr>
        <w:t>Contract Rate</w:t>
      </w:r>
      <w:r>
        <w:rPr>
          <w:rFonts w:ascii="Arial" w:cs="Arial" w:eastAsia="Arial" w:hAnsi="Arial"/>
          <w:sz w:val="18"/>
          <w:szCs w:val="18"/>
          <w:color w:val="auto"/>
        </w:rPr>
        <w:t>” means the amount of any interest (including fees, charges or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amounts that, under applicable law, are deemed interest) contracted for, charged or received by or for the account of Noteholder.</w:t>
      </w:r>
    </w:p>
    <w:p>
      <w:pPr>
        <w:spacing w:after="0" w:line="176"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wherever used herein, means any one of the following events:</w:t>
      </w:r>
    </w:p>
    <w:p>
      <w:pPr>
        <w:spacing w:after="0" w:line="225" w:lineRule="exact"/>
        <w:rPr>
          <w:sz w:val="20"/>
          <w:szCs w:val="20"/>
          <w:color w:val="auto"/>
        </w:rPr>
      </w:pPr>
    </w:p>
    <w:p>
      <w:pPr>
        <w:jc w:val="both"/>
        <w:ind w:left="1620" w:right="319" w:firstLine="648"/>
        <w:spacing w:after="0" w:line="266"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(i) the Borrower fails to pay any amount due on this Note and/or any fees or sums</w:t>
      </w:r>
      <w:r>
        <w:rPr>
          <w:rFonts w:ascii="Arial" w:cs="Arial" w:eastAsia="Arial" w:hAnsi="Arial"/>
          <w:sz w:val="18"/>
          <w:szCs w:val="18"/>
          <w:b w:val="1"/>
          <w:bCs w:val="1"/>
          <w:color w:val="auto"/>
        </w:rPr>
        <w:t xml:space="preserve"> </w:t>
      </w:r>
      <w:r>
        <w:rPr>
          <w:rFonts w:ascii="Arial" w:cs="Arial" w:eastAsia="Arial" w:hAnsi="Arial"/>
          <w:sz w:val="18"/>
          <w:szCs w:val="18"/>
          <w:color w:val="auto"/>
        </w:rPr>
        <w:t>due under or in connection with this Note after any such payment otherwise becomes due and payable and three Business Days after demand for such payment;</w:t>
      </w:r>
    </w:p>
    <w:p>
      <w:pPr>
        <w:spacing w:after="0" w:line="176" w:lineRule="exact"/>
        <w:rPr>
          <w:sz w:val="20"/>
          <w:szCs w:val="20"/>
          <w:color w:val="auto"/>
        </w:rPr>
      </w:pPr>
    </w:p>
    <w:p>
      <w:pPr>
        <w:jc w:val="both"/>
        <w:ind w:left="1620" w:right="339" w:firstLine="648"/>
        <w:spacing w:after="0" w:line="266" w:lineRule="auto"/>
        <w:rPr>
          <w:sz w:val="20"/>
          <w:szCs w:val="20"/>
          <w:color w:val="auto"/>
        </w:rPr>
      </w:pPr>
      <w:r>
        <w:rPr>
          <w:rFonts w:ascii="Arial" w:cs="Arial" w:eastAsia="Arial" w:hAnsi="Arial"/>
          <w:sz w:val="18"/>
          <w:szCs w:val="18"/>
          <w:b w:val="1"/>
          <w:bCs w:val="1"/>
          <w:color w:val="auto"/>
        </w:rPr>
        <w:t>(ii)</w:t>
      </w:r>
      <w:r>
        <w:rPr>
          <w:rFonts w:ascii="Arial" w:cs="Arial" w:eastAsia="Arial" w:hAnsi="Arial"/>
          <w:sz w:val="18"/>
          <w:szCs w:val="18"/>
          <w:color w:val="auto"/>
        </w:rPr>
        <w:t>(ii) the Borrower otherwise fails to perform or observe any other provision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Note and such breach or failure to perform shall continue for a period of thirty days after notice thereof shall have been given to the Borrower by the Noteholder;</w:t>
      </w:r>
    </w:p>
    <w:p>
      <w:pPr>
        <w:spacing w:after="0" w:line="176" w:lineRule="exact"/>
        <w:rPr>
          <w:sz w:val="20"/>
          <w:szCs w:val="20"/>
          <w:color w:val="auto"/>
        </w:rPr>
      </w:pPr>
    </w:p>
    <w:p>
      <w:pPr>
        <w:jc w:val="both"/>
        <w:ind w:left="1620" w:right="319" w:firstLine="648"/>
        <w:spacing w:after="0" w:line="314" w:lineRule="auto"/>
        <w:rPr>
          <w:sz w:val="20"/>
          <w:szCs w:val="20"/>
          <w:color w:val="auto"/>
        </w:rPr>
      </w:pPr>
      <w:r>
        <w:rPr>
          <w:rFonts w:ascii="Arial" w:cs="Arial" w:eastAsia="Arial" w:hAnsi="Arial"/>
          <w:sz w:val="16"/>
          <w:szCs w:val="16"/>
          <w:b w:val="1"/>
          <w:bCs w:val="1"/>
          <w:color w:val="auto"/>
        </w:rPr>
        <w:t>(iii)</w:t>
      </w:r>
      <w:r>
        <w:rPr>
          <w:rFonts w:ascii="Arial" w:cs="Arial" w:eastAsia="Arial" w:hAnsi="Arial"/>
          <w:sz w:val="16"/>
          <w:szCs w:val="16"/>
          <w:color w:val="auto"/>
        </w:rPr>
        <w:t>(iii) a case shall be commenced against Borrower, or Borrower shall file a petition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commencing a case, under any provision of the Federal Bankruptcy Code of 1978, as amended, or shall seek relief under any provision of any other bankruptcy, reorganization, arrangement,</w:t>
      </w:r>
    </w:p>
    <w:p>
      <w:pPr>
        <w:spacing w:after="0" w:line="51" w:lineRule="exact"/>
        <w:rPr>
          <w:sz w:val="20"/>
          <w:szCs w:val="20"/>
          <w:color w:val="auto"/>
        </w:rPr>
      </w:pPr>
    </w:p>
    <w:p>
      <w:pPr>
        <w:ind w:left="320"/>
        <w:spacing w:after="0"/>
        <w:tabs>
          <w:tab w:leader="none" w:pos="7820" w:val="left"/>
        </w:tabs>
        <w:rPr>
          <w:sz w:val="20"/>
          <w:szCs w:val="20"/>
          <w:color w:val="auto"/>
        </w:rPr>
      </w:pPr>
      <w:r>
        <w:rPr>
          <w:rFonts w:ascii="Arial" w:cs="Arial" w:eastAsia="Arial" w:hAnsi="Arial"/>
          <w:sz w:val="14"/>
          <w:szCs w:val="14"/>
          <w:color w:val="auto"/>
          <w:highlight w:val="white"/>
        </w:rPr>
        <w:t>w:\teams\team_legal\working\valhi\finance\compx loan\vhi-cix-dmnd-revolvr-prom-note-211231-fin.docx</w:t>
      </w:r>
      <w:r>
        <w:rPr>
          <w:sz w:val="20"/>
          <w:szCs w:val="20"/>
          <w:color w:val="auto"/>
        </w:rPr>
        <w:tab/>
      </w:r>
      <w:r>
        <w:rPr>
          <w:rFonts w:ascii="Arial" w:cs="Arial" w:eastAsia="Arial" w:hAnsi="Arial"/>
          <w:sz w:val="15"/>
          <w:szCs w:val="15"/>
          <w:color w:val="auto"/>
          <w:highlight w:val="white"/>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516890</wp:posOffset>
            </wp:positionV>
            <wp:extent cx="65665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7581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6373495" cy="7581900"/>
                    </a:xfrm>
                    <a:prstGeom prst="rect">
                      <a:avLst/>
                    </a:prstGeom>
                    <a:noFill/>
                  </pic:spPr>
                </pic:pic>
              </a:graphicData>
            </a:graphic>
          </wp:anchor>
        </w:drawing>
      </w:r>
    </w:p>
    <w:p>
      <w:pPr>
        <w:jc w:val="both"/>
        <w:ind w:left="1620" w:right="319"/>
        <w:spacing w:after="0" w:line="275" w:lineRule="auto"/>
        <w:rPr>
          <w:sz w:val="20"/>
          <w:szCs w:val="20"/>
          <w:color w:val="auto"/>
        </w:rPr>
      </w:pPr>
      <w:r>
        <w:rPr>
          <w:rFonts w:ascii="Arial" w:cs="Arial" w:eastAsia="Arial" w:hAnsi="Arial"/>
          <w:sz w:val="17"/>
          <w:szCs w:val="17"/>
          <w:color w:val="auto"/>
        </w:rPr>
        <w:t>insolvency, readjustment of debt, dissolution or liquidation law of any jurisdiction, whether now or hereafter in effect, or shall consent to the filing of any petition against it under such law, or Borrower shall make an assignment for the benefit of its creditors, or shall admit in writing its inability to pay its debts generally as they become due, or shall consent to the appointment of a receiver, trustee or liquidator of Borrower or all or any part of its property; or</w:t>
      </w:r>
    </w:p>
    <w:p>
      <w:pPr>
        <w:spacing w:after="0" w:line="172" w:lineRule="exact"/>
        <w:rPr>
          <w:sz w:val="20"/>
          <w:szCs w:val="20"/>
          <w:color w:val="auto"/>
        </w:rPr>
      </w:pPr>
    </w:p>
    <w:p>
      <w:pPr>
        <w:jc w:val="both"/>
        <w:ind w:left="1620" w:right="339" w:firstLine="648"/>
        <w:spacing w:after="0" w:line="282" w:lineRule="auto"/>
        <w:rPr>
          <w:sz w:val="20"/>
          <w:szCs w:val="20"/>
          <w:color w:val="auto"/>
        </w:rPr>
      </w:pPr>
      <w:r>
        <w:rPr>
          <w:rFonts w:ascii="Arial" w:cs="Arial" w:eastAsia="Arial" w:hAnsi="Arial"/>
          <w:sz w:val="18"/>
          <w:szCs w:val="18"/>
          <w:b w:val="1"/>
          <w:bCs w:val="1"/>
          <w:color w:val="auto"/>
        </w:rPr>
        <w:t>(iv)</w:t>
      </w:r>
      <w:r>
        <w:rPr>
          <w:rFonts w:ascii="Arial" w:cs="Arial" w:eastAsia="Arial" w:hAnsi="Arial"/>
          <w:sz w:val="18"/>
          <w:szCs w:val="18"/>
          <w:color w:val="auto"/>
        </w:rPr>
        <w:t>(iv) an event occurs that, with notice or lapse of time, or both, would become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foregoing Events of Default.</w:t>
      </w:r>
    </w:p>
    <w:p>
      <w:pPr>
        <w:spacing w:after="0" w:line="162"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18"/>
          <w:szCs w:val="18"/>
          <w:b w:val="1"/>
          <w:bCs w:val="1"/>
          <w:color w:val="auto"/>
        </w:rPr>
        <w:t>(e)</w:t>
      </w: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Final Payment Date</w:t>
      </w:r>
      <w:r>
        <w:rPr>
          <w:rFonts w:ascii="Arial" w:cs="Arial" w:eastAsia="Arial" w:hAnsi="Arial"/>
          <w:sz w:val="16"/>
          <w:szCs w:val="16"/>
          <w:color w:val="auto"/>
        </w:rPr>
        <w:t>” shall mean the earlier of:</w:t>
      </w:r>
    </w:p>
    <w:p>
      <w:pPr>
        <w:spacing w:after="0" w:line="229" w:lineRule="exact"/>
        <w:rPr>
          <w:sz w:val="20"/>
          <w:szCs w:val="20"/>
          <w:color w:val="auto"/>
        </w:rPr>
      </w:pPr>
    </w:p>
    <w:p>
      <w:pPr>
        <w:jc w:val="both"/>
        <w:ind w:left="2900" w:right="339" w:hanging="639"/>
        <w:spacing w:after="0" w:line="241" w:lineRule="auto"/>
        <w:tabs>
          <w:tab w:leader="none" w:pos="2900" w:val="left"/>
        </w:tabs>
        <w:numPr>
          <w:ilvl w:val="0"/>
          <w:numId w:val="21"/>
        </w:numPr>
        <w:rPr>
          <w:rFonts w:ascii="Arial" w:cs="Arial" w:eastAsia="Arial" w:hAnsi="Arial"/>
          <w:sz w:val="22"/>
          <w:szCs w:val="22"/>
          <w:color w:val="auto"/>
        </w:rPr>
      </w:pPr>
      <w:r>
        <w:rPr>
          <w:rFonts w:ascii="Arial" w:cs="Arial" w:eastAsia="Arial" w:hAnsi="Arial"/>
          <w:sz w:val="18"/>
          <w:szCs w:val="18"/>
          <w:color w:val="auto"/>
        </w:rPr>
        <w:t>written demand by the Noteholder for payment of all or part of the unpaid principal, the accrued and unpaid interest thereon and the accrued and unpaid commitment fee thereon, but in any event no earlier than December 31, 2023; or</w:t>
      </w:r>
    </w:p>
    <w:p>
      <w:pPr>
        <w:ind w:left="2900" w:hanging="639"/>
        <w:spacing w:after="0" w:line="217" w:lineRule="auto"/>
        <w:tabs>
          <w:tab w:leader="none" w:pos="2900" w:val="left"/>
        </w:tabs>
        <w:numPr>
          <w:ilvl w:val="0"/>
          <w:numId w:val="21"/>
        </w:numPr>
        <w:rPr>
          <w:rFonts w:ascii="Arial" w:cs="Arial" w:eastAsia="Arial" w:hAnsi="Arial"/>
          <w:sz w:val="22"/>
          <w:szCs w:val="22"/>
          <w:color w:val="auto"/>
        </w:rPr>
      </w:pPr>
      <w:r>
        <w:rPr>
          <w:rFonts w:ascii="Arial" w:cs="Arial" w:eastAsia="Arial" w:hAnsi="Arial"/>
          <w:sz w:val="18"/>
          <w:szCs w:val="18"/>
          <w:color w:val="auto"/>
        </w:rPr>
        <w:t>acceleration as provided herein.</w:t>
      </w:r>
    </w:p>
    <w:p>
      <w:pPr>
        <w:spacing w:after="0" w:line="212" w:lineRule="exact"/>
        <w:rPr>
          <w:sz w:val="20"/>
          <w:szCs w:val="20"/>
          <w:color w:val="auto"/>
        </w:rPr>
      </w:pPr>
    </w:p>
    <w:p>
      <w:pPr>
        <w:ind w:left="960" w:right="319" w:firstLine="648"/>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8"/>
          <w:szCs w:val="18"/>
          <w:color w:val="auto"/>
        </w:rPr>
        <w:t>(c) “</w:t>
      </w:r>
      <w:r>
        <w:rPr>
          <w:rFonts w:ascii="Arial" w:cs="Arial" w:eastAsia="Arial" w:hAnsi="Arial"/>
          <w:sz w:val="18"/>
          <w:szCs w:val="18"/>
          <w:b w:val="1"/>
          <w:bCs w:val="1"/>
          <w:i w:val="1"/>
          <w:iCs w:val="1"/>
          <w:color w:val="auto"/>
        </w:rPr>
        <w:t>Maximum Rate</w:t>
      </w:r>
      <w:r>
        <w:rPr>
          <w:rFonts w:ascii="Arial" w:cs="Arial" w:eastAsia="Arial" w:hAnsi="Arial"/>
          <w:sz w:val="18"/>
          <w:szCs w:val="18"/>
          <w:color w:val="auto"/>
        </w:rPr>
        <w:t>” shall mean the highest lawful rate permissible under 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use, forbearance or detention of money.</w:t>
      </w:r>
    </w:p>
    <w:p>
      <w:pPr>
        <w:spacing w:after="0" w:line="166" w:lineRule="exact"/>
        <w:rPr>
          <w:sz w:val="20"/>
          <w:szCs w:val="20"/>
          <w:color w:val="auto"/>
        </w:rPr>
      </w:pPr>
    </w:p>
    <w:p>
      <w:pPr>
        <w:jc w:val="both"/>
        <w:ind w:left="960" w:right="339" w:firstLine="653"/>
        <w:spacing w:after="0" w:line="263" w:lineRule="auto"/>
        <w:tabs>
          <w:tab w:leader="none" w:pos="2256"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Prime Rate</w:t>
      </w:r>
      <w:r>
        <w:rPr>
          <w:rFonts w:ascii="Arial" w:cs="Arial" w:eastAsia="Arial" w:hAnsi="Arial"/>
          <w:sz w:val="18"/>
          <w:szCs w:val="18"/>
          <w:color w:val="auto"/>
        </w:rPr>
        <w:t xml:space="preserve">” shall mean the fluctuating interest rate per annum in effect from time to time equal to the base rate on corporate loans as reported as the Prime Rate in the Money Rates column of </w:t>
      </w:r>
      <w:r>
        <w:rPr>
          <w:rFonts w:ascii="Arial" w:cs="Arial" w:eastAsia="Arial" w:hAnsi="Arial"/>
          <w:sz w:val="18"/>
          <w:szCs w:val="18"/>
          <w:i w:val="1"/>
          <w:iCs w:val="1"/>
          <w:color w:val="auto"/>
        </w:rPr>
        <w:t xml:space="preserve">The Wall Street Journal </w:t>
      </w:r>
      <w:r>
        <w:rPr>
          <w:rFonts w:ascii="Arial" w:cs="Arial" w:eastAsia="Arial" w:hAnsi="Arial"/>
          <w:sz w:val="18"/>
          <w:szCs w:val="18"/>
          <w:color w:val="auto"/>
        </w:rPr>
        <w:t>or other reliable source.</w:t>
      </w:r>
    </w:p>
    <w:p>
      <w:pPr>
        <w:spacing w:after="0" w:line="183" w:lineRule="exact"/>
        <w:rPr>
          <w:rFonts w:ascii="Arial" w:cs="Arial" w:eastAsia="Arial" w:hAnsi="Arial"/>
          <w:sz w:val="18"/>
          <w:szCs w:val="18"/>
          <w:b w:val="1"/>
          <w:bCs w:val="1"/>
          <w:color w:val="auto"/>
        </w:rPr>
      </w:pPr>
    </w:p>
    <w:p>
      <w:pPr>
        <w:jc w:val="both"/>
        <w:ind w:left="960" w:right="339" w:firstLine="653"/>
        <w:spacing w:after="0" w:line="263" w:lineRule="auto"/>
        <w:tabs>
          <w:tab w:leader="none" w:pos="2256"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Unused Commitment Amount</w:t>
      </w:r>
      <w:r>
        <w:rPr>
          <w:rFonts w:ascii="Arial" w:cs="Arial" w:eastAsia="Arial" w:hAnsi="Arial"/>
          <w:sz w:val="18"/>
          <w:szCs w:val="18"/>
          <w:color w:val="auto"/>
        </w:rPr>
        <w:t>” for any period on after the date of this Note shall mean the average on each day of such period of the difference between (A) $30,000,000.00 and (B) the amount of the unpaid principal balance of this Note.</w:t>
      </w:r>
    </w:p>
    <w:p>
      <w:pPr>
        <w:spacing w:after="0" w:line="183" w:lineRule="exact"/>
        <w:rPr>
          <w:rFonts w:ascii="Arial" w:cs="Arial" w:eastAsia="Arial" w:hAnsi="Arial"/>
          <w:sz w:val="18"/>
          <w:szCs w:val="18"/>
          <w:b w:val="1"/>
          <w:bCs w:val="1"/>
          <w:color w:val="auto"/>
        </w:rPr>
      </w:pPr>
    </w:p>
    <w:p>
      <w:pPr>
        <w:jc w:val="both"/>
        <w:ind w:left="960" w:right="319" w:firstLine="653"/>
        <w:spacing w:after="0" w:line="263" w:lineRule="auto"/>
        <w:tabs>
          <w:tab w:leader="none" w:pos="2256"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Unused Commitment Fee</w:t>
      </w:r>
      <w:r>
        <w:rPr>
          <w:rFonts w:ascii="Arial" w:cs="Arial" w:eastAsia="Arial" w:hAnsi="Arial"/>
          <w:sz w:val="18"/>
          <w:szCs w:val="18"/>
          <w:color w:val="auto"/>
        </w:rPr>
        <w:t>” shall mean the product of (A) 50 Basis Points per annum (pro rated to take into account that the fee is payable quarterly, or such shorter period if applicable) and (B) the Unused Commitment Amount.</w:t>
      </w:r>
    </w:p>
    <w:p>
      <w:pPr>
        <w:spacing w:after="0" w:line="18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ALHI</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20"/>
        <w:spacing w:after="0"/>
        <w:tabs>
          <w:tab w:leader="none" w:pos="5000" w:val="left"/>
          <w:tab w:leader="none" w:pos="5940" w:val="left"/>
          <w:tab w:leader="none" w:pos="7080" w:val="left"/>
          <w:tab w:leader="none" w:pos="80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8"/>
          <w:szCs w:val="18"/>
          <w:color w:val="auto"/>
        </w:rPr>
        <w:t>Amy</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Samford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Amy A. Samford</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6"/>
          <w:szCs w:val="16"/>
          <w:i w:val="1"/>
          <w:iCs w:val="1"/>
          <w:color w:val="auto"/>
        </w:rPr>
        <w:t>Senior Vice President and Chief Financial Officer</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5430 LBJ Freeway, Suite 1700</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Dallas, Texas  75240-2620</w:t>
      </w:r>
    </w:p>
    <w:p>
      <w:pPr>
        <w:spacing w:after="0" w:line="332" w:lineRule="exact"/>
        <w:rPr>
          <w:sz w:val="20"/>
          <w:szCs w:val="20"/>
          <w:color w:val="auto"/>
        </w:rPr>
      </w:pPr>
    </w:p>
    <w:p>
      <w:pPr>
        <w:ind w:left="320"/>
        <w:spacing w:after="0"/>
        <w:tabs>
          <w:tab w:leader="none" w:pos="7820" w:val="left"/>
        </w:tabs>
        <w:rPr>
          <w:sz w:val="20"/>
          <w:szCs w:val="20"/>
          <w:color w:val="auto"/>
        </w:rPr>
      </w:pPr>
      <w:r>
        <w:rPr>
          <w:rFonts w:ascii="Arial" w:cs="Arial" w:eastAsia="Arial" w:hAnsi="Arial"/>
          <w:sz w:val="14"/>
          <w:szCs w:val="14"/>
          <w:color w:val="auto"/>
          <w:highlight w:val="white"/>
        </w:rPr>
        <w:t>w:\teams\team_legal\working\valhi\finance\compx loan\vhi-cix-dmnd-revolvr-prom-note-211231-fin.docx</w:t>
      </w:r>
      <w:r>
        <w:rPr>
          <w:sz w:val="20"/>
          <w:szCs w:val="20"/>
          <w:color w:val="auto"/>
        </w:rPr>
        <w:tab/>
      </w:r>
      <w:r>
        <w:rPr>
          <w:rFonts w:ascii="Arial" w:cs="Arial" w:eastAsia="Arial" w:hAnsi="Arial"/>
          <w:sz w:val="15"/>
          <w:szCs w:val="15"/>
          <w:color w:val="auto"/>
          <w:highlight w:val="white"/>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516890</wp:posOffset>
            </wp:positionV>
            <wp:extent cx="65665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 w:name="page49"/>
    <w:bookmarkEnd w:id="48"/>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31762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6373495" cy="3176270"/>
                    </a:xfrm>
                    <a:prstGeom prst="rect">
                      <a:avLst/>
                    </a:prstGeom>
                    <a:noFill/>
                  </pic:spPr>
                </pic:pic>
              </a:graphicData>
            </a:graphic>
          </wp:anchor>
        </w:drawing>
      </w:r>
    </w:p>
    <w:p>
      <w:pPr>
        <w:jc w:val="both"/>
        <w:ind w:left="980" w:right="1000" w:firstLine="648"/>
        <w:spacing w:after="0" w:line="273" w:lineRule="auto"/>
        <w:rPr>
          <w:sz w:val="20"/>
          <w:szCs w:val="20"/>
          <w:color w:val="auto"/>
        </w:rPr>
      </w:pPr>
      <w:r>
        <w:rPr>
          <w:rFonts w:ascii="Arial" w:cs="Arial" w:eastAsia="Arial" w:hAnsi="Arial"/>
          <w:sz w:val="17"/>
          <w:szCs w:val="17"/>
          <w:color w:val="auto"/>
        </w:rPr>
        <w:t>As of the date hereof, CompX International Inc., as the Noteholder, hereby agrees that this Note renews, replaces, amends and restates in its entirety the Prior Note, and that the unpaid principal of $18,700,000.00, the accrued and unpaid interest thereon of nil and the accrued and unpaid commitment fee thereon of nil that was owed under the Prior Note as of the close of business on December 31, 2021 are the unpaid principal, the accrued and unpaid interest thereon and the accrued and unpaid commitment fee thereon, respectively, owed under this Note as of the close of business on the date of this Note.</w:t>
      </w:r>
    </w:p>
    <w:p>
      <w:pPr>
        <w:spacing w:after="0" w:line="39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COMPX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ind w:left="5180"/>
              <w:spacing w:after="0"/>
              <w:rPr>
                <w:sz w:val="20"/>
                <w:szCs w:val="20"/>
                <w:color w:val="auto"/>
              </w:rPr>
            </w:pPr>
            <w:r>
              <w:rPr>
                <w:rFonts w:ascii="Arial" w:cs="Arial" w:eastAsia="Arial" w:hAnsi="Arial"/>
                <w:sz w:val="18"/>
                <w:szCs w:val="18"/>
                <w:color w:val="auto"/>
              </w:rPr>
              <w:t>By:   /s/</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Michael</w:t>
            </w:r>
          </w:p>
        </w:tc>
        <w:tc>
          <w:tcPr>
            <w:tcW w:w="540" w:type="dxa"/>
            <w:vAlign w:val="bottom"/>
          </w:tcPr>
          <w:p>
            <w:pPr>
              <w:ind w:left="140"/>
              <w:spacing w:after="0"/>
              <w:rPr>
                <w:sz w:val="20"/>
                <w:szCs w:val="20"/>
                <w:color w:val="auto"/>
              </w:rPr>
            </w:pPr>
            <w:r>
              <w:rPr>
                <w:rFonts w:ascii="Arial" w:cs="Arial" w:eastAsia="Arial" w:hAnsi="Arial"/>
                <w:sz w:val="18"/>
                <w:szCs w:val="18"/>
                <w:color w:val="auto"/>
              </w:rPr>
              <w:t>S.</w:t>
            </w:r>
          </w:p>
        </w:tc>
        <w:tc>
          <w:tcPr>
            <w:tcW w:w="2120" w:type="dxa"/>
            <w:vAlign w:val="bottom"/>
            <w:gridSpan w:val="2"/>
          </w:tcPr>
          <w:p>
            <w:pPr>
              <w:ind w:left="440"/>
              <w:spacing w:after="0"/>
              <w:rPr>
                <w:sz w:val="20"/>
                <w:szCs w:val="20"/>
                <w:color w:val="auto"/>
              </w:rPr>
            </w:pPr>
            <w:r>
              <w:rPr>
                <w:rFonts w:ascii="Arial" w:cs="Arial" w:eastAsia="Arial" w:hAnsi="Arial"/>
                <w:sz w:val="18"/>
                <w:szCs w:val="18"/>
                <w:color w:val="auto"/>
              </w:rPr>
              <w:t>Simmons</w:t>
            </w:r>
          </w:p>
        </w:tc>
      </w:tr>
      <w:tr>
        <w:trPr>
          <w:trHeight w:val="196"/>
        </w:trPr>
        <w:tc>
          <w:tcPr>
            <w:tcW w:w="5680" w:type="dxa"/>
            <w:vAlign w:val="bottom"/>
          </w:tcPr>
          <w:p>
            <w:pPr>
              <w:spacing w:after="0"/>
              <w:rPr>
                <w:sz w:val="17"/>
                <w:szCs w:val="17"/>
                <w:color w:val="auto"/>
              </w:rPr>
            </w:pPr>
          </w:p>
        </w:tc>
        <w:tc>
          <w:tcPr>
            <w:tcW w:w="2000" w:type="dxa"/>
            <w:vAlign w:val="bottom"/>
            <w:tcBorders>
              <w:top w:val="single" w:sz="8" w:color="auto"/>
              <w:bottom w:val="single" w:sz="8" w:color="auto"/>
            </w:tcBorders>
            <w:gridSpan w:val="2"/>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222"/>
        </w:trPr>
        <w:tc>
          <w:tcPr>
            <w:tcW w:w="5680" w:type="dxa"/>
            <w:vAlign w:val="bottom"/>
          </w:tcPr>
          <w:p>
            <w:pPr>
              <w:spacing w:after="0"/>
              <w:rPr>
                <w:sz w:val="19"/>
                <w:szCs w:val="19"/>
                <w:color w:val="auto"/>
              </w:rPr>
            </w:pPr>
          </w:p>
        </w:tc>
        <w:tc>
          <w:tcPr>
            <w:tcW w:w="2000" w:type="dxa"/>
            <w:vAlign w:val="bottom"/>
            <w:gridSpan w:val="2"/>
          </w:tcPr>
          <w:p>
            <w:pPr>
              <w:jc w:val="right"/>
              <w:ind w:right="450"/>
              <w:spacing w:after="0"/>
              <w:rPr>
                <w:sz w:val="20"/>
                <w:szCs w:val="20"/>
                <w:color w:val="auto"/>
              </w:rPr>
            </w:pPr>
            <w:r>
              <w:rPr>
                <w:rFonts w:ascii="Arial" w:cs="Arial" w:eastAsia="Arial" w:hAnsi="Arial"/>
                <w:sz w:val="18"/>
                <w:szCs w:val="18"/>
                <w:i w:val="1"/>
                <w:iCs w:val="1"/>
                <w:color w:val="auto"/>
                <w:w w:val="87"/>
              </w:rPr>
              <w:t>Michael S. Simmons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680" w:type="dxa"/>
            <w:vAlign w:val="bottom"/>
          </w:tcPr>
          <w:p>
            <w:pPr>
              <w:spacing w:after="0"/>
              <w:rPr>
                <w:sz w:val="20"/>
                <w:szCs w:val="20"/>
                <w:color w:val="auto"/>
              </w:rPr>
            </w:pPr>
          </w:p>
        </w:tc>
        <w:tc>
          <w:tcPr>
            <w:tcW w:w="4660" w:type="dxa"/>
            <w:vAlign w:val="bottom"/>
            <w:gridSpan w:val="5"/>
          </w:tcPr>
          <w:p>
            <w:pPr>
              <w:spacing w:after="0"/>
              <w:rPr>
                <w:sz w:val="20"/>
                <w:szCs w:val="20"/>
                <w:color w:val="auto"/>
              </w:rPr>
            </w:pPr>
            <w:r>
              <w:rPr>
                <w:rFonts w:ascii="Arial" w:cs="Arial" w:eastAsia="Arial" w:hAnsi="Arial"/>
                <w:sz w:val="18"/>
                <w:szCs w:val="18"/>
                <w:i w:val="1"/>
                <w:iCs w:val="1"/>
                <w:color w:val="auto"/>
              </w:rPr>
              <w:t>Senior Vice President and Chief Financial Officer</w:t>
            </w:r>
          </w:p>
        </w:tc>
      </w:tr>
      <w:tr>
        <w:trPr>
          <w:trHeight w:val="338"/>
        </w:trPr>
        <w:tc>
          <w:tcPr>
            <w:tcW w:w="7680" w:type="dxa"/>
            <w:vAlign w:val="bottom"/>
            <w:gridSpan w:val="3"/>
          </w:tcPr>
          <w:p>
            <w:pPr>
              <w:jc w:val="right"/>
              <w:ind w:right="470"/>
              <w:spacing w:after="0"/>
              <w:rPr>
                <w:sz w:val="20"/>
                <w:szCs w:val="20"/>
                <w:color w:val="auto"/>
              </w:rPr>
            </w:pPr>
            <w:r>
              <w:rPr>
                <w:rFonts w:ascii="Arial" w:cs="Arial" w:eastAsia="Arial" w:hAnsi="Arial"/>
                <w:sz w:val="14"/>
                <w:szCs w:val="14"/>
                <w:color w:val="auto"/>
                <w:highlight w:val="white"/>
              </w:rPr>
              <w:t>w:\teams\team_legal\working\valhi\finance\compx loan\vhi-cix-dmnd-revolvr-prom-note-211231-fin.docx</w:t>
            </w:r>
          </w:p>
        </w:tc>
        <w:tc>
          <w:tcPr>
            <w:tcW w:w="540" w:type="dxa"/>
            <w:vAlign w:val="bottom"/>
          </w:tcPr>
          <w:p>
            <w:pPr>
              <w:spacing w:after="0"/>
              <w:rPr>
                <w:sz w:val="24"/>
                <w:szCs w:val="24"/>
                <w:color w:val="auto"/>
              </w:rPr>
            </w:pPr>
          </w:p>
        </w:tc>
        <w:tc>
          <w:tcPr>
            <w:tcW w:w="2120" w:type="dxa"/>
            <w:vAlign w:val="bottom"/>
            <w:gridSpan w:val="2"/>
          </w:tcPr>
          <w:p>
            <w:pPr>
              <w:ind w:left="280"/>
              <w:spacing w:after="0"/>
              <w:rPr>
                <w:sz w:val="20"/>
                <w:szCs w:val="20"/>
                <w:color w:val="auto"/>
              </w:rPr>
            </w:pPr>
            <w:r>
              <w:rPr>
                <w:rFonts w:ascii="Arial" w:cs="Arial" w:eastAsia="Arial" w:hAnsi="Arial"/>
                <w:sz w:val="18"/>
                <w:szCs w:val="18"/>
                <w:color w:val="auto"/>
                <w:highlight w:val="white"/>
              </w:rPr>
              <w:t>Page 5 of 5.</w:t>
            </w:r>
          </w:p>
        </w:tc>
      </w:tr>
      <w:tr>
        <w:trPr>
          <w:trHeight w:val="776"/>
        </w:trPr>
        <w:tc>
          <w:tcPr>
            <w:tcW w:w="56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0340"/>
          </w:cols>
          <w:pgMar w:left="780" w:top="1440" w:right="77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ind w:left="980"/>
              <w:spacing w:after="0"/>
              <w:rPr>
                <w:sz w:val="20"/>
                <w:szCs w:val="20"/>
                <w:color w:val="auto"/>
              </w:rPr>
            </w:pPr>
            <w:r>
              <w:rPr>
                <w:rFonts w:ascii="Arial" w:cs="Arial" w:eastAsia="Arial" w:hAnsi="Arial"/>
                <w:sz w:val="18"/>
                <w:szCs w:val="18"/>
                <w:b w:val="1"/>
                <w:bCs w:val="1"/>
                <w:color w:val="auto"/>
                <w:w w:val="89"/>
              </w:rPr>
              <w:t>Exhibit 21.1</w:t>
            </w:r>
          </w:p>
        </w:tc>
      </w:tr>
      <w:tr>
        <w:trPr>
          <w:trHeight w:val="432"/>
        </w:trPr>
        <w:tc>
          <w:tcPr>
            <w:tcW w:w="2780" w:type="dxa"/>
            <w:vAlign w:val="bottom"/>
          </w:tcPr>
          <w:p>
            <w:pPr>
              <w:spacing w:after="0"/>
              <w:rPr>
                <w:sz w:val="24"/>
                <w:szCs w:val="24"/>
                <w:color w:val="auto"/>
              </w:rPr>
            </w:pPr>
          </w:p>
        </w:tc>
        <w:tc>
          <w:tcPr>
            <w:tcW w:w="5240" w:type="dxa"/>
            <w:vAlign w:val="bottom"/>
            <w:gridSpan w:val="4"/>
          </w:tcPr>
          <w:p>
            <w:pPr>
              <w:ind w:left="580"/>
              <w:spacing w:after="0"/>
              <w:rPr>
                <w:sz w:val="20"/>
                <w:szCs w:val="20"/>
                <w:color w:val="auto"/>
              </w:rPr>
            </w:pPr>
            <w:r>
              <w:rPr>
                <w:rFonts w:ascii="Arial" w:cs="Arial" w:eastAsia="Arial" w:hAnsi="Arial"/>
                <w:sz w:val="18"/>
                <w:szCs w:val="18"/>
                <w:b w:val="1"/>
                <w:bCs w:val="1"/>
                <w:color w:val="auto"/>
              </w:rPr>
              <w:t>SUBSIDIARIES OF THE REGISTRANT</w:t>
            </w:r>
          </w:p>
        </w:tc>
        <w:tc>
          <w:tcPr>
            <w:tcW w:w="1900" w:type="dxa"/>
            <w:vAlign w:val="bottom"/>
          </w:tcPr>
          <w:p>
            <w:pPr>
              <w:spacing w:after="0"/>
              <w:rPr>
                <w:sz w:val="24"/>
                <w:szCs w:val="24"/>
                <w:color w:val="auto"/>
              </w:rPr>
            </w:pPr>
          </w:p>
        </w:tc>
      </w:tr>
      <w:tr>
        <w:trPr>
          <w:trHeight w:val="427"/>
        </w:trPr>
        <w:tc>
          <w:tcPr>
            <w:tcW w:w="27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2"/>
              </w:rPr>
              <w:t>% of Voting</w:t>
            </w:r>
          </w:p>
        </w:tc>
      </w:tr>
      <w:tr>
        <w:trPr>
          <w:trHeight w:val="216"/>
        </w:trPr>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Jurisdiction of</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Incorporation or</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Held at December 31,</w:t>
            </w:r>
          </w:p>
        </w:tc>
      </w:tr>
      <w:tr>
        <w:trPr>
          <w:trHeight w:val="234"/>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Corporation</w:t>
            </w:r>
          </w:p>
        </w:tc>
        <w:tc>
          <w:tcPr>
            <w:tcW w:w="2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24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426"/>
        </w:trPr>
        <w:tc>
          <w:tcPr>
            <w:tcW w:w="2780" w:type="dxa"/>
            <w:vAlign w:val="bottom"/>
          </w:tcPr>
          <w:p>
            <w:pPr>
              <w:spacing w:after="0"/>
              <w:rPr>
                <w:sz w:val="20"/>
                <w:szCs w:val="20"/>
                <w:color w:val="auto"/>
              </w:rPr>
            </w:pPr>
            <w:r>
              <w:rPr>
                <w:rFonts w:ascii="Arial" w:cs="Arial" w:eastAsia="Arial" w:hAnsi="Arial"/>
                <w:sz w:val="18"/>
                <w:szCs w:val="18"/>
                <w:color w:val="auto"/>
              </w:rPr>
              <w:t>CompX Security Products Inc.</w:t>
            </w: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Delaware</w:t>
            </w: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100</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CompX Marine Inc.</w:t>
            </w: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Delaware</w:t>
            </w: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100</w:t>
            </w: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Custom Marine Inc.</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Delaware</w:t>
            </w: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100</w:t>
            </w:r>
          </w:p>
        </w:tc>
      </w:tr>
      <w:tr>
        <w:trPr>
          <w:trHeight w:val="216"/>
        </w:trPr>
        <w:tc>
          <w:tcPr>
            <w:tcW w:w="2780" w:type="dxa"/>
            <w:vAlign w:val="bottom"/>
          </w:tcPr>
          <w:p>
            <w:pPr>
              <w:ind w:left="400"/>
              <w:spacing w:after="0"/>
              <w:rPr>
                <w:sz w:val="20"/>
                <w:szCs w:val="20"/>
                <w:color w:val="auto"/>
              </w:rPr>
            </w:pPr>
            <w:r>
              <w:rPr>
                <w:rFonts w:ascii="Arial" w:cs="Arial" w:eastAsia="Arial" w:hAnsi="Arial"/>
                <w:sz w:val="18"/>
                <w:szCs w:val="18"/>
                <w:color w:val="auto"/>
              </w:rPr>
              <w:t>JZTB Realty LLC</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Wisconsin</w:t>
            </w: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100</w:t>
            </w:r>
          </w:p>
        </w:tc>
      </w:tr>
      <w:tr>
        <w:trPr>
          <w:trHeight w:val="230"/>
        </w:trPr>
        <w:tc>
          <w:tcPr>
            <w:tcW w:w="2780" w:type="dxa"/>
            <w:vAlign w:val="bottom"/>
          </w:tcPr>
          <w:p>
            <w:pPr>
              <w:ind w:left="200"/>
              <w:spacing w:after="0"/>
              <w:rPr>
                <w:sz w:val="20"/>
                <w:szCs w:val="20"/>
                <w:color w:val="auto"/>
              </w:rPr>
            </w:pPr>
            <w:r>
              <w:rPr>
                <w:rFonts w:ascii="Arial" w:cs="Arial" w:eastAsia="Arial" w:hAnsi="Arial"/>
                <w:sz w:val="18"/>
                <w:szCs w:val="18"/>
                <w:color w:val="auto"/>
              </w:rPr>
              <w:t>Livorsi Marine Inc.</w:t>
            </w:r>
          </w:p>
        </w:tc>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Illinois</w:t>
            </w: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100</w:t>
            </w:r>
          </w:p>
        </w:tc>
      </w:tr>
      <w:tr>
        <w:trPr>
          <w:trHeight w:val="776"/>
        </w:trPr>
        <w:tc>
          <w:tcPr>
            <w:tcW w:w="27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333-181794) of CompX International Inc. of our report dated March 2, 2022 relating to the financial statements, which appears in this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CompX International Inc.;</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jc w:val="both"/>
        <w:ind w:left="660" w:right="20" w:hanging="328"/>
        <w:spacing w:after="0" w:line="286"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660" w:right="20" w:hanging="328"/>
        <w:spacing w:after="0" w:line="286"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S. Simmons, certify that:</w:t>
      </w:r>
    </w:p>
    <w:p>
      <w:pPr>
        <w:spacing w:after="0" w:line="11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CompX International Inc.;</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5" w:lineRule="exact"/>
        <w:rPr>
          <w:rFonts w:ascii="Arial" w:cs="Arial" w:eastAsia="Arial" w:hAnsi="Arial"/>
          <w:sz w:val="18"/>
          <w:szCs w:val="18"/>
          <w:color w:val="auto"/>
        </w:rPr>
      </w:pPr>
    </w:p>
    <w:p>
      <w:pPr>
        <w:jc w:val="both"/>
        <w:ind w:left="660" w:right="20" w:hanging="328"/>
        <w:spacing w:after="0" w:line="286"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660" w:right="20" w:hanging="328"/>
        <w:spacing w:after="0" w:line="286"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75"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Michael S.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S. Simmons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Annual Report of CompX International Inc. (the Company) on Form 10-K for the period ending December 31, 2021 as filed with the Securities and Exchange Commission on the date hereof (the Report), I, Scott C. James, President and Chief Executive Officer of the Company and I, Michael S. Simmons, Senior Vice President and Chief Financial Officer of the Company, certify, pursuant to 18 U.S.C. §1350, as adopted pursuant to §906 of the Sarbanes-Oxley Act of 2002, that:</w:t>
      </w:r>
    </w:p>
    <w:p>
      <w:pPr>
        <w:spacing w:after="0" w:line="6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Michael S.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S. Simmons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2022</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lvl w:ilvl="1">
      <w:lvlJc w:val="left"/>
      <w:lvlText w:val="%2"/>
      <w:numFmt w:val="decimal"/>
      <w:start w:val="104"/>
    </w:lvl>
    <w:lvl w:ilvl="2">
      <w:lvlJc w:val="left"/>
      <w:lvlText w:val="-"/>
      <w:numFmt w:val="bullet"/>
      <w:start w:val="1"/>
    </w:lvl>
  </w:abstractNum>
  <w:abstractNum w:abstractNumId="16">
    <w:nsid w:val="628C895D"/>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Roman"/>
      <w:start w:val="2"/>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lowerLetter"/>
      <w:start w:val="7"/>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7"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39" Type="http://schemas.openxmlformats.org/officeDocument/2006/relationships/hyperlink" Target="https://www.sec.gov/Archives/edgar/data/1049606/000156459018019438/cix-ex31_101.htm" TargetMode="External"/><Relationship Id="rId40" Type="http://schemas.openxmlformats.org/officeDocument/2006/relationships/hyperlink" Target="https://www.sec.gov/Archives/edgar/data/1049606/000002424018000016/exh31.htm" TargetMode="External"/><Relationship Id="rId41" Type="http://schemas.openxmlformats.org/officeDocument/2006/relationships/hyperlink" Target="https://www.sec.gov/Archives/edgar/data/1049606/000156459021010577/cix-ex33_720.htm" TargetMode="External"/><Relationship Id="rId42" Type="http://schemas.openxmlformats.org/officeDocument/2006/relationships/hyperlink" Target="https://www.sec.gov/Archives/edgar/data/1049606/000156459020006804/cix-ex41_137.htm" TargetMode="External"/><Relationship Id="rId43" Type="http://schemas.openxmlformats.org/officeDocument/2006/relationships/hyperlink" Target="https://www.sec.gov/Archives/edgar/data/1049606/000104960604000011/ciiexh102.txt" TargetMode="External"/><Relationship Id="rId44" Type="http://schemas.openxmlformats.org/officeDocument/2006/relationships/hyperlink" Target="https://www.sec.gov/Archives/edgar/data/1049606/000119312513094118/d440599dex102.htm" TargetMode="External"/><Relationship Id="rId45" Type="http://schemas.openxmlformats.org/officeDocument/2006/relationships/hyperlink" Target="https://www.sec.gov/Archives/edgar/data/1049606/000156459020006804/cix-ex103_307.htm" TargetMode="External"/><Relationship Id="rId46" Type="http://schemas.openxmlformats.org/officeDocument/2006/relationships/hyperlink" Target="https://www.sec.gov/Archives/edgar/data/1049606/000156459019004906/cix-ex104_461.htm" TargetMode="External"/><Relationship Id="rId48" Type="http://schemas.openxmlformats.org/officeDocument/2006/relationships/hyperlink" Target="https://www.sec.gov/Archives/edgar/data/1049606/000005925516000191/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2022-03-02T15:18:48Z</dcterms:created>
  <dcterms:modified xsi:type="dcterms:W3CDTF">2022-03-02T15:18:48Z</dcterms:modified>
</cp:coreProperties>
</file>