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cix-20250521xdef14a.htm"/>
        <w:bookmarkStart w:id="1" w:name="kscix20250521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ad8a2e33_0d56_4358_be0d_947ebe275bc1"/>
      <w:bookmarkEnd w:id="2"/>
      <w:r>
        <w:rPr>
          <w:rFonts w:ascii="Times New Roman;Times;serif" w:hAnsi="Times New Roman;Times;serif"/>
          <w:b/>
          <w:sz w:val="20"/>
        </w:rPr>
        <w:t>In 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14A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 the</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tbl>
      <w:tblPr>
        <w:tblW w:w="3872" w:type="dxa"/>
        <w:jc w:val="left"/>
        <w:tblInd w:w="0" w:type="dxa"/>
        <w:tblLayout w:type="fixed"/>
        <w:tblCellMar>
          <w:top w:w="0" w:type="dxa"/>
          <w:left w:w="0" w:type="dxa"/>
          <w:bottom w:w="0" w:type="dxa"/>
          <w:right w:w="0" w:type="dxa"/>
        </w:tblCellMar>
      </w:tblPr>
      <w:tblGrid>
        <w:gridCol w:w="3511"/>
        <w:gridCol w:w="36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29485" cy="175260"/>
                      <wp:effectExtent l="0" t="0" r="0" b="0"/>
                      <wp:wrapNone/>
                      <wp:docPr id="1" name="Frame1"/>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235" cy="175260"/>
                      <wp:effectExtent l="0" t="0" r="0" b="0"/>
                      <wp:wrapNone/>
                      <wp:docPr id="2" name="Frame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Registrant:</w:t>
            </w:r>
          </w:p>
        </w:tc>
        <w:tc>
          <w:tcPr>
            <w:tcW w:w="361"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80" w:after="80"/>
        <w:ind w:left="0" w:right="0" w:hanging="0"/>
        <w:jc w:val="both"/>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Preliminary Proxy Statement</w:t>
      </w:r>
    </w:p>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0"/>
              <w:jc w:val="both"/>
              <w:rPr/>
            </w:pPr>
            <w:r>
              <w:rPr/>
              <w:t>☐</w:t>
            </w:r>
          </w:p>
        </w:tc>
        <w:tc>
          <w:tcPr>
            <w:tcW w:w="682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Definitive Proxy Statement</w:t>
      </w:r>
    </w:p>
    <w:tbl>
      <w:tblPr>
        <w:tblW w:w="3047" w:type="dxa"/>
        <w:jc w:val="left"/>
        <w:tblInd w:w="0" w:type="dxa"/>
        <w:tblLayout w:type="fixed"/>
        <w:tblCellMar>
          <w:top w:w="0" w:type="dxa"/>
          <w:left w:w="0" w:type="dxa"/>
          <w:bottom w:w="0" w:type="dxa"/>
          <w:right w:w="0" w:type="dxa"/>
        </w:tblCellMar>
      </w:tblPr>
      <w:tblGrid>
        <w:gridCol w:w="331"/>
        <w:gridCol w:w="2716"/>
      </w:tblGrid>
      <w:tr>
        <w:trPr/>
        <w:tc>
          <w:tcPr>
            <w:tcW w:w="331" w:type="dxa"/>
            <w:tcBorders/>
            <w:vAlign w:val="center"/>
          </w:tcPr>
          <w:p>
            <w:pPr>
              <w:pStyle w:val="TableContents"/>
              <w:bidi w:val="0"/>
              <w:spacing w:before="0" w:after="0"/>
              <w:jc w:val="both"/>
              <w:rPr/>
            </w:pPr>
            <w:r>
              <w:rPr/>
              <w:t>☐</w:t>
            </w:r>
          </w:p>
        </w:tc>
        <w:tc>
          <w:tcPr>
            <w:tcW w:w="27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Definitive Additional Materials</w:t>
            </w:r>
          </w:p>
        </w:tc>
      </w:tr>
    </w:tbl>
    <w:tbl>
      <w:tblPr>
        <w:tblW w:w="4112" w:type="dxa"/>
        <w:jc w:val="left"/>
        <w:tblInd w:w="0" w:type="dxa"/>
        <w:tblLayout w:type="fixed"/>
        <w:tblCellMar>
          <w:top w:w="0" w:type="dxa"/>
          <w:left w:w="0" w:type="dxa"/>
          <w:bottom w:w="0" w:type="dxa"/>
          <w:right w:w="0" w:type="dxa"/>
        </w:tblCellMar>
      </w:tblPr>
      <w:tblGrid>
        <w:gridCol w:w="331"/>
        <w:gridCol w:w="3781"/>
      </w:tblGrid>
      <w:tr>
        <w:trPr/>
        <w:tc>
          <w:tcPr>
            <w:tcW w:w="331" w:type="dxa"/>
            <w:tcBorders/>
            <w:vAlign w:val="center"/>
          </w:tcPr>
          <w:p>
            <w:pPr>
              <w:pStyle w:val="TableContents"/>
              <w:bidi w:val="0"/>
              <w:spacing w:before="0" w:after="80"/>
              <w:jc w:val="both"/>
              <w:rPr/>
            </w:pPr>
            <w:r>
              <w:rPr/>
              <w:t>☐</w:t>
            </w:r>
          </w:p>
        </w:tc>
        <w:tc>
          <w:tcPr>
            <w:tcW w:w="3781" w:type="dxa"/>
            <w:tcBorders/>
            <w:vAlign w:val="center"/>
          </w:tcPr>
          <w:p>
            <w:pPr>
              <w:pStyle w:val="TableContents"/>
              <w:bidi w:val="0"/>
              <w:spacing w:before="0" w:after="80"/>
              <w:jc w:val="both"/>
              <w:rPr>
                <w:rFonts w:ascii="Times New Roman;Times;serif" w:hAnsi="Times New Roman;Times;serif"/>
                <w:sz w:val="20"/>
              </w:rPr>
            </w:pPr>
            <w:r>
              <w:rPr>
                <w:rFonts w:ascii="Times New Roman;Times;serif" w:hAnsi="Times New Roman;Times;serif"/>
                <w:sz w:val="20"/>
              </w:rPr>
              <w:t>Soliciting Material Pursuant to § 240.14a-12</w:t>
            </w:r>
          </w:p>
        </w:tc>
      </w:tr>
    </w:tbl>
    <w:tbl>
      <w:tblPr>
        <w:tblW w:w="4816" w:type="dxa"/>
        <w:jc w:val="left"/>
        <w:tblInd w:w="0" w:type="dxa"/>
        <w:tblLayout w:type="fixed"/>
        <w:tblCellMar>
          <w:top w:w="0" w:type="dxa"/>
          <w:left w:w="0" w:type="dxa"/>
          <w:bottom w:w="0" w:type="dxa"/>
          <w:right w:w="0" w:type="dxa"/>
        </w:tblCellMar>
      </w:tblPr>
      <w:tblGrid>
        <w:gridCol w:w="4816"/>
      </w:tblGrid>
      <w:tr>
        <w:trPr/>
        <w:tc>
          <w:tcPr>
            <w:tcW w:w="4816" w:type="dxa"/>
            <w:tcBorders/>
            <w:vAlign w:val="center"/>
          </w:tcPr>
          <w:p>
            <w:pPr>
              <w:pStyle w:val="TableContents"/>
              <w:bidi w:val="0"/>
              <w:spacing w:before="0" w:after="0"/>
              <w:ind w:left="0" w:right="0" w:hanging="0"/>
              <w:jc w:val="left"/>
              <w:rPr/>
            </w:pPr>
            <w:r>
              <w:rPr/>
              <w:t>​</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tc>
      </w:tr>
      <w:tr>
        <w:trPr/>
        <w:tc>
          <w:tcPr>
            <w:tcW w:w="4816" w:type="dxa"/>
            <w:tcBorders>
              <w:top w:val="single" w:sz="2" w:space="0" w:color="000000"/>
            </w:tcBorders>
            <w:tcMar>
              <w:top w:w="28" w:type="dxa"/>
            </w:tcMar>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bl>
    <w:p>
      <w:pPr>
        <w:pStyle w:val="TextBody"/>
        <w:pBdr/>
        <w:bidi w:val="0"/>
        <w:spacing w:before="0" w:after="80"/>
        <w:ind w:left="0" w:right="0" w:hanging="720"/>
        <w:jc w:val="both"/>
        <w:rPr/>
      </w:pPr>
      <w:r>
        <w:rPr/>
        <w:t>​</w:t>
      </w:r>
    </w:p>
    <w:p>
      <w:pPr>
        <w:pStyle w:val="TextBody"/>
        <w:pBdr/>
        <w:bidi w:val="0"/>
        <w:spacing w:before="0" w:after="80"/>
        <w:ind w:left="0" w:right="0" w:hanging="720"/>
        <w:jc w:val="both"/>
        <w:rPr/>
      </w:pPr>
      <w:r>
        <w:rPr/>
        <w:t>​</w:t>
      </w:r>
    </w:p>
    <w:tbl>
      <w:tblPr>
        <w:tblW w:w="5926" w:type="dxa"/>
        <w:jc w:val="left"/>
        <w:tblInd w:w="0" w:type="dxa"/>
        <w:tblLayout w:type="fixed"/>
        <w:tblCellMar>
          <w:top w:w="0" w:type="dxa"/>
          <w:left w:w="0" w:type="dxa"/>
          <w:bottom w:w="0" w:type="dxa"/>
          <w:right w:w="0" w:type="dxa"/>
        </w:tblCellMar>
      </w:tblPr>
      <w:tblGrid>
        <w:gridCol w:w="5926"/>
      </w:tblGrid>
      <w:tr>
        <w:trPr/>
        <w:tc>
          <w:tcPr>
            <w:tcW w:w="5926" w:type="dxa"/>
            <w:tcBorders/>
            <w:vAlign w:val="center"/>
          </w:tcPr>
          <w:p>
            <w:pPr>
              <w:pStyle w:val="TableContents"/>
              <w:bidi w:val="0"/>
              <w:spacing w:before="0" w:after="0"/>
              <w:ind w:left="0" w:right="0" w:hanging="0"/>
              <w:jc w:val="left"/>
              <w:rPr/>
            </w:pPr>
            <w:r>
              <w:rPr/>
              <w:t>​</w:t>
            </w:r>
          </w:p>
        </w:tc>
      </w:tr>
      <w:tr>
        <w:trPr/>
        <w:tc>
          <w:tcPr>
            <w:tcW w:w="5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bl>
    <w:p>
      <w:pPr>
        <w:pStyle w:val="TextBody"/>
        <w:bidi w:val="0"/>
        <w:spacing w:before="0" w:after="0"/>
        <w:ind w:left="0" w:right="0" w:hanging="0"/>
        <w:jc w:val="left"/>
        <w:rPr/>
      </w:pPr>
      <w:r>
        <w:rPr/>
        <w:t>​</w:t>
      </w:r>
    </w:p>
    <w:p>
      <w:pPr>
        <w:pStyle w:val="TextBody"/>
        <w:bidi w:val="0"/>
        <w:spacing w:before="80" w:after="80"/>
        <w:ind w:left="0" w:right="0" w:hanging="0"/>
        <w:jc w:val="both"/>
        <w:rPr>
          <w:rFonts w:ascii="Times New Roman;Times;serif" w:hAnsi="Times New Roman;Times;serif"/>
          <w:sz w:val="20"/>
        </w:rPr>
      </w:pPr>
      <w:r>
        <w:rPr>
          <w:rFonts w:ascii="Times New Roman;Times;serif" w:hAnsi="Times New Roman;Times;serif"/>
          <w:sz w:val="20"/>
        </w:rPr>
        <w:t>Payment of Filing Fee (Check the appropriate box):</w:t>
      </w:r>
    </w:p>
    <w:tbl>
      <w:tblPr>
        <w:tblW w:w="1772" w:type="dxa"/>
        <w:jc w:val="left"/>
        <w:tblInd w:w="0" w:type="dxa"/>
        <w:tblLayout w:type="fixed"/>
        <w:tblCellMar>
          <w:top w:w="0" w:type="dxa"/>
          <w:left w:w="0" w:type="dxa"/>
          <w:bottom w:w="0" w:type="dxa"/>
          <w:right w:w="0" w:type="dxa"/>
        </w:tblCellMar>
      </w:tblPr>
      <w:tblGrid>
        <w:gridCol w:w="331"/>
        <w:gridCol w:w="1441"/>
      </w:tblGrid>
      <w:tr>
        <w:trPr/>
        <w:tc>
          <w:tcPr>
            <w:tcW w:w="331" w:type="dxa"/>
            <w:tcBorders/>
            <w:vAlign w:val="center"/>
          </w:tcPr>
          <w:p>
            <w:pPr>
              <w:pStyle w:val="TableContents"/>
              <w:bidi w:val="0"/>
              <w:spacing w:before="0" w:after="80"/>
              <w:jc w:val="both"/>
              <w:rPr/>
            </w:pPr>
            <w:r>
              <w:rPr/>
              <w:t>☒</w:t>
            </w:r>
          </w:p>
        </w:tc>
        <w:tc>
          <w:tcPr>
            <w:tcW w:w="1441" w:type="dxa"/>
            <w:tcBorders/>
            <w:vAlign w:val="center"/>
          </w:tcPr>
          <w:p>
            <w:pPr>
              <w:pStyle w:val="TableContents"/>
              <w:bidi w:val="0"/>
              <w:spacing w:before="0" w:after="80"/>
              <w:jc w:val="both"/>
              <w:rPr>
                <w:rFonts w:ascii="Times New Roman;Times;serif" w:hAnsi="Times New Roman;Times;serif"/>
                <w:sz w:val="20"/>
              </w:rPr>
            </w:pPr>
            <w:r>
              <w:rPr>
                <w:rFonts w:ascii="Times New Roman;Times;serif" w:hAnsi="Times New Roman;Times;serif"/>
                <w:sz w:val="20"/>
              </w:rPr>
              <w:t>No fee required.</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80"/>
              <w:jc w:val="both"/>
              <w:rPr/>
            </w:pPr>
            <w:r>
              <w:rPr/>
              <w:t>☐</w:t>
            </w:r>
          </w:p>
        </w:tc>
        <w:tc>
          <w:tcPr>
            <w:tcW w:w="3976" w:type="dxa"/>
            <w:tcBorders/>
            <w:vAlign w:val="center"/>
          </w:tcPr>
          <w:p>
            <w:pPr>
              <w:pStyle w:val="TableContents"/>
              <w:bidi w:val="0"/>
              <w:spacing w:before="0" w:after="80"/>
              <w:jc w:val="both"/>
              <w:rPr>
                <w:rFonts w:ascii="Times New Roman;Times;serif" w:hAnsi="Times New Roman;Times;serif"/>
                <w:sz w:val="20"/>
              </w:rPr>
            </w:pPr>
            <w:r>
              <w:rPr>
                <w:rFonts w:ascii="Times New Roman;Times;serif" w:hAnsi="Times New Roman;Times;serif"/>
                <w:sz w:val="20"/>
              </w:rPr>
              <w:t>Fee paid previously with preliminary materials.</w:t>
            </w:r>
          </w:p>
        </w:tc>
      </w:tr>
    </w:tbl>
    <w:tbl>
      <w:tblPr>
        <w:tblW w:w="8792" w:type="dxa"/>
        <w:jc w:val="left"/>
        <w:tblInd w:w="0" w:type="dxa"/>
        <w:tblLayout w:type="fixed"/>
        <w:tblCellMar>
          <w:top w:w="0" w:type="dxa"/>
          <w:left w:w="0" w:type="dxa"/>
          <w:bottom w:w="0" w:type="dxa"/>
          <w:right w:w="0" w:type="dxa"/>
        </w:tblCellMar>
      </w:tblPr>
      <w:tblGrid>
        <w:gridCol w:w="331"/>
        <w:gridCol w:w="8461"/>
      </w:tblGrid>
      <w:tr>
        <w:trPr/>
        <w:tc>
          <w:tcPr>
            <w:tcW w:w="331" w:type="dxa"/>
            <w:tcBorders/>
            <w:vAlign w:val="center"/>
          </w:tcPr>
          <w:p>
            <w:pPr>
              <w:pStyle w:val="TableContents"/>
              <w:bidi w:val="0"/>
              <w:spacing w:before="0" w:after="120"/>
              <w:jc w:val="both"/>
              <w:rPr/>
            </w:pPr>
            <w:r>
              <w:rPr/>
              <w:t>☐</w:t>
            </w:r>
          </w:p>
        </w:tc>
        <w:tc>
          <w:tcPr>
            <w:tcW w:w="846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 xml:space="preserve">Fee computed on table in exhibit required by Item 25(b) per Exchange Act Rules 14a-6(i)(1) and 0-11. </w:t>
            </w:r>
          </w:p>
        </w:tc>
      </w:tr>
    </w:tbl>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pBdr/>
        <w:bidi w:val="0"/>
        <w:spacing w:before="0" w:after="120"/>
        <w:ind w:left="0" w:right="0" w:hanging="720"/>
        <w:jc w:val="both"/>
        <w:rPr/>
      </w:pPr>
      <w:r>
        <w:rPr/>
        <w:t>​</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3" w:name="_c2f1f4db_c056_44ab_9631_25eb8564e666"/>
      <w:bookmarkEnd w:id="3"/>
      <w:r>
        <w:rPr/>
        <w:drawing>
          <wp:inline distT="0" distB="0" distL="0" distR="0">
            <wp:extent cx="1643380" cy="457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43380" cy="4572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Lincoln Centre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Dallas, Texas 75240-2620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8,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Our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are cordially invited to attend the 2025 annual meeting of stockholders of CompX International Inc., which will be held on Wednesday, May 21, 2025, at 10:00 a.m., local time, at Three Lincoln Centre Conference Center, 5430 LBJ Freeway, Suite 350, Dallas, Texas 75240-2620. The matters to be acted upon at the meeting are described in the attached notice of annual meeting of stockholders and proxy statement.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tbl>
      <w:tblPr>
        <w:tblW w:w="3975" w:type="dxa"/>
        <w:jc w:val="left"/>
        <w:tblInd w:w="0" w:type="dxa"/>
        <w:tblLayout w:type="fixed"/>
        <w:tblCellMar>
          <w:top w:w="0" w:type="dxa"/>
          <w:left w:w="0" w:type="dxa"/>
          <w:bottom w:w="0" w:type="dxa"/>
          <w:right w:w="0" w:type="dxa"/>
        </w:tblCellMar>
      </w:tblPr>
      <w:tblGrid>
        <w:gridCol w:w="124"/>
        <w:gridCol w:w="38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8740" cy="175260"/>
                      <wp:effectExtent l="0" t="0" r="0" b="0"/>
                      <wp:wrapNone/>
                      <wp:docPr id="4" name="Frame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45385" cy="175260"/>
                      <wp:effectExtent l="0" t="0" r="0" b="0"/>
                      <wp:wrapNone/>
                      <wp:docPr id="5" name="Frame4"/>
                      <a:graphic xmlns:a="http://schemas.openxmlformats.org/drawingml/2006/main">
                        <a:graphicData uri="http://schemas.microsoft.com/office/word/2010/wordprocessingShape">
                          <wps:wsp>
                            <wps:cNvSpPr txBox="1"/>
                            <wps:spPr>
                              <a:xfrm>
                                <a:off x="0" y="0"/>
                                <a:ext cx="244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drawing>
                <wp:inline distT="0" distB="0" distL="0" distR="0">
                  <wp:extent cx="2362200" cy="62484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62200" cy="624840"/>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Loretta J. Feehan</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Chair of the Board</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drawing>
                <wp:inline distT="0" distB="0" distL="0" distR="0">
                  <wp:extent cx="1490980" cy="70040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490980" cy="700405"/>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504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bookmarkStart w:id="4" w:name="_27af4aa8_f964_4eae_a758_e82c980fb87a"/>
      <w:bookmarkEnd w:id="4"/>
      <w:r>
        <w:rPr>
          <w:rFonts w:ascii="Times New Roman;Times;serif" w:hAnsi="Times New Roman;Times;serif"/>
          <w:b/>
          <w:sz w:val="28"/>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Lincoln Centre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Dallas, Texas 75240-2620</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NOTICE OF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May 21,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of CompX International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2025 annual meeting of stockholders of CompX International Inc. will be held on Wednesday, May 21, 2025, at 10:00 a.m., local time, at Three Lincoln Centre Conference Center, 5430 LBJ Freeway, Suite 350, Dallas, Texas 75240-2620, for the following purposes:</w:t>
      </w:r>
    </w:p>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eight director nominees named in the proxy statement to serve until the 2026 annual meeting of stockholders;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our named executive officer compensation; and</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meeting or any adjournment or postponement thereof.</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close of business on March 25, 2025,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tbl>
      <w:tblPr>
        <w:tblW w:w="3095" w:type="dxa"/>
        <w:jc w:val="left"/>
        <w:tblInd w:w="0" w:type="dxa"/>
        <w:tblLayout w:type="fixed"/>
        <w:tblCellMar>
          <w:top w:w="0" w:type="dxa"/>
          <w:left w:w="0" w:type="dxa"/>
          <w:bottom w:w="0" w:type="dxa"/>
          <w:right w:w="0" w:type="dxa"/>
        </w:tblCellMar>
      </w:tblPr>
      <w:tblGrid>
        <w:gridCol w:w="124"/>
        <w:gridCol w:w="29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175260"/>
                      <wp:effectExtent l="0" t="0" r="0" b="0"/>
                      <wp:wrapNone/>
                      <wp:docPr id="8"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86585" cy="175260"/>
                      <wp:effectExtent l="0" t="0" r="0" b="0"/>
                      <wp:wrapNone/>
                      <wp:docPr id="9" name="Frame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24"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drawing>
                <wp:inline distT="0" distB="0" distL="0" distR="0">
                  <wp:extent cx="1456690" cy="71818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456690" cy="718185"/>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Jane R. Grimm, </w:t>
            </w:r>
            <w:r>
              <w:rPr>
                <w:rFonts w:ascii="Times New Roman;Times;serif" w:hAnsi="Times New Roman;Times;serif"/>
                <w:i/>
                <w:sz w:val="20"/>
              </w:rPr>
              <w:t>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9,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tcBorders>
              <w:top w:val="single" w:sz="2" w:space="0" w:color="000000"/>
              <w:left w:val="single" w:sz="2" w:space="0" w:color="000000"/>
              <w:right w:val="single" w:sz="2" w:space="0" w:color="000000"/>
            </w:tcBorders>
            <w:tcMar>
              <w:top w:w="28" w:type="dxa"/>
              <w:left w:w="28" w:type="dxa"/>
              <w:bottom w:w="0"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w:t>
            </w:r>
          </w:p>
        </w:tc>
      </w:tr>
      <w:tr>
        <w:trPr/>
        <w:tc>
          <w:tcPr>
            <w:tcW w:w="10205" w:type="dxa"/>
            <w:tcBorders>
              <w:left w:val="single" w:sz="2" w:space="0" w:color="000000"/>
              <w:right w:val="single" w:sz="2" w:space="0" w:color="000000"/>
            </w:tcBorders>
            <w:tcMar>
              <w:left w:w="28" w:type="dxa"/>
              <w:bottom w:w="0"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 Stockholder Meeting to Be Held on May 21, 2025.</w:t>
            </w:r>
          </w:p>
        </w:tc>
      </w:tr>
      <w:tr>
        <w:trPr/>
        <w:tc>
          <w:tcPr>
            <w:tcW w:w="10205" w:type="dxa"/>
            <w:tcBorders>
              <w:left w:val="single" w:sz="2" w:space="0" w:color="000000"/>
              <w:right w:val="single" w:sz="2" w:space="0" w:color="000000"/>
            </w:tcBorders>
            <w:tcMar>
              <w:left w:w="28" w:type="dxa"/>
              <w:bottom w:w="0" w:type="dxa"/>
              <w:right w:w="28" w:type="dxa"/>
            </w:tcMar>
            <w:vAlign w:val="center"/>
          </w:tcPr>
          <w:p>
            <w:pPr>
              <w:pStyle w:val="TableContents"/>
              <w:bidi w:val="0"/>
              <w:spacing w:before="0" w:after="0"/>
              <w:ind w:left="0" w:right="0" w:hanging="0"/>
              <w:jc w:val="center"/>
              <w:rPr/>
            </w:pPr>
            <w:r>
              <w:rPr/>
              <w:t>​</w:t>
            </w:r>
          </w:p>
        </w:tc>
      </w:tr>
      <w:tr>
        <w:trPr/>
        <w:tc>
          <w:tcPr>
            <w:tcW w:w="102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The proxy statement and annual report to stockholders (including CompX’s Annual Report on Form 10-K for the fiscal year ended December 31, 2024) are available at </w:t>
            </w:r>
            <w:r>
              <w:rPr>
                <w:rFonts w:ascii="Times New Roman;Times;serif" w:hAnsi="Times New Roman;Times;serif"/>
                <w:b/>
                <w:i/>
                <w:sz w:val="20"/>
              </w:rPr>
              <w:t>https://web.viewproxy.com/CompX/2025</w:t>
            </w: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 w:name="TOC"/>
      <w:bookmarkStart w:id="6" w:name="_92f30ff9_f21e_4467_850a_08534bd58c10"/>
      <w:bookmarkEnd w:id="5"/>
      <w:bookmarkEnd w:id="6"/>
      <w:r>
        <w:rPr>
          <w:rFonts w:ascii="Times New Roman;Times;serif" w:hAnsi="Times New Roman;Times;serif"/>
          <w:b/>
          <w:sz w:val="20"/>
        </w:rPr>
        <w:t>TABLE OF CONTENTS</w:t>
      </w:r>
    </w:p>
    <w:tbl>
      <w:tblPr>
        <w:tblW w:w="10198" w:type="dxa"/>
        <w:jc w:val="left"/>
        <w:tblInd w:w="0" w:type="dxa"/>
        <w:tblLayout w:type="fixed"/>
        <w:tblCellMar>
          <w:top w:w="0" w:type="dxa"/>
          <w:left w:w="0" w:type="dxa"/>
          <w:bottom w:w="0" w:type="dxa"/>
          <w:right w:w="0" w:type="dxa"/>
        </w:tblCellMar>
      </w:tblPr>
      <w:tblGrid>
        <w:gridCol w:w="9391"/>
        <w:gridCol w:w="326"/>
        <w:gridCol w:w="481"/>
      </w:tblGrid>
      <w:tr>
        <w:trPr/>
        <w:tc>
          <w:tcPr>
            <w:tcW w:w="9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5435" cy="175260"/>
                      <wp:effectExtent l="0" t="0" r="0" b="0"/>
                      <wp:wrapNone/>
                      <wp:docPr id="12"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91" w:type="dxa"/>
            <w:tcBorders/>
            <w:vAlign w:val="center"/>
          </w:tcPr>
          <w:p>
            <w:pPr>
              <w:pStyle w:val="TableContents"/>
              <w:bidi w:val="0"/>
              <w:spacing w:lineRule="atLeast" w:line="196" w:before="0" w:after="0"/>
              <w:ind w:left="0" w:right="0" w:hanging="0"/>
              <w:jc w:val="both"/>
              <w:rPr/>
            </w:pPr>
            <w:r>
              <w:rPr/>
              <w:t>​</w:t>
            </w:r>
          </w:p>
        </w:tc>
        <w:tc>
          <w:tcPr>
            <w:tcW w:w="326" w:type="dxa"/>
            <w:tcBorders/>
            <w:vAlign w:val="center"/>
          </w:tcPr>
          <w:p>
            <w:pPr>
              <w:pStyle w:val="TableContents"/>
              <w:bidi w:val="0"/>
              <w:spacing w:lineRule="atLeast" w:line="196" w:before="0" w:after="0"/>
              <w:ind w:left="0" w:right="0" w:hanging="0"/>
              <w:jc w:val="center"/>
              <w:rPr/>
            </w:pPr>
            <w:r>
              <w:rPr/>
              <w:t>    </w:t>
            </w:r>
          </w:p>
        </w:tc>
        <w:tc>
          <w:tcPr>
            <w:tcW w:w="481" w:type="dxa"/>
            <w:tcBorders>
              <w:bottom w:val="single" w:sz="2" w:space="0" w:color="000000"/>
            </w:tcBorders>
            <w:tcMar>
              <w:bottom w:w="28" w:type="dxa"/>
            </w:tcMar>
            <w:vAlign w:val="center"/>
          </w:tcPr>
          <w:p>
            <w:pPr>
              <w:pStyle w:val="TableContents"/>
              <w:bidi w:val="0"/>
              <w:spacing w:lineRule="atLeast" w:line="196"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391" w:type="dxa"/>
            <w:tcBorders/>
            <w:vAlign w:val="center"/>
          </w:tcPr>
          <w:p>
            <w:pPr>
              <w:pStyle w:val="TableContents"/>
              <w:bidi w:val="0"/>
              <w:spacing w:lineRule="atLeast" w:line="196" w:before="0" w:after="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top w:val="single" w:sz="2" w:space="0" w:color="000000"/>
            </w:tcBorders>
            <w:tcMar>
              <w:top w:w="28" w:type="dxa"/>
            </w:tcMar>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9391" w:type="dxa"/>
            <w:tcBorders/>
            <w:vAlign w:val="center"/>
          </w:tcPr>
          <w:p>
            <w:pPr>
              <w:pStyle w:val="TableContents"/>
              <w:bidi w:val="0"/>
              <w:spacing w:lineRule="atLeast" w:line="196" w:before="0" w:after="0"/>
              <w:ind w:left="0" w:right="0" w:hanging="0"/>
              <w:jc w:val="both"/>
              <w:rPr/>
            </w:pPr>
            <w:hyperlink w:anchor="GLOSSARYOFTERMS_396455">
              <w:r>
                <w:rPr>
                  <w:rStyle w:val="InternetLink"/>
                  <w:rFonts w:ascii="Times New Roman;Times;serif" w:hAnsi="Times New Roman;Times;serif"/>
                  <w:b w:val="false"/>
                  <w:i w:val="false"/>
                  <w:caps w:val="false"/>
                  <w:smallCaps w:val="false"/>
                  <w:sz w:val="20"/>
                </w:rPr>
                <w:t>GLOSSARY OF TERMS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391" w:type="dxa"/>
            <w:tcBorders/>
            <w:vAlign w:val="center"/>
          </w:tcPr>
          <w:p>
            <w:pPr>
              <w:pStyle w:val="TableContents"/>
              <w:bidi w:val="0"/>
              <w:spacing w:lineRule="atLeast" w:line="196" w:before="0" w:after="0"/>
              <w:ind w:left="0" w:right="0" w:hanging="0"/>
              <w:jc w:val="both"/>
              <w:rPr/>
            </w:pPr>
            <w:hyperlink w:anchor="GENERALINFORMATION_247352">
              <w:r>
                <w:rPr>
                  <w:rStyle w:val="InternetLink"/>
                  <w:rFonts w:ascii="Times New Roman;Times;serif" w:hAnsi="Times New Roman;Times;serif"/>
                  <w:b w:val="false"/>
                  <w:i w:val="false"/>
                  <w:caps w:val="false"/>
                  <w:smallCaps w:val="false"/>
                  <w:sz w:val="20"/>
                </w:rPr>
                <w:t>GENERAL INFORMATION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91" w:type="dxa"/>
            <w:tcBorders/>
            <w:vAlign w:val="center"/>
          </w:tcPr>
          <w:p>
            <w:pPr>
              <w:pStyle w:val="TableContents"/>
              <w:bidi w:val="0"/>
              <w:spacing w:lineRule="atLeast" w:line="196" w:before="0" w:after="0"/>
              <w:ind w:left="0" w:right="0" w:hanging="0"/>
              <w:jc w:val="both"/>
              <w:rPr/>
            </w:pPr>
            <w:hyperlink w:anchor="QUESTIONSANDANSWERSABOUTTHEANNUALMEETING">
              <w:r>
                <w:rPr>
                  <w:rStyle w:val="InternetLink"/>
                  <w:rFonts w:ascii="Times New Roman;Times;serif" w:hAnsi="Times New Roman;Times;serif"/>
                  <w:b w:val="false"/>
                  <w:i w:val="false"/>
                  <w:caps w:val="false"/>
                  <w:smallCaps w:val="false"/>
                  <w:sz w:val="20"/>
                </w:rPr>
                <w:t>QUESTIONS AND ANSWERS ABOUT THE ANNUAL MEETING</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91" w:type="dxa"/>
            <w:tcBorders/>
            <w:vAlign w:val="center"/>
          </w:tcPr>
          <w:p>
            <w:pPr>
              <w:pStyle w:val="TableContents"/>
              <w:bidi w:val="0"/>
              <w:spacing w:lineRule="atLeast" w:line="196" w:before="0" w:after="0"/>
              <w:ind w:left="0" w:right="0" w:hanging="0"/>
              <w:jc w:val="both"/>
              <w:rPr/>
            </w:pPr>
            <w:hyperlink w:anchor="CONTROLLINGSTOCKHOLDER_824858">
              <w:r>
                <w:rPr>
                  <w:rStyle w:val="InternetLink"/>
                  <w:rFonts w:ascii="Times New Roman;Times;serif" w:hAnsi="Times New Roman;Times;serif"/>
                  <w:b w:val="false"/>
                  <w:i w:val="false"/>
                  <w:caps w:val="false"/>
                  <w:smallCaps w:val="false"/>
                  <w:sz w:val="20"/>
                </w:rPr>
                <w:t>CONTROLLING STOCKHOLDER</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91" w:type="dxa"/>
            <w:tcBorders/>
            <w:vAlign w:val="center"/>
          </w:tcPr>
          <w:p>
            <w:pPr>
              <w:pStyle w:val="TableContents"/>
              <w:bidi w:val="0"/>
              <w:spacing w:lineRule="atLeast" w:line="196" w:before="0" w:after="0"/>
              <w:ind w:left="0" w:right="0" w:hanging="0"/>
              <w:jc w:val="both"/>
              <w:rPr/>
            </w:pPr>
            <w:hyperlink w:anchor="SECURITYOWNERSHIP_236038">
              <w:r>
                <w:rPr>
                  <w:rStyle w:val="InternetLink"/>
                  <w:rFonts w:ascii="Times New Roman;Times;serif" w:hAnsi="Times New Roman;Times;serif"/>
                  <w:b w:val="false"/>
                  <w:i w:val="false"/>
                  <w:caps w:val="false"/>
                  <w:smallCaps w:val="false"/>
                  <w:sz w:val="20"/>
                </w:rPr>
                <w:t>SECURITY OWNERSHIP</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91" w:type="dxa"/>
            <w:tcBorders/>
            <w:vAlign w:val="center"/>
          </w:tcPr>
          <w:p>
            <w:pPr>
              <w:pStyle w:val="TableContents"/>
              <w:bidi w:val="0"/>
              <w:spacing w:lineRule="atLeast" w:line="196" w:before="0" w:after="0"/>
              <w:ind w:left="0" w:right="0" w:hanging="0"/>
              <w:jc w:val="both"/>
              <w:rPr/>
            </w:pPr>
            <w:hyperlink w:anchor="OWNERSHIPOFCOMPX">
              <w:r>
                <w:rPr>
                  <w:rStyle w:val="InternetLink"/>
                  <w:rFonts w:ascii="Times New Roman;Times;serif" w:hAnsi="Times New Roman;Times;serif"/>
                  <w:b w:val="false"/>
                  <w:i w:val="false"/>
                  <w:caps w:val="false"/>
                  <w:smallCaps w:val="false"/>
                  <w:sz w:val="20"/>
                </w:rPr>
                <w:t>Ownership of CompX</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91" w:type="dxa"/>
            <w:tcBorders/>
            <w:vAlign w:val="center"/>
          </w:tcPr>
          <w:p>
            <w:pPr>
              <w:pStyle w:val="TableContents"/>
              <w:bidi w:val="0"/>
              <w:spacing w:lineRule="atLeast" w:line="196" w:before="0" w:after="0"/>
              <w:ind w:left="0" w:right="0" w:hanging="0"/>
              <w:jc w:val="both"/>
              <w:rPr/>
            </w:pPr>
            <w:hyperlink w:anchor="OWNERSHIPOFRLATEDCOMPANIES">
              <w:r>
                <w:rPr>
                  <w:rStyle w:val="InternetLink"/>
                  <w:rFonts w:ascii="Times New Roman;Times;serif" w:hAnsi="Times New Roman;Times;serif"/>
                  <w:b w:val="false"/>
                  <w:i w:val="false"/>
                  <w:caps w:val="false"/>
                  <w:smallCaps w:val="false"/>
                  <w:sz w:val="20"/>
                </w:rPr>
                <w:t>Ownership of Related Companies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91" w:type="dxa"/>
            <w:tcBorders/>
            <w:vAlign w:val="center"/>
          </w:tcPr>
          <w:p>
            <w:pPr>
              <w:pStyle w:val="TableContents"/>
              <w:bidi w:val="0"/>
              <w:spacing w:lineRule="atLeast" w:line="196" w:before="0" w:after="0"/>
              <w:ind w:left="0" w:right="0" w:hanging="0"/>
              <w:jc w:val="both"/>
              <w:rPr/>
            </w:pPr>
            <w:hyperlink w:anchor="PROPOSAL1_766229">
              <w:r>
                <w:rPr>
                  <w:rStyle w:val="InternetLink"/>
                  <w:rFonts w:ascii="Times New Roman;Times;serif" w:hAnsi="Times New Roman;Times;serif"/>
                  <w:b w:val="false"/>
                  <w:i w:val="false"/>
                  <w:caps w:val="false"/>
                  <w:smallCaps w:val="false"/>
                  <w:sz w:val="20"/>
                </w:rPr>
                <w:t>PROPOSAL 1: ELECTION OF DIRECTORS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391" w:type="dxa"/>
            <w:tcBorders/>
            <w:vAlign w:val="center"/>
          </w:tcPr>
          <w:p>
            <w:pPr>
              <w:pStyle w:val="TableContents"/>
              <w:bidi w:val="0"/>
              <w:spacing w:lineRule="atLeast" w:line="196" w:before="0" w:after="0"/>
              <w:ind w:left="0" w:right="0" w:hanging="0"/>
              <w:jc w:val="both"/>
              <w:rPr/>
            </w:pPr>
            <w:hyperlink w:anchor="NOMINEESFORDIRECTORS">
              <w:r>
                <w:rPr>
                  <w:rStyle w:val="InternetLink"/>
                  <w:rFonts w:ascii="Times New Roman;Times;serif" w:hAnsi="Times New Roman;Times;serif"/>
                  <w:b w:val="false"/>
                  <w:i w:val="false"/>
                  <w:caps w:val="false"/>
                  <w:smallCaps w:val="false"/>
                  <w:sz w:val="20"/>
                </w:rPr>
                <w:t>Nominees for Director</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391" w:type="dxa"/>
            <w:tcBorders/>
            <w:vAlign w:val="center"/>
          </w:tcPr>
          <w:p>
            <w:pPr>
              <w:pStyle w:val="TableContents"/>
              <w:bidi w:val="0"/>
              <w:spacing w:lineRule="atLeast" w:line="196" w:before="0" w:after="0"/>
              <w:ind w:left="0" w:right="0" w:hanging="0"/>
              <w:jc w:val="both"/>
              <w:rPr/>
            </w:pPr>
            <w:hyperlink w:anchor="EXECUTIVEOFFICERS_666135">
              <w:r>
                <w:rPr>
                  <w:rStyle w:val="InternetLink"/>
                  <w:rFonts w:ascii="Times New Roman;Times;serif" w:hAnsi="Times New Roman;Times;serif"/>
                  <w:b w:val="false"/>
                  <w:i w:val="false"/>
                  <w:caps w:val="false"/>
                  <w:smallCaps w:val="false"/>
                  <w:sz w:val="20"/>
                </w:rPr>
                <w:t>EXECUTIVE OFFICERS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391" w:type="dxa"/>
            <w:tcBorders/>
            <w:vAlign w:val="center"/>
          </w:tcPr>
          <w:p>
            <w:pPr>
              <w:pStyle w:val="TableContents"/>
              <w:bidi w:val="0"/>
              <w:spacing w:lineRule="atLeast" w:line="196" w:before="0" w:after="0"/>
              <w:ind w:left="0" w:right="0" w:hanging="0"/>
              <w:jc w:val="both"/>
              <w:rPr/>
            </w:pPr>
            <w:hyperlink w:anchor="CORPORATEGOVERNANCE_615954">
              <w:r>
                <w:rPr>
                  <w:rStyle w:val="InternetLink"/>
                  <w:rFonts w:ascii="Times New Roman;Times;serif" w:hAnsi="Times New Roman;Times;serif"/>
                  <w:b w:val="false"/>
                  <w:i w:val="false"/>
                  <w:caps w:val="false"/>
                  <w:smallCaps w:val="false"/>
                  <w:sz w:val="20"/>
                </w:rPr>
                <w:t>CORPORATE GOVERNANCE</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391" w:type="dxa"/>
            <w:tcBorders/>
            <w:vAlign w:val="center"/>
          </w:tcPr>
          <w:p>
            <w:pPr>
              <w:pStyle w:val="TableContents"/>
              <w:bidi w:val="0"/>
              <w:spacing w:lineRule="atLeast" w:line="196" w:before="0" w:after="0"/>
              <w:ind w:left="0" w:right="0" w:hanging="0"/>
              <w:jc w:val="both"/>
              <w:rPr/>
            </w:pPr>
            <w:hyperlink w:anchor="CONTROLLEDCOMPANYSTATUS">
              <w:r>
                <w:rPr>
                  <w:rStyle w:val="InternetLink"/>
                  <w:rFonts w:ascii="Times New Roman;Times;serif" w:hAnsi="Times New Roman;Times;serif"/>
                  <w:b w:val="false"/>
                  <w:i w:val="false"/>
                  <w:caps w:val="false"/>
                  <w:smallCaps w:val="false"/>
                  <w:sz w:val="20"/>
                </w:rPr>
                <w:t>Controlled Company Status, Director Independence and Committees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391" w:type="dxa"/>
            <w:tcBorders/>
            <w:vAlign w:val="center"/>
          </w:tcPr>
          <w:p>
            <w:pPr>
              <w:pStyle w:val="TableContents"/>
              <w:bidi w:val="0"/>
              <w:spacing w:lineRule="atLeast" w:line="196" w:before="0" w:after="0"/>
              <w:ind w:left="0" w:right="0" w:hanging="0"/>
              <w:jc w:val="both"/>
              <w:rPr/>
            </w:pPr>
            <w:hyperlink w:anchor="MEETINGSANDSTANDINGCOMMITTEESOFBOD">
              <w:r>
                <w:rPr>
                  <w:rStyle w:val="InternetLink"/>
                  <w:rFonts w:ascii="Times New Roman;Times;serif" w:hAnsi="Times New Roman;Times;serif"/>
                  <w:b w:val="false"/>
                  <w:i w:val="false"/>
                  <w:caps w:val="false"/>
                  <w:smallCaps w:val="false"/>
                  <w:sz w:val="20"/>
                </w:rPr>
                <w:t>2024 Meetings and Standing Committees of the Board of Directors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391" w:type="dxa"/>
            <w:tcBorders/>
            <w:vAlign w:val="center"/>
          </w:tcPr>
          <w:p>
            <w:pPr>
              <w:pStyle w:val="TableContents"/>
              <w:bidi w:val="0"/>
              <w:spacing w:lineRule="atLeast" w:line="196" w:before="0" w:after="0"/>
              <w:ind w:left="0" w:right="0" w:hanging="0"/>
              <w:jc w:val="both"/>
              <w:rPr/>
            </w:pPr>
            <w:hyperlink w:anchor="AUDITCOMMITTEE">
              <w:r>
                <w:rPr>
                  <w:rStyle w:val="InternetLink"/>
                  <w:rFonts w:ascii="Times New Roman;Times;serif" w:hAnsi="Times New Roman;Times;serif"/>
                  <w:b w:val="false"/>
                  <w:i w:val="false"/>
                  <w:caps w:val="false"/>
                  <w:smallCaps w:val="false"/>
                  <w:sz w:val="20"/>
                </w:rPr>
                <w:t>Audit Committee</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391" w:type="dxa"/>
            <w:tcBorders/>
            <w:vAlign w:val="center"/>
          </w:tcPr>
          <w:p>
            <w:pPr>
              <w:pStyle w:val="TableContents"/>
              <w:bidi w:val="0"/>
              <w:spacing w:lineRule="atLeast" w:line="196" w:before="0" w:after="0"/>
              <w:ind w:left="0" w:right="0" w:hanging="0"/>
              <w:jc w:val="both"/>
              <w:rPr/>
            </w:pPr>
            <w:hyperlink w:anchor="MDANDCCOMMITTEE">
              <w:r>
                <w:rPr>
                  <w:rStyle w:val="InternetLink"/>
                  <w:rFonts w:ascii="Times New Roman;Times;serif" w:hAnsi="Times New Roman;Times;serif"/>
                  <w:b w:val="false"/>
                  <w:i w:val="false"/>
                  <w:caps w:val="false"/>
                  <w:smallCaps w:val="false"/>
                  <w:sz w:val="20"/>
                </w:rPr>
                <w:t>Management Development and Compensation Committee</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391" w:type="dxa"/>
            <w:tcBorders/>
            <w:vAlign w:val="center"/>
          </w:tcPr>
          <w:p>
            <w:pPr>
              <w:pStyle w:val="TableContents"/>
              <w:bidi w:val="0"/>
              <w:spacing w:lineRule="atLeast" w:line="196" w:before="0" w:after="0"/>
              <w:ind w:left="0" w:right="0" w:hanging="0"/>
              <w:jc w:val="both"/>
              <w:rPr/>
            </w:pPr>
            <w:hyperlink w:anchor="RISKOVERSIGHT">
              <w:r>
                <w:rPr>
                  <w:rStyle w:val="InternetLink"/>
                  <w:rFonts w:ascii="Times New Roman;Times;serif" w:hAnsi="Times New Roman;Times;serif"/>
                  <w:b w:val="false"/>
                  <w:i w:val="false"/>
                  <w:caps w:val="false"/>
                  <w:smallCaps w:val="false"/>
                  <w:sz w:val="20"/>
                </w:rPr>
                <w:t>Risk Oversight</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391" w:type="dxa"/>
            <w:tcBorders/>
            <w:vAlign w:val="center"/>
          </w:tcPr>
          <w:p>
            <w:pPr>
              <w:pStyle w:val="TableContents"/>
              <w:bidi w:val="0"/>
              <w:spacing w:lineRule="atLeast" w:line="196" w:before="0" w:after="0"/>
              <w:ind w:left="0" w:right="0" w:hanging="0"/>
              <w:jc w:val="both"/>
              <w:rPr/>
            </w:pPr>
            <w:hyperlink w:anchor="IDENTIFYINGANDEVALUATINGDIRECTORNOMINEES">
              <w:r>
                <w:rPr>
                  <w:rStyle w:val="InternetLink"/>
                  <w:rFonts w:ascii="Times New Roman;Times;serif" w:hAnsi="Times New Roman;Times;serif"/>
                  <w:b w:val="false"/>
                  <w:i w:val="false"/>
                  <w:caps w:val="false"/>
                  <w:smallCaps w:val="false"/>
                  <w:sz w:val="20"/>
                </w:rPr>
                <w:t>Identifying and Evaluating Director Nominees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391" w:type="dxa"/>
            <w:tcBorders/>
            <w:vAlign w:val="center"/>
          </w:tcPr>
          <w:p>
            <w:pPr>
              <w:pStyle w:val="TableContents"/>
              <w:bidi w:val="0"/>
              <w:spacing w:lineRule="atLeast" w:line="196" w:before="0" w:after="0"/>
              <w:ind w:left="0" w:right="0" w:hanging="0"/>
              <w:jc w:val="both"/>
              <w:rPr/>
            </w:pPr>
            <w:hyperlink w:anchor="LEADERSHIPSTRUCTUREOFBOD">
              <w:r>
                <w:rPr>
                  <w:rStyle w:val="InternetLink"/>
                  <w:rFonts w:ascii="Times New Roman;Times;serif" w:hAnsi="Times New Roman;Times;serif"/>
                  <w:b w:val="false"/>
                  <w:i w:val="false"/>
                  <w:caps w:val="false"/>
                  <w:smallCaps w:val="false"/>
                  <w:sz w:val="20"/>
                </w:rPr>
                <w:t>Leadership Structure of the Board of Directors and Independent Director Meetings</w:t>
              </w:r>
            </w:hyperlink>
          </w:p>
        </w:tc>
        <w:tc>
          <w:tcPr>
            <w:tcW w:w="326" w:type="dxa"/>
            <w:tcBorders/>
            <w:vAlign w:val="center"/>
          </w:tcPr>
          <w:p>
            <w:pPr>
              <w:pStyle w:val="TableContents"/>
              <w:bidi w:val="0"/>
              <w:spacing w:lineRule="atLeast" w:line="196" w:before="0" w:after="0"/>
              <w:ind w:left="0" w:right="0" w:hanging="0"/>
              <w:jc w:val="right"/>
              <w:rPr>
                <w:color w:val="221E1F"/>
              </w:rPr>
            </w:pPr>
            <w:r>
              <w:rPr>
                <w:color w:val="221E1F"/>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391" w:type="dxa"/>
            <w:tcBorders/>
            <w:vAlign w:val="center"/>
          </w:tcPr>
          <w:p>
            <w:pPr>
              <w:pStyle w:val="TableContents"/>
              <w:bidi w:val="0"/>
              <w:spacing w:lineRule="atLeast" w:line="196" w:before="0" w:after="0"/>
              <w:ind w:left="0" w:right="0" w:hanging="0"/>
              <w:jc w:val="both"/>
              <w:rPr/>
            </w:pPr>
            <w:hyperlink w:anchor="STOCKHOLDERPROPOSALSANDDIRECTORNOMINATIO">
              <w:r>
                <w:rPr>
                  <w:rStyle w:val="InternetLink"/>
                  <w:rFonts w:ascii="Times New Roman;Times;serif" w:hAnsi="Times New Roman;Times;serif"/>
                  <w:b w:val="false"/>
                  <w:i w:val="false"/>
                  <w:caps w:val="false"/>
                  <w:smallCaps w:val="false"/>
                  <w:sz w:val="20"/>
                </w:rPr>
                <w:t>Stockholder Proposals and Director Nominations for the 2026 Annual Meeting of Stockholders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391" w:type="dxa"/>
            <w:tcBorders/>
            <w:vAlign w:val="center"/>
          </w:tcPr>
          <w:p>
            <w:pPr>
              <w:pStyle w:val="TableContents"/>
              <w:bidi w:val="0"/>
              <w:spacing w:lineRule="atLeast" w:line="196" w:before="0" w:after="0"/>
              <w:ind w:left="0" w:right="0" w:hanging="0"/>
              <w:jc w:val="both"/>
              <w:rPr/>
            </w:pPr>
            <w:hyperlink w:anchor="COMMUNICATIONSWITHDIRECTORS">
              <w:r>
                <w:rPr>
                  <w:rStyle w:val="InternetLink"/>
                  <w:rFonts w:ascii="Times New Roman;Times;serif" w:hAnsi="Times New Roman;Times;serif"/>
                  <w:b w:val="false"/>
                  <w:i w:val="false"/>
                  <w:caps w:val="false"/>
                  <w:smallCaps w:val="false"/>
                  <w:sz w:val="20"/>
                </w:rPr>
                <w:t>Communications with Directors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391" w:type="dxa"/>
            <w:tcBorders/>
            <w:vAlign w:val="center"/>
          </w:tcPr>
          <w:p>
            <w:pPr>
              <w:pStyle w:val="TableContents"/>
              <w:bidi w:val="0"/>
              <w:spacing w:lineRule="atLeast" w:line="196" w:before="0" w:after="0"/>
              <w:ind w:left="0" w:right="0" w:hanging="0"/>
              <w:jc w:val="both"/>
              <w:rPr/>
            </w:pPr>
            <w:hyperlink w:anchor="COMPCOMMITTEEINTERLOCKS">
              <w:r>
                <w:rPr>
                  <w:rStyle w:val="InternetLink"/>
                  <w:rFonts w:ascii="Times New Roman;Times;serif" w:hAnsi="Times New Roman;Times;serif"/>
                  <w:b w:val="false"/>
                  <w:i w:val="false"/>
                  <w:caps w:val="false"/>
                  <w:smallCaps w:val="false"/>
                  <w:sz w:val="20"/>
                </w:rPr>
                <w:t>Compensation Committee Interlocks and Insider Participation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391" w:type="dxa"/>
            <w:tcBorders/>
            <w:vAlign w:val="center"/>
          </w:tcPr>
          <w:p>
            <w:pPr>
              <w:pStyle w:val="TableContents"/>
              <w:bidi w:val="0"/>
              <w:spacing w:lineRule="atLeast" w:line="196" w:before="0" w:after="0"/>
              <w:ind w:left="0" w:right="0" w:hanging="0"/>
              <w:jc w:val="both"/>
              <w:rPr/>
            </w:pPr>
            <w:hyperlink w:anchor="CODEOFBUSINESSCONDUCTANDETHICS">
              <w:r>
                <w:rPr>
                  <w:rStyle w:val="InternetLink"/>
                  <w:rFonts w:ascii="Times New Roman;Times;serif" w:hAnsi="Times New Roman;Times;serif"/>
                  <w:b w:val="false"/>
                  <w:i w:val="false"/>
                  <w:caps w:val="false"/>
                  <w:smallCaps w:val="false"/>
                  <w:sz w:val="20"/>
                </w:rPr>
                <w:t>Code of Business Conduct and Ethics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391" w:type="dxa"/>
            <w:tcBorders/>
            <w:vAlign w:val="center"/>
          </w:tcPr>
          <w:p>
            <w:pPr>
              <w:pStyle w:val="TableContents"/>
              <w:bidi w:val="0"/>
              <w:spacing w:lineRule="atLeast" w:line="196" w:before="0" w:after="0"/>
              <w:ind w:left="0" w:right="0" w:hanging="0"/>
              <w:jc w:val="both"/>
              <w:rPr/>
            </w:pPr>
            <w:hyperlink w:anchor="CORPORATEGOVERNANCEGUIDELINES">
              <w:r>
                <w:rPr>
                  <w:rStyle w:val="InternetLink"/>
                  <w:rFonts w:ascii="Times New Roman;Times;serif" w:hAnsi="Times New Roman;Times;serif"/>
                  <w:b w:val="false"/>
                  <w:i w:val="false"/>
                  <w:caps w:val="false"/>
                  <w:smallCaps w:val="false"/>
                  <w:sz w:val="20"/>
                </w:rPr>
                <w:t>Corporate Governance Guidelines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91" w:type="dxa"/>
            <w:tcBorders/>
            <w:vAlign w:val="center"/>
          </w:tcPr>
          <w:p>
            <w:pPr>
              <w:pStyle w:val="TableContents"/>
              <w:bidi w:val="0"/>
              <w:spacing w:lineRule="atLeast" w:line="196" w:before="0" w:after="0"/>
              <w:ind w:left="0" w:right="0" w:hanging="0"/>
              <w:jc w:val="both"/>
              <w:rPr/>
            </w:pPr>
            <w:hyperlink w:anchor="InsiderTradingPolicy">
              <w:r>
                <w:rPr>
                  <w:rStyle w:val="InternetLink"/>
                  <w:rFonts w:ascii="Times New Roman;Times;serif" w:hAnsi="Times New Roman;Times;serif"/>
                  <w:b w:val="false"/>
                  <w:i w:val="false"/>
                  <w:caps w:val="false"/>
                  <w:smallCaps w:val="false"/>
                  <w:sz w:val="20"/>
                </w:rPr>
                <w:t>Insider Trading Policy</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91" w:type="dxa"/>
            <w:tcBorders/>
            <w:vAlign w:val="center"/>
          </w:tcPr>
          <w:p>
            <w:pPr>
              <w:pStyle w:val="TableContents"/>
              <w:bidi w:val="0"/>
              <w:spacing w:lineRule="atLeast" w:line="196" w:before="0" w:after="0"/>
              <w:ind w:left="0" w:right="0" w:hanging="0"/>
              <w:jc w:val="both"/>
              <w:rPr/>
            </w:pPr>
            <w:hyperlink w:anchor="AVAILABILITYOFCORPORATEGOVERNDOCUMENTS">
              <w:r>
                <w:rPr>
                  <w:rStyle w:val="InternetLink"/>
                  <w:rFonts w:ascii="Times New Roman;Times;serif" w:hAnsi="Times New Roman;Times;serif"/>
                  <w:b w:val="false"/>
                  <w:i w:val="false"/>
                  <w:caps w:val="false"/>
                  <w:smallCaps w:val="false"/>
                  <w:sz w:val="20"/>
                </w:rPr>
                <w:t>Availability of Corporate Governance Documents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91" w:type="dxa"/>
            <w:tcBorders/>
            <w:vAlign w:val="center"/>
          </w:tcPr>
          <w:p>
            <w:pPr>
              <w:pStyle w:val="TableContents"/>
              <w:bidi w:val="0"/>
              <w:spacing w:lineRule="atLeast" w:line="196" w:before="0" w:after="0"/>
              <w:ind w:left="0" w:right="0" w:hanging="0"/>
              <w:jc w:val="both"/>
              <w:rPr/>
            </w:pPr>
            <w:hyperlink w:anchor="EMPLOYEEOFFICERANDDIRECTORHEDGING">
              <w:r>
                <w:rPr>
                  <w:rStyle w:val="InternetLink"/>
                  <w:rFonts w:ascii="Times New Roman;Times;serif" w:hAnsi="Times New Roman;Times;serif"/>
                  <w:b w:val="false"/>
                  <w:i w:val="false"/>
                  <w:caps w:val="false"/>
                  <w:smallCaps w:val="false"/>
                  <w:sz w:val="20"/>
                </w:rPr>
                <w:t>Employee, Officer and Director Hedging</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91" w:type="dxa"/>
            <w:tcBorders/>
            <w:vAlign w:val="center"/>
          </w:tcPr>
          <w:p>
            <w:pPr>
              <w:pStyle w:val="TableContents"/>
              <w:bidi w:val="0"/>
              <w:spacing w:lineRule="atLeast" w:line="196" w:before="0" w:after="0"/>
              <w:ind w:left="0" w:right="0" w:hanging="0"/>
              <w:jc w:val="both"/>
              <w:rPr/>
            </w:pPr>
            <w:hyperlink w:anchor="COMPENSATIONOFEXECUTIVEOFFICERSANDDIRECT">
              <w:r>
                <w:rPr>
                  <w:rStyle w:val="InternetLink"/>
                  <w:rFonts w:ascii="Times New Roman;Times;serif" w:hAnsi="Times New Roman;Times;serif"/>
                  <w:b w:val="false"/>
                  <w:i w:val="false"/>
                  <w:caps w:val="false"/>
                  <w:smallCaps w:val="false"/>
                  <w:sz w:val="20"/>
                </w:rPr>
                <w:t>COMPENSATION OF EXECUTIVE OFFICERS AND DIRECTORS AND OTHER INFORMATION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91" w:type="dxa"/>
            <w:tcBorders/>
            <w:vAlign w:val="center"/>
          </w:tcPr>
          <w:p>
            <w:pPr>
              <w:pStyle w:val="TableContents"/>
              <w:bidi w:val="0"/>
              <w:spacing w:lineRule="atLeast" w:line="196" w:before="0" w:after="0"/>
              <w:ind w:left="0" w:right="0" w:hanging="0"/>
              <w:jc w:val="both"/>
              <w:rPr/>
            </w:pPr>
            <w:hyperlink w:anchor="COMPENSATIONDISCUSSIONANDANALYSIS">
              <w:r>
                <w:rPr>
                  <w:rStyle w:val="InternetLink"/>
                  <w:rFonts w:ascii="Times New Roman;Times;serif" w:hAnsi="Times New Roman;Times;serif"/>
                  <w:b w:val="false"/>
                  <w:i w:val="false"/>
                  <w:caps w:val="false"/>
                  <w:smallCaps w:val="false"/>
                  <w:sz w:val="20"/>
                </w:rPr>
                <w:t>Compensation Discussion and Analysis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91" w:type="dxa"/>
            <w:tcBorders/>
            <w:vAlign w:val="center"/>
          </w:tcPr>
          <w:p>
            <w:pPr>
              <w:pStyle w:val="TableContents"/>
              <w:bidi w:val="0"/>
              <w:spacing w:lineRule="atLeast" w:line="196" w:before="0" w:after="0"/>
              <w:ind w:left="0" w:right="0" w:hanging="0"/>
              <w:jc w:val="both"/>
              <w:rPr/>
            </w:pPr>
            <w:hyperlink w:anchor="COMPENSATIONCOMMITTEEREPORT">
              <w:r>
                <w:rPr>
                  <w:rStyle w:val="InternetLink"/>
                  <w:rFonts w:ascii="Times New Roman;Times;serif" w:hAnsi="Times New Roman;Times;serif"/>
                  <w:b w:val="false"/>
                  <w:i w:val="false"/>
                  <w:caps w:val="false"/>
                  <w:smallCaps w:val="false"/>
                  <w:sz w:val="20"/>
                </w:rPr>
                <w:t>Compensation Committee Report</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391" w:type="dxa"/>
            <w:tcBorders/>
            <w:vAlign w:val="center"/>
          </w:tcPr>
          <w:p>
            <w:pPr>
              <w:pStyle w:val="TableContents"/>
              <w:bidi w:val="0"/>
              <w:spacing w:lineRule="atLeast" w:line="196" w:before="0" w:after="0"/>
              <w:ind w:left="0" w:right="0" w:hanging="0"/>
              <w:jc w:val="both"/>
              <w:rPr/>
            </w:pPr>
            <w:hyperlink w:anchor="SUMMARYOFCASHANDOTHERCOMP">
              <w:r>
                <w:rPr>
                  <w:rStyle w:val="InternetLink"/>
                  <w:rFonts w:ascii="Times New Roman;Times;serif" w:hAnsi="Times New Roman;Times;serif"/>
                  <w:b w:val="false"/>
                  <w:i w:val="false"/>
                  <w:caps w:val="false"/>
                  <w:smallCaps w:val="false"/>
                  <w:sz w:val="20"/>
                </w:rPr>
                <w:t>Summary of Cash and Certain Other Compensation of Executive Officers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391" w:type="dxa"/>
            <w:tcBorders/>
            <w:vAlign w:val="center"/>
          </w:tcPr>
          <w:p>
            <w:pPr>
              <w:pStyle w:val="TableContents"/>
              <w:bidi w:val="0"/>
              <w:spacing w:lineRule="atLeast" w:line="196" w:before="0" w:after="0"/>
              <w:ind w:left="0" w:right="0" w:hanging="0"/>
              <w:jc w:val="both"/>
              <w:rPr/>
            </w:pPr>
            <w:hyperlink w:anchor="NOGRANTSOFPLANBASEDAWARDS">
              <w:r>
                <w:rPr>
                  <w:rStyle w:val="InternetLink"/>
                  <w:rFonts w:ascii="Times New Roman;Times;serif" w:hAnsi="Times New Roman;Times;serif"/>
                  <w:b w:val="false"/>
                  <w:i w:val="false"/>
                  <w:caps w:val="false"/>
                  <w:smallCaps w:val="false"/>
                  <w:sz w:val="20"/>
                </w:rPr>
                <w:t>No Grants of Plan-Based Awards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NOOUTSTANDINGEQUITY">
              <w:r>
                <w:rPr>
                  <w:rStyle w:val="InternetLink"/>
                  <w:rFonts w:ascii="Times New Roman;Times;serif" w:hAnsi="Times New Roman;Times;serif"/>
                  <w:b w:val="false"/>
                  <w:i w:val="false"/>
                  <w:caps w:val="false"/>
                  <w:smallCaps w:val="false"/>
                  <w:sz w:val="20"/>
                </w:rPr>
                <w:t>No Outstanding Equity Awards at December 31, 2024</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NOOPTIONEXERCISESORSTOCKVESTED">
              <w:r>
                <w:rPr>
                  <w:rStyle w:val="InternetLink"/>
                  <w:rFonts w:ascii="Times New Roman;Times;serif" w:hAnsi="Times New Roman;Times;serif"/>
                  <w:b w:val="false"/>
                  <w:i w:val="false"/>
                  <w:caps w:val="false"/>
                  <w:smallCaps w:val="false"/>
                  <w:sz w:val="20"/>
                </w:rPr>
                <w:t>No Option Exercises or Stock Vested</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PENSIONBENEFITS">
              <w:r>
                <w:rPr>
                  <w:rStyle w:val="InternetLink"/>
                  <w:rFonts w:ascii="Times New Roman;Times;serif" w:hAnsi="Times New Roman;Times;serif"/>
                  <w:b w:val="false"/>
                  <w:i w:val="false"/>
                  <w:caps w:val="false"/>
                  <w:smallCaps w:val="false"/>
                  <w:sz w:val="20"/>
                </w:rPr>
                <w:t>Pension Benefits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NONQUALIFIEDDEFERREDCOMPENSATION">
              <w:r>
                <w:rPr>
                  <w:rStyle w:val="InternetLink"/>
                  <w:rFonts w:ascii="Times New Roman;Times;serif" w:hAnsi="Times New Roman;Times;serif"/>
                  <w:b w:val="false"/>
                  <w:i w:val="false"/>
                  <w:caps w:val="false"/>
                  <w:smallCaps w:val="false"/>
                  <w:sz w:val="20"/>
                </w:rPr>
                <w:t>Nonqualified Deferred Compensation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PAYRATIODISCLOSURE">
              <w:r>
                <w:rPr>
                  <w:rStyle w:val="InternetLink"/>
                  <w:rFonts w:ascii="Times New Roman;Times;serif" w:hAnsi="Times New Roman;Times;serif"/>
                  <w:b w:val="false"/>
                  <w:i w:val="false"/>
                  <w:caps w:val="false"/>
                  <w:smallCaps w:val="false"/>
                  <w:sz w:val="20"/>
                </w:rPr>
                <w:t>Pay Ratio Disclosure</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DIRECTORCOMPENSATION">
              <w:r>
                <w:rPr>
                  <w:rStyle w:val="InternetLink"/>
                  <w:rFonts w:ascii="Times New Roman;Times;serif" w:hAnsi="Times New Roman;Times;serif"/>
                  <w:b w:val="false"/>
                  <w:i w:val="false"/>
                  <w:caps w:val="false"/>
                  <w:smallCaps w:val="false"/>
                  <w:sz w:val="20"/>
                </w:rPr>
                <w:t>Director Compensation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91" w:type="dxa"/>
            <w:tcBorders/>
            <w:vAlign w:val="center"/>
          </w:tcPr>
          <w:p>
            <w:pPr>
              <w:pStyle w:val="TableContents"/>
              <w:bidi w:val="0"/>
              <w:spacing w:lineRule="atLeast" w:line="196" w:before="0" w:after="0"/>
              <w:ind w:left="0" w:right="0" w:hanging="0"/>
              <w:jc w:val="both"/>
              <w:rPr/>
            </w:pPr>
            <w:hyperlink w:anchor="PAYVERSUSPERFORMANCE">
              <w:r>
                <w:rPr>
                  <w:rStyle w:val="InternetLink"/>
                  <w:rFonts w:ascii="Times New Roman;Times;serif" w:hAnsi="Times New Roman;Times;serif"/>
                  <w:b w:val="false"/>
                  <w:i w:val="false"/>
                  <w:caps w:val="false"/>
                  <w:smallCaps w:val="false"/>
                  <w:sz w:val="20"/>
                </w:rPr>
                <w:t>Pay Versus Performance</w:t>
              </w:r>
            </w:hyperlink>
          </w:p>
        </w:tc>
        <w:tc>
          <w:tcPr>
            <w:tcW w:w="326" w:type="dxa"/>
            <w:tcBorders/>
            <w:vAlign w:val="center"/>
          </w:tcPr>
          <w:p>
            <w:pPr>
              <w:pStyle w:val="TableContents"/>
              <w:bidi w:val="0"/>
              <w:spacing w:lineRule="atLeast" w:line="196" w:before="0" w:after="0"/>
              <w:ind w:left="0" w:right="0" w:hanging="0"/>
              <w:jc w:val="right"/>
              <w:rPr>
                <w:color w:val="221E1F"/>
              </w:rPr>
            </w:pPr>
            <w:r>
              <w:rPr>
                <w:color w:val="221E1F"/>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391" w:type="dxa"/>
            <w:tcBorders/>
            <w:vAlign w:val="center"/>
          </w:tcPr>
          <w:p>
            <w:pPr>
              <w:pStyle w:val="TableContents"/>
              <w:bidi w:val="0"/>
              <w:spacing w:lineRule="atLeast" w:line="196" w:before="0" w:after="0"/>
              <w:ind w:left="0" w:right="0" w:hanging="0"/>
              <w:jc w:val="both"/>
              <w:rPr/>
            </w:pPr>
            <w:hyperlink w:anchor="COMPENSATIONPOLICIESANDPRACTICES">
              <w:r>
                <w:rPr>
                  <w:rStyle w:val="InternetLink"/>
                  <w:rFonts w:ascii="Times New Roman;Times;serif" w:hAnsi="Times New Roman;Times;serif"/>
                  <w:b w:val="false"/>
                  <w:i w:val="false"/>
                  <w:caps w:val="false"/>
                  <w:smallCaps w:val="false"/>
                  <w:sz w:val="20"/>
                </w:rPr>
                <w:t>Compensation Policies and Practices as They Relate to Risk Management</w:t>
              </w:r>
            </w:hyperlink>
          </w:p>
        </w:tc>
        <w:tc>
          <w:tcPr>
            <w:tcW w:w="326" w:type="dxa"/>
            <w:tcBorders/>
            <w:vAlign w:val="center"/>
          </w:tcPr>
          <w:p>
            <w:pPr>
              <w:pStyle w:val="TableContents"/>
              <w:bidi w:val="0"/>
              <w:spacing w:lineRule="atLeast" w:line="196" w:before="0" w:after="0"/>
              <w:ind w:left="0" w:right="0" w:hanging="0"/>
              <w:jc w:val="right"/>
              <w:rPr>
                <w:color w:val="221E1F"/>
              </w:rPr>
            </w:pPr>
            <w:r>
              <w:rPr>
                <w:color w:val="221E1F"/>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91" w:type="dxa"/>
            <w:tcBorders/>
            <w:vAlign w:val="center"/>
          </w:tcPr>
          <w:p>
            <w:pPr>
              <w:pStyle w:val="TableContents"/>
              <w:bidi w:val="0"/>
              <w:spacing w:lineRule="atLeast" w:line="196" w:before="0" w:after="0"/>
              <w:ind w:left="0" w:right="0" w:hanging="0"/>
              <w:jc w:val="both"/>
              <w:rPr/>
            </w:pPr>
            <w:hyperlink w:anchor="COMPENSATIONCONSULTANTS">
              <w:r>
                <w:rPr>
                  <w:rStyle w:val="InternetLink"/>
                  <w:rFonts w:ascii="Times New Roman;Times;serif" w:hAnsi="Times New Roman;Times;serif"/>
                  <w:b w:val="false"/>
                  <w:i w:val="false"/>
                  <w:caps w:val="false"/>
                  <w:smallCaps w:val="false"/>
                  <w:sz w:val="20"/>
                </w:rPr>
                <w:t>Compensation Consultants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91" w:type="dxa"/>
            <w:tcBorders/>
            <w:vAlign w:val="center"/>
          </w:tcPr>
          <w:p>
            <w:pPr>
              <w:pStyle w:val="TableContents"/>
              <w:bidi w:val="0"/>
              <w:spacing w:lineRule="atLeast" w:line="196" w:before="0" w:after="0"/>
              <w:ind w:left="0" w:right="0" w:hanging="0"/>
              <w:jc w:val="both"/>
              <w:rPr/>
            </w:pPr>
            <w:hyperlink w:anchor="SECTION16aBENEFICIALOWNERSHIPREPORTINGCO">
              <w:r>
                <w:rPr>
                  <w:rStyle w:val="InternetLink"/>
                  <w:rFonts w:ascii="Times New Roman;Times;serif" w:hAnsi="Times New Roman;Times;serif"/>
                  <w:b w:val="false"/>
                  <w:i w:val="false"/>
                  <w:caps w:val="false"/>
                  <w:smallCaps w:val="false"/>
                  <w:sz w:val="20"/>
                </w:rPr>
                <w:t>SECTION 16(a) BENEFICIAL OWNERSHIP REPORTING COMPLIANCE</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91" w:type="dxa"/>
            <w:tcBorders/>
            <w:vAlign w:val="center"/>
          </w:tcPr>
          <w:p>
            <w:pPr>
              <w:pStyle w:val="TableContents"/>
              <w:bidi w:val="0"/>
              <w:spacing w:lineRule="atLeast" w:line="196" w:before="0" w:after="0"/>
              <w:ind w:left="0" w:right="0" w:hanging="0"/>
              <w:jc w:val="both"/>
              <w:rPr/>
            </w:pPr>
            <w:hyperlink w:anchor="CERTAINRELATIONSHIPSANDTRANSACTIONS_7176">
              <w:r>
                <w:rPr>
                  <w:rStyle w:val="InternetLink"/>
                  <w:rFonts w:ascii="Times New Roman;Times;serif" w:hAnsi="Times New Roman;Times;serif"/>
                  <w:b w:val="false"/>
                  <w:i w:val="false"/>
                  <w:caps w:val="false"/>
                  <w:smallCaps w:val="false"/>
                  <w:sz w:val="20"/>
                </w:rPr>
                <w:t>CERTAIN RELATIONSHIPS AND TRANSACTIONS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91" w:type="dxa"/>
            <w:tcBorders/>
            <w:vAlign w:val="center"/>
          </w:tcPr>
          <w:p>
            <w:pPr>
              <w:pStyle w:val="TableContents"/>
              <w:bidi w:val="0"/>
              <w:spacing w:lineRule="atLeast" w:line="196" w:before="0" w:after="0"/>
              <w:ind w:left="0" w:right="0" w:hanging="0"/>
              <w:jc w:val="both"/>
              <w:rPr/>
            </w:pPr>
            <w:hyperlink w:anchor="RELATEDPARTYTRANSACTIONPOLICY">
              <w:r>
                <w:rPr>
                  <w:rStyle w:val="InternetLink"/>
                  <w:rFonts w:ascii="Times New Roman;Times;serif" w:hAnsi="Times New Roman;Times;serif"/>
                  <w:b w:val="false"/>
                  <w:i w:val="false"/>
                  <w:caps w:val="false"/>
                  <w:smallCaps w:val="false"/>
                  <w:sz w:val="20"/>
                </w:rPr>
                <w:t>Related Party Transaction Policy</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91" w:type="dxa"/>
            <w:tcBorders/>
            <w:vAlign w:val="center"/>
          </w:tcPr>
          <w:p>
            <w:pPr>
              <w:pStyle w:val="TableContents"/>
              <w:bidi w:val="0"/>
              <w:spacing w:lineRule="atLeast" w:line="196" w:before="0" w:after="0"/>
              <w:ind w:left="0" w:right="0" w:hanging="0"/>
              <w:jc w:val="both"/>
              <w:rPr/>
            </w:pPr>
            <w:hyperlink w:anchor="RELATIONSHIPSWITHRELATEDPARTIES">
              <w:r>
                <w:rPr>
                  <w:rStyle w:val="InternetLink"/>
                  <w:rFonts w:ascii="Times New Roman;Times;serif" w:hAnsi="Times New Roman;Times;serif"/>
                  <w:b w:val="false"/>
                  <w:i w:val="false"/>
                  <w:caps w:val="false"/>
                  <w:smallCaps w:val="false"/>
                  <w:sz w:val="20"/>
                </w:rPr>
                <w:t>Relationships with Related Parties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91" w:type="dxa"/>
            <w:tcBorders/>
            <w:vAlign w:val="center"/>
          </w:tcPr>
          <w:p>
            <w:pPr>
              <w:pStyle w:val="TableContents"/>
              <w:bidi w:val="0"/>
              <w:spacing w:lineRule="atLeast" w:line="196" w:before="0" w:after="0"/>
              <w:ind w:left="0" w:right="0" w:hanging="0"/>
              <w:jc w:val="both"/>
              <w:rPr/>
            </w:pPr>
            <w:hyperlink w:anchor="INTERCORPORATESERVICESAGREEMENT">
              <w:r>
                <w:rPr>
                  <w:rStyle w:val="InternetLink"/>
                  <w:rFonts w:ascii="Times New Roman;Times;serif" w:hAnsi="Times New Roman;Times;serif"/>
                  <w:b w:val="false"/>
                  <w:i w:val="false"/>
                  <w:caps w:val="false"/>
                  <w:smallCaps w:val="false"/>
                  <w:sz w:val="20"/>
                </w:rPr>
                <w:t>Intercorporate Services Agreements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391" w:type="dxa"/>
            <w:tcBorders/>
            <w:vAlign w:val="center"/>
          </w:tcPr>
          <w:p>
            <w:pPr>
              <w:pStyle w:val="TableContents"/>
              <w:bidi w:val="0"/>
              <w:spacing w:lineRule="atLeast" w:line="196" w:before="0" w:after="0"/>
              <w:ind w:left="0" w:right="0" w:hanging="0"/>
              <w:jc w:val="both"/>
              <w:rPr/>
            </w:pPr>
            <w:hyperlink w:anchor="RISKMANAGEMENTPROGRAM">
              <w:r>
                <w:rPr>
                  <w:rStyle w:val="InternetLink"/>
                  <w:rFonts w:ascii="Times New Roman;Times;serif" w:hAnsi="Times New Roman;Times;serif"/>
                  <w:b w:val="false"/>
                  <w:i w:val="false"/>
                  <w:caps w:val="false"/>
                  <w:smallCaps w:val="false"/>
                  <w:sz w:val="20"/>
                </w:rPr>
                <w:t>Risk Management Program</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391" w:type="dxa"/>
            <w:tcBorders/>
            <w:vAlign w:val="center"/>
          </w:tcPr>
          <w:p>
            <w:pPr>
              <w:pStyle w:val="TableContents"/>
              <w:bidi w:val="0"/>
              <w:spacing w:lineRule="atLeast" w:line="196" w:before="0" w:after="0"/>
              <w:ind w:left="0" w:right="0" w:hanging="0"/>
              <w:jc w:val="both"/>
              <w:rPr/>
            </w:pPr>
            <w:hyperlink w:anchor="TAXMATTERS">
              <w:r>
                <w:rPr>
                  <w:rStyle w:val="InternetLink"/>
                  <w:rFonts w:ascii="Times New Roman;Times;serif" w:hAnsi="Times New Roman;Times;serif"/>
                  <w:b w:val="false"/>
                  <w:i w:val="false"/>
                  <w:caps w:val="false"/>
                  <w:smallCaps w:val="false"/>
                  <w:sz w:val="20"/>
                </w:rPr>
                <w:t>Tax Matters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91" w:type="dxa"/>
            <w:tcBorders/>
            <w:vAlign w:val="center"/>
          </w:tcPr>
          <w:p>
            <w:pPr>
              <w:pStyle w:val="TableContents"/>
              <w:bidi w:val="0"/>
              <w:spacing w:lineRule="atLeast" w:line="196" w:before="0" w:after="0"/>
              <w:ind w:left="0" w:right="0" w:hanging="0"/>
              <w:jc w:val="both"/>
              <w:rPr/>
            </w:pPr>
            <w:hyperlink w:anchor="RELATEDPARTYLOANS">
              <w:r>
                <w:rPr>
                  <w:rStyle w:val="InternetLink"/>
                  <w:rFonts w:ascii="Times New Roman;Times;serif" w:hAnsi="Times New Roman;Times;serif"/>
                  <w:b w:val="false"/>
                  <w:i w:val="false"/>
                  <w:caps w:val="false"/>
                  <w:smallCaps w:val="false"/>
                  <w:sz w:val="20"/>
                </w:rPr>
                <w:t>Related Party Loans for Cash Management Purposes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391" w:type="dxa"/>
            <w:tcBorders/>
            <w:vAlign w:val="center"/>
          </w:tcPr>
          <w:p>
            <w:pPr>
              <w:pStyle w:val="TableContents"/>
              <w:bidi w:val="0"/>
              <w:spacing w:lineRule="atLeast" w:line="196" w:before="0" w:after="0"/>
              <w:ind w:left="0" w:right="0" w:hanging="0"/>
              <w:jc w:val="both"/>
              <w:rPr/>
            </w:pPr>
            <w:hyperlink w:anchor="AUDITCOMMITTEEREPORT_26118">
              <w:r>
                <w:rPr>
                  <w:rStyle w:val="InternetLink"/>
                  <w:rFonts w:ascii="Times New Roman;Times;serif" w:hAnsi="Times New Roman;Times;serif"/>
                  <w:b w:val="false"/>
                  <w:i w:val="false"/>
                  <w:caps w:val="false"/>
                  <w:smallCaps w:val="false"/>
                  <w:sz w:val="20"/>
                </w:rPr>
                <w:t>AUDIT COMMITTEE REPORT</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91" w:type="dxa"/>
            <w:tcBorders/>
            <w:vAlign w:val="center"/>
          </w:tcPr>
          <w:p>
            <w:pPr>
              <w:pStyle w:val="TableContents"/>
              <w:bidi w:val="0"/>
              <w:spacing w:lineRule="atLeast" w:line="196" w:before="0" w:after="0"/>
              <w:ind w:left="0" w:right="0" w:hanging="0"/>
              <w:jc w:val="both"/>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 MATTERS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91" w:type="dxa"/>
            <w:tcBorders/>
            <w:vAlign w:val="center"/>
          </w:tcPr>
          <w:p>
            <w:pPr>
              <w:pStyle w:val="TableContents"/>
              <w:bidi w:val="0"/>
              <w:spacing w:lineRule="atLeast" w:line="196" w:before="0" w:after="0"/>
              <w:ind w:left="0" w:right="0" w:hanging="0"/>
              <w:jc w:val="both"/>
              <w:rPr/>
            </w:pPr>
            <w:hyperlink w:anchor="INDEPENDENTREGPUBLICACCOUNTINGFIRM">
              <w:r>
                <w:rPr>
                  <w:rStyle w:val="InternetLink"/>
                  <w:rFonts w:ascii="Times New Roman;Times;serif" w:hAnsi="Times New Roman;Times;serif"/>
                  <w:b w:val="false"/>
                  <w:i w:val="false"/>
                  <w:caps w:val="false"/>
                  <w:smallCaps w:val="false"/>
                  <w:sz w:val="20"/>
                </w:rPr>
                <w:t>Independent Registered Public Accounting Firm</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91" w:type="dxa"/>
            <w:tcBorders/>
            <w:vAlign w:val="center"/>
          </w:tcPr>
          <w:p>
            <w:pPr>
              <w:pStyle w:val="TableContents"/>
              <w:bidi w:val="0"/>
              <w:spacing w:lineRule="atLeast" w:line="196" w:before="0" w:after="0"/>
              <w:ind w:left="0" w:right="0" w:hanging="0"/>
              <w:jc w:val="both"/>
              <w:rPr/>
            </w:pPr>
            <w:hyperlink w:anchor="FEESPAIDTOPWCLLP">
              <w:r>
                <w:rPr>
                  <w:rStyle w:val="InternetLink"/>
                  <w:rFonts w:ascii="Times New Roman;Times;serif" w:hAnsi="Times New Roman;Times;serif"/>
                  <w:b w:val="false"/>
                  <w:i w:val="false"/>
                  <w:caps w:val="false"/>
                  <w:smallCaps w:val="false"/>
                  <w:sz w:val="20"/>
                </w:rPr>
                <w:t>Fees Paid to PricewaterhouseCoopers LLP</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91" w:type="dxa"/>
            <w:tcBorders/>
            <w:vAlign w:val="center"/>
          </w:tcPr>
          <w:p>
            <w:pPr>
              <w:pStyle w:val="TableContents"/>
              <w:bidi w:val="0"/>
              <w:spacing w:lineRule="atLeast" w:line="196" w:before="0" w:after="0"/>
              <w:ind w:left="0" w:right="0" w:hanging="0"/>
              <w:jc w:val="both"/>
              <w:rPr/>
            </w:pPr>
            <w:hyperlink w:anchor="PREAPPROVEDPOLICIESANDPROCEDURES">
              <w:r>
                <w:rPr>
                  <w:rStyle w:val="InternetLink"/>
                  <w:rFonts w:ascii="Times New Roman;Times;serif" w:hAnsi="Times New Roman;Times;serif"/>
                  <w:b w:val="false"/>
                  <w:i w:val="false"/>
                  <w:caps w:val="false"/>
                  <w:smallCaps w:val="false"/>
                  <w:sz w:val="20"/>
                </w:rPr>
                <w:t>Preapproval Policies and Procedures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91" w:type="dxa"/>
            <w:tcBorders/>
            <w:vAlign w:val="center"/>
          </w:tcPr>
          <w:p>
            <w:pPr>
              <w:pStyle w:val="TableContents"/>
              <w:bidi w:val="0"/>
              <w:spacing w:lineRule="atLeast" w:line="196" w:before="0" w:after="0"/>
              <w:ind w:left="0" w:right="0" w:hanging="0"/>
              <w:jc w:val="both"/>
              <w:rPr/>
            </w:pPr>
            <w:hyperlink w:anchor="PROPOSAL2_104685">
              <w:r>
                <w:rPr>
                  <w:rStyle w:val="InternetLink"/>
                  <w:rFonts w:ascii="Times New Roman;Times;serif" w:hAnsi="Times New Roman;Times;serif"/>
                  <w:b w:val="false"/>
                  <w:i w:val="false"/>
                  <w:caps w:val="false"/>
                  <w:smallCaps w:val="false"/>
                  <w:sz w:val="20"/>
                </w:rPr>
                <w:t>PROPOSAL 2: NONBINDING ADVISORY RESOLUTION ON NAMED EXECUTIVE OFFICER COMPENSATION</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91" w:type="dxa"/>
            <w:tcBorders/>
            <w:vAlign w:val="center"/>
          </w:tcPr>
          <w:p>
            <w:pPr>
              <w:pStyle w:val="TableContents"/>
              <w:bidi w:val="0"/>
              <w:spacing w:lineRule="atLeast" w:line="196" w:before="0" w:after="0"/>
              <w:ind w:left="0" w:right="0" w:hanging="0"/>
              <w:jc w:val="both"/>
              <w:rPr/>
            </w:pPr>
            <w:hyperlink w:anchor="BACKGROUND">
              <w:r>
                <w:rPr>
                  <w:rStyle w:val="InternetLink"/>
                  <w:rFonts w:ascii="Times New Roman;Times;serif" w:hAnsi="Times New Roman;Times;serif"/>
                  <w:b w:val="false"/>
                  <w:i w:val="false"/>
                  <w:caps w:val="false"/>
                  <w:smallCaps w:val="false"/>
                  <w:sz w:val="20"/>
                </w:rPr>
                <w:t>Background</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91" w:type="dxa"/>
            <w:tcBorders/>
            <w:vAlign w:val="center"/>
          </w:tcPr>
          <w:p>
            <w:pPr>
              <w:pStyle w:val="TableContents"/>
              <w:bidi w:val="0"/>
              <w:spacing w:lineRule="atLeast" w:line="196" w:before="0" w:after="0"/>
              <w:ind w:left="0" w:right="0" w:hanging="0"/>
              <w:jc w:val="both"/>
              <w:rPr/>
            </w:pPr>
            <w:hyperlink w:anchor="SAYONPAYPROPOSAL">
              <w:r>
                <w:rPr>
                  <w:rStyle w:val="InternetLink"/>
                  <w:rFonts w:ascii="Times New Roman;Times;serif" w:hAnsi="Times New Roman;Times;serif"/>
                  <w:b w:val="false"/>
                  <w:i w:val="false"/>
                  <w:caps w:val="false"/>
                  <w:smallCaps w:val="false"/>
                  <w:sz w:val="20"/>
                </w:rPr>
                <w:t>Say-on-Pay Proposal</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91" w:type="dxa"/>
            <w:tcBorders/>
            <w:vAlign w:val="center"/>
          </w:tcPr>
          <w:p>
            <w:pPr>
              <w:pStyle w:val="TableContents"/>
              <w:bidi w:val="0"/>
              <w:spacing w:lineRule="atLeast" w:line="196" w:before="0" w:after="0"/>
              <w:ind w:left="0" w:right="0" w:hanging="0"/>
              <w:jc w:val="both"/>
              <w:rPr/>
            </w:pPr>
            <w:hyperlink w:anchor="EFFECTOFTHEPROPOSAL">
              <w:r>
                <w:rPr>
                  <w:rStyle w:val="InternetLink"/>
                  <w:rFonts w:ascii="Times New Roman;Times;serif" w:hAnsi="Times New Roman;Times;serif"/>
                  <w:b w:val="false"/>
                  <w:i w:val="false"/>
                  <w:caps w:val="false"/>
                  <w:smallCaps w:val="false"/>
                  <w:sz w:val="20"/>
                </w:rPr>
                <w:t>Effect of the Proposal</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91" w:type="dxa"/>
            <w:tcBorders/>
            <w:vAlign w:val="center"/>
          </w:tcPr>
          <w:p>
            <w:pPr>
              <w:pStyle w:val="TableContents"/>
              <w:bidi w:val="0"/>
              <w:spacing w:lineRule="atLeast" w:line="196" w:before="0" w:after="0"/>
              <w:ind w:left="0" w:right="0" w:hanging="0"/>
              <w:jc w:val="both"/>
              <w:rPr/>
            </w:pPr>
            <w:hyperlink w:anchor="VOTEREQUIRED">
              <w:r>
                <w:rPr>
                  <w:rStyle w:val="InternetLink"/>
                  <w:rFonts w:ascii="Times New Roman;Times;serif" w:hAnsi="Times New Roman;Times;serif"/>
                  <w:b w:val="false"/>
                  <w:i w:val="false"/>
                  <w:caps w:val="false"/>
                  <w:smallCaps w:val="false"/>
                  <w:sz w:val="20"/>
                </w:rPr>
                <w:t>Vote Required</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91" w:type="dxa"/>
            <w:tcBorders/>
            <w:vAlign w:val="center"/>
          </w:tcPr>
          <w:p>
            <w:pPr>
              <w:pStyle w:val="TableContents"/>
              <w:bidi w:val="0"/>
              <w:spacing w:lineRule="atLeast" w:line="196" w:before="0" w:after="0"/>
              <w:ind w:left="0" w:right="0" w:hanging="0"/>
              <w:jc w:val="both"/>
              <w:rPr/>
            </w:pPr>
            <w:hyperlink w:anchor="OTHERMATTERS_293372">
              <w:r>
                <w:rPr>
                  <w:rStyle w:val="InternetLink"/>
                  <w:rFonts w:ascii="Times New Roman;Times;serif" w:hAnsi="Times New Roman;Times;serif"/>
                  <w:b w:val="false"/>
                  <w:i w:val="false"/>
                  <w:caps w:val="false"/>
                  <w:smallCaps w:val="false"/>
                  <w:sz w:val="20"/>
                </w:rPr>
                <w:t>OTHER MATTERS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91" w:type="dxa"/>
            <w:tcBorders/>
            <w:vAlign w:val="center"/>
          </w:tcPr>
          <w:p>
            <w:pPr>
              <w:pStyle w:val="TableContents"/>
              <w:bidi w:val="0"/>
              <w:spacing w:lineRule="atLeast" w:line="196" w:before="0" w:after="0"/>
              <w:ind w:left="0" w:right="0" w:hanging="0"/>
              <w:jc w:val="both"/>
              <w:rPr/>
            </w:pPr>
            <w:hyperlink w:anchor="a2022ANNUALREPORTONFORM10K_215261">
              <w:r>
                <w:rPr>
                  <w:rStyle w:val="InternetLink"/>
                  <w:rFonts w:ascii="Times New Roman;Times;serif" w:hAnsi="Times New Roman;Times;serif"/>
                  <w:b w:val="false"/>
                  <w:i w:val="false"/>
                  <w:caps w:val="false"/>
                  <w:smallCaps w:val="false"/>
                  <w:sz w:val="20"/>
                </w:rPr>
                <w:t>2024 ANNUAL REPORT ON FORM 10-K</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91" w:type="dxa"/>
            <w:tcBorders/>
            <w:vAlign w:val="center"/>
          </w:tcPr>
          <w:p>
            <w:pPr>
              <w:pStyle w:val="TableContents"/>
              <w:bidi w:val="0"/>
              <w:spacing w:lineRule="atLeast" w:line="196" w:before="0" w:after="0"/>
              <w:ind w:left="0" w:right="0" w:hanging="0"/>
              <w:jc w:val="both"/>
              <w:rPr/>
            </w:pPr>
            <w:hyperlink w:anchor="STOCKHOLDERSSHARINGTHESAMEADDRESS_127892">
              <w:r>
                <w:rPr>
                  <w:rStyle w:val="InternetLink"/>
                  <w:rFonts w:ascii="Times New Roman;Times;serif" w:hAnsi="Times New Roman;Times;serif"/>
                  <w:b w:val="false"/>
                  <w:i w:val="false"/>
                  <w:caps w:val="false"/>
                  <w:smallCaps w:val="false"/>
                  <w:sz w:val="20"/>
                </w:rPr>
                <w:t>STOCKHOLDERS SHARING THE SAME ADDRESS</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91" w:type="dxa"/>
            <w:tcBorders/>
            <w:vAlign w:val="center"/>
          </w:tcPr>
          <w:p>
            <w:pPr>
              <w:pStyle w:val="TableContents"/>
              <w:bidi w:val="0"/>
              <w:spacing w:lineRule="atLeast" w:line="196" w:before="0" w:after="0"/>
              <w:ind w:left="0" w:right="0" w:hanging="0"/>
              <w:jc w:val="both"/>
              <w:rPr/>
            </w:pPr>
            <w:hyperlink w:anchor="REQUESTCOPIESOFTHE2022ANNUALREPORTANDTHI">
              <w:r>
                <w:rPr>
                  <w:rStyle w:val="InternetLink"/>
                  <w:rFonts w:ascii="Times New Roman;Times;serif" w:hAnsi="Times New Roman;Times;serif"/>
                  <w:b w:val="false"/>
                  <w:i w:val="false"/>
                  <w:caps w:val="false"/>
                  <w:smallCaps w:val="false"/>
                  <w:sz w:val="20"/>
                </w:rPr>
                <w:t>REQUEST COPIES OF THE 2024 ANNUAL REPORT AND THIS PROXY STATEMENT</w:t>
              </w:r>
            </w:hyperlink>
          </w:p>
        </w:tc>
        <w:tc>
          <w:tcPr>
            <w:tcW w:w="326" w:type="dxa"/>
            <w:tcBorders/>
            <w:vAlign w:val="center"/>
          </w:tcPr>
          <w:p>
            <w:pPr>
              <w:pStyle w:val="TableContents"/>
              <w:bidi w:val="0"/>
              <w:spacing w:lineRule="atLeast" w:line="196" w:before="0" w:after="0"/>
              <w:ind w:left="0" w:right="0" w:hanging="0"/>
              <w:jc w:val="right"/>
              <w:rPr/>
            </w:pPr>
            <w:r>
              <w:rPr/>
              <w:t>​</w:t>
            </w:r>
          </w:p>
        </w:tc>
        <w:tc>
          <w:tcPr>
            <w:tcW w:w="481" w:type="dxa"/>
            <w:tcBorders/>
            <w:vAlign w:val="center"/>
          </w:tcPr>
          <w:p>
            <w:pPr>
              <w:pStyle w:val="TableContents"/>
              <w:bidi w:val="0"/>
              <w:spacing w:lineRule="atLeast" w:line="196"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tLeast" w:line="200" w:before="0" w:after="240"/>
        <w:ind w:left="0" w:right="0" w:hanging="360"/>
        <w:jc w:val="center"/>
        <w:rPr>
          <w:rFonts w:ascii="Times New Roman;Times;serif" w:hAnsi="Times New Roman;Times;serif"/>
          <w:b/>
          <w:sz w:val="20"/>
        </w:rPr>
      </w:pPr>
      <w:bookmarkStart w:id="7" w:name="GLOSSARYOFTERMS_396455"/>
      <w:bookmarkStart w:id="8" w:name="_0700164d_4303_45fc_b4ec_5a4db33ec8cb"/>
      <w:bookmarkEnd w:id="7"/>
      <w:bookmarkEnd w:id="8"/>
      <w:r>
        <w:rPr>
          <w:rFonts w:ascii="Times New Roman;Times;serif" w:hAnsi="Times New Roman;Times;serif"/>
          <w:b/>
          <w:sz w:val="20"/>
        </w:rPr>
        <w:t>GLOSSARY OF TERMS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Alliance Advisors</w:t>
      </w:r>
      <w:r>
        <w:rPr>
          <w:rFonts w:ascii="Times New Roman;Times;serif" w:hAnsi="Times New Roman;Times;serif"/>
          <w:sz w:val="20"/>
        </w:rPr>
        <w:t>” means Alliance Advisors, LLC, our proxy management advisor who will act as inspector of election for the annual meeting of stockholders.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401(k) Plan</w:t>
      </w:r>
      <w:r>
        <w:rPr>
          <w:rFonts w:ascii="Times New Roman;Times;serif" w:hAnsi="Times New Roman;Times;serif"/>
          <w:sz w:val="20"/>
        </w:rPr>
        <w:t>” means The Employee 401(k) Retirement Plan, a defined contribution plan.</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brokerage firm or other nominee</w:t>
      </w:r>
      <w:r>
        <w:rPr>
          <w:rFonts w:ascii="Times New Roman;Times;serif" w:hAnsi="Times New Roman;Times;serif"/>
          <w:sz w:val="20"/>
        </w:rPr>
        <w:t>” means a brokerage firm or other nominee such as a banking institution, custodian, trustee or fiduciary (other than our transfer agent, Computershare) through which a stockholder holds its shares of our common stock.</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broker/nominee non-vote</w:t>
      </w:r>
      <w:r>
        <w:rPr>
          <w:rFonts w:ascii="Times New Roman;Times;serif" w:hAnsi="Times New Roman;Times;serif"/>
          <w:sz w:val="20"/>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Code</w:t>
      </w:r>
      <w:r>
        <w:rPr>
          <w:rFonts w:ascii="Times New Roman;Times;serif" w:hAnsi="Times New Roman;Times;serif"/>
          <w:sz w:val="20"/>
        </w:rPr>
        <w:t>” means the Internal Revenue Code of 1986, as amended.</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Computershare</w:t>
      </w:r>
      <w:r>
        <w:rPr>
          <w:rFonts w:ascii="Times New Roman;Times;serif" w:hAnsi="Times New Roman;Times;serif"/>
          <w:sz w:val="20"/>
        </w:rPr>
        <w:t>” means Computershare Trust Company, N.A., our stock transfer agent and registrar.</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CompX</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or “</w:t>
      </w:r>
      <w:r>
        <w:rPr>
          <w:rFonts w:ascii="Times New Roman;Times;serif" w:hAnsi="Times New Roman;Times;serif"/>
          <w:i/>
          <w:sz w:val="20"/>
        </w:rPr>
        <w:t>our</w:t>
      </w:r>
      <w:r>
        <w:rPr>
          <w:rFonts w:ascii="Times New Roman;Times;serif" w:hAnsi="Times New Roman;Times;serif"/>
          <w:sz w:val="20"/>
        </w:rPr>
        <w:t>” means CompX International Inc.</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Contran</w:t>
      </w:r>
      <w:r>
        <w:rPr>
          <w:rFonts w:ascii="Times New Roman;Times;serif" w:hAnsi="Times New Roman;Times;serif"/>
          <w:sz w:val="20"/>
        </w:rPr>
        <w:t>” means Contran Corporation, the parent corporation of our consolidated tax group.</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Dixie Rice</w:t>
      </w:r>
      <w:r>
        <w:rPr>
          <w:rFonts w:ascii="Times New Roman;Times;serif" w:hAnsi="Times New Roman;Times;serif"/>
          <w:sz w:val="20"/>
        </w:rPr>
        <w:t>” means Dixie Rice Agricultural L.L.C., one of our parent companies.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EWI</w:t>
      </w:r>
      <w:r>
        <w:rPr>
          <w:rFonts w:ascii="Times New Roman;Times;serif" w:hAnsi="Times New Roman;Times;serif"/>
          <w:sz w:val="20"/>
        </w:rPr>
        <w:t>” means EWI RE, Inc., a wholly owned subsidiary of NL that, prior to NL’s sale of EWI’s insurance and risk management business to a third party in November 2019, was a reinsurance brokerage and risk management company.</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Family Trust</w:t>
      </w:r>
      <w:r>
        <w:rPr>
          <w:rFonts w:ascii="Times New Roman;Times;serif" w:hAnsi="Times New Roman;Times;serif"/>
          <w:sz w:val="20"/>
        </w:rPr>
        <w:t>” means the Harold C. Simmons Family Trust No. 2, which was established for the benefit of Lisa K. Simmons and her late sister and their children.</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independent directors</w:t>
      </w:r>
      <w:r>
        <w:rPr>
          <w:rFonts w:ascii="Times New Roman;Times;serif" w:hAnsi="Times New Roman;Times;serif"/>
          <w:sz w:val="20"/>
        </w:rPr>
        <w:t>” means the following directors: Thomas E. Barry, Terri L. Herrington, Ann Manix, Gina A. Norris and Mary A. Tidlund, as applicable.</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ISA</w:t>
      </w:r>
      <w:r>
        <w:rPr>
          <w:rFonts w:ascii="Times New Roman;Times;serif" w:hAnsi="Times New Roman;Times;serif"/>
          <w:sz w:val="20"/>
        </w:rPr>
        <w:t>” means an intercorporate services agreement between Contran and a related company pursuant to which employees of Contran provide certain services, including executive officer services, to such related company on an annual fixed fee basis.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Kronos Worldwide</w:t>
      </w:r>
      <w:r>
        <w:rPr>
          <w:rFonts w:ascii="Times New Roman;Times;serif" w:hAnsi="Times New Roman;Times;serif"/>
          <w:sz w:val="20"/>
        </w:rPr>
        <w:t>” means Kronos Worldwide, Inc., one of our publicly held sister corporations that is an international manufacturer of titanium dioxide products.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named executive officer</w:t>
      </w:r>
      <w:r>
        <w:rPr>
          <w:rFonts w:ascii="Times New Roman;Times;serif" w:hAnsi="Times New Roman;Times;serif"/>
          <w:sz w:val="20"/>
        </w:rPr>
        <w:t>” means any person named in the 2024 Summary Compensation Table in this proxy statement.</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NL</w:t>
      </w:r>
      <w:r>
        <w:rPr>
          <w:rFonts w:ascii="Times New Roman;Times;serif" w:hAnsi="Times New Roman;Times;serif"/>
          <w:sz w:val="20"/>
        </w:rPr>
        <w:t>” means NL Industries, Inc., one of our publicly held parent corporations that is a diversified holding company (i) of which we are a subsidiary and (ii) that holds a significant investment in Kronos Worldwide.</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NLKW</w:t>
      </w:r>
      <w:r>
        <w:rPr>
          <w:rFonts w:ascii="Times New Roman;Times;serif" w:hAnsi="Times New Roman;Times;serif"/>
          <w:sz w:val="20"/>
        </w:rPr>
        <w:t>” means NLKW Holding, LLC, a wholly owned subsidiary of NL, which holds a significant equity interest in Kronos Worldwide.</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NYSE American</w:t>
      </w:r>
      <w:r>
        <w:rPr>
          <w:rFonts w:ascii="Times New Roman;Times;serif" w:hAnsi="Times New Roman;Times;serif"/>
          <w:sz w:val="20"/>
        </w:rPr>
        <w:t>” means the NYSE American (formerly named NYSE MKT), the stock exchange on which our shares of class A common stock trade.</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PCAOB</w:t>
      </w:r>
      <w:r>
        <w:rPr>
          <w:rFonts w:ascii="Times New Roman;Times;serif" w:hAnsi="Times New Roman;Times;serif"/>
          <w:sz w:val="20"/>
        </w:rPr>
        <w:t>” means the Public Company Accounting Oversight Board, a private sector, non-profit corporation that oversees auditors of U.S. public companies.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PwC</w:t>
      </w:r>
      <w:r>
        <w:rPr>
          <w:rFonts w:ascii="Times New Roman;Times;serif" w:hAnsi="Times New Roman;Times;serif"/>
          <w:sz w:val="20"/>
        </w:rPr>
        <w:t>” means PricewaterhouseCoopers LLP, our independent registered public accounting firm.</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record date</w:t>
      </w:r>
      <w:r>
        <w:rPr>
          <w:rFonts w:ascii="Times New Roman;Times;serif" w:hAnsi="Times New Roman;Times;serif"/>
          <w:sz w:val="20"/>
        </w:rPr>
        <w:t>” means the close of business on March 25, 2025, the date our board of directors set for the determination of stockholders entitled to notice of and to vote at the 2025 annual meeting of our stockholders.</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RPT Policy</w:t>
      </w:r>
      <w:r>
        <w:rPr>
          <w:rFonts w:ascii="Times New Roman;Times;serif" w:hAnsi="Times New Roman;Times;serif"/>
          <w:sz w:val="20"/>
        </w:rPr>
        <w:t>” means the CompX International Inc. Policy Regarding Related Party Transactions, as amended and restated effective March 2, 2022.</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Say-on-Pay</w:t>
      </w:r>
      <w:r>
        <w:rPr>
          <w:rFonts w:ascii="Times New Roman;Times;serif" w:hAnsi="Times New Roman;Times;serif"/>
          <w:sz w:val="20"/>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SEC</w:t>
      </w:r>
      <w:r>
        <w:rPr>
          <w:rFonts w:ascii="Times New Roman;Times;serif" w:hAnsi="Times New Roman;Times;serif"/>
          <w:sz w:val="20"/>
        </w:rPr>
        <w:t>” means the U.S. Securities and Exchange Commission.</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Securities Exchange Act</w:t>
      </w:r>
      <w:r>
        <w:rPr>
          <w:rFonts w:ascii="Times New Roman;Times;serif" w:hAnsi="Times New Roman;Times;serif"/>
          <w:sz w:val="20"/>
        </w:rPr>
        <w:t>” means the Securities Exchange Act of 1934, as amended.</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stockholder of record</w:t>
      </w:r>
      <w:r>
        <w:rPr>
          <w:rFonts w:ascii="Times New Roman;Times;serif" w:hAnsi="Times New Roman;Times;serif"/>
          <w:sz w:val="20"/>
        </w:rPr>
        <w:t>” means a stockholder of our class A common stock who holds shares in its name in certificate form or electronically with our transfer agent, Computershare.</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Tall Pines</w:t>
      </w:r>
      <w:r>
        <w:rPr>
          <w:rFonts w:ascii="Times New Roman;Times;serif" w:hAnsi="Times New Roman;Times;serif"/>
          <w:sz w:val="20"/>
        </w:rPr>
        <w:t>” means Tall Pines Insurance Company, an indirect wholly owned captive insurance subsidiary of Valhi.</w:t>
      </w:r>
    </w:p>
    <w:p>
      <w:pPr>
        <w:pStyle w:val="TextBody"/>
        <w:pBdr/>
        <w:bidi w:val="0"/>
        <w:spacing w:lineRule="atLeast" w:line="180" w:before="0" w:after="110"/>
        <w:ind w:left="0" w:right="0" w:hanging="360"/>
        <w:jc w:val="left"/>
        <w:rPr/>
      </w:pPr>
      <w:r>
        <w:rPr/>
        <w:t>“</w:t>
      </w:r>
      <w:r>
        <w:rPr>
          <w:rFonts w:ascii="Times New Roman;Times;serif" w:hAnsi="Times New Roman;Times;serif"/>
          <w:i/>
          <w:sz w:val="20"/>
        </w:rPr>
        <w:t>Valhi</w:t>
      </w:r>
      <w:r>
        <w:rPr>
          <w:rFonts w:ascii="Times New Roman;Times;serif" w:hAnsi="Times New Roman;Times;serif"/>
          <w:sz w:val="20"/>
        </w:rPr>
        <w:t>” means Valhi, Inc., one of our publicly held parent corporations that is a diversified holding company of which NL and Kronos Worldwide are subsidiaries.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bookmarkStart w:id="9" w:name="_066e4183_9179_4b2c_8e47_150942c08ac2"/>
      <w:bookmarkEnd w:id="9"/>
      <w:r>
        <w:rPr>
          <w:rFonts w:ascii="Times New Roman;Times;serif" w:hAnsi="Times New Roman;Times;serif"/>
          <w:b/>
          <w:sz w:val="28"/>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Lincoln Centre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Dallas, Texas 75240-2620</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2880" w:right="2880" w:hanging="0"/>
        <w:jc w:val="center"/>
        <w:rPr/>
      </w:pPr>
      <w:r>
        <w:rPr/>
        <w:t>​</w:t>
      </w:r>
    </w:p>
    <w:p>
      <w:pPr>
        <w:pStyle w:val="TextBody"/>
        <w:pBdr/>
        <w:bidi w:val="0"/>
        <w:spacing w:before="0" w:after="0"/>
        <w:ind w:left="2880" w:right="2880" w:hanging="0"/>
        <w:jc w:val="center"/>
        <w:rPr>
          <w:rFonts w:ascii="Times New Roman;Times;serif" w:hAnsi="Times New Roman;Times;serif"/>
          <w:b/>
          <w:sz w:val="24"/>
        </w:rPr>
      </w:pPr>
      <w:r>
        <w:rPr>
          <w:rFonts w:ascii="Times New Roman;Times;serif" w:hAnsi="Times New Roman;Times;serif"/>
          <w:b/>
          <w:sz w:val="24"/>
        </w:rPr>
        <w:t>PROXY STATEMENT</w:t>
      </w:r>
    </w:p>
    <w:p>
      <w:pPr>
        <w:pStyle w:val="TextBody"/>
        <w:pBdr>
          <w:bottom w:val="single" w:sz="2" w:space="1" w:color="000000"/>
        </w:pBdr>
        <w:bidi w:val="0"/>
        <w:spacing w:before="0" w:after="0"/>
        <w:ind w:left="2880" w:right="288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bookmarkStart w:id="10" w:name="GENERALINFORMATION_247352"/>
      <w:bookmarkEnd w:id="10"/>
      <w:r>
        <w:rPr>
          <w:rFonts w:ascii="Times New Roman;Times;serif" w:hAnsi="Times New Roman;Times;serif"/>
          <w:b/>
          <w:sz w:val="24"/>
        </w:rPr>
        <w:t>GENERAL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are providing this proxy statement in connection with the solicitation of proxies by and on behalf of our board of directors for use at our 2025 annual meeting of stockholders to be held on Wednesday, May 21, 2025 and at any adjournment or postponement of the meeting. We will begin mailing our 2025 annual meeting materials on or about April 15, 2025 to the holders of our class A common stock as of the close of business on March 25, 2025. Our mailed materials include:</w:t>
      </w:r>
    </w:p>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notice of the 2025 annual meeting of stockholders;</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2024 Annual Report to Stockholders, which includes our Annual Report on Form 10-K for the fiscal year ended December 31, 2024;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card (or voting instruction form if you hold your shares through a brokerage firm or other nominee and not in your name in certificate form or electronically with our transfer agent, Computershare).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not incorporating the 2024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Please refer to the Glossary of Terms on page ii for the definitions of certain terms used in this proxy statement.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 w:name="QUESTIONSANDANSWERSABOUTTHEANNUALMEETING"/>
      <w:bookmarkStart w:id="12" w:name="_b25c5c75_40a7_4705_b1e1_a6af52579abd"/>
      <w:bookmarkEnd w:id="11"/>
      <w:bookmarkEnd w:id="12"/>
      <w:r>
        <w:rPr>
          <w:rFonts w:ascii="Times New Roman;Times;serif" w:hAnsi="Times New Roman;Times;serif"/>
          <w:b/>
          <w:sz w:val="20"/>
        </w:rPr>
        <w:t>QUESTIONS AND ANSWERS ABOUT THE ANNUAL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Q:</w:t>
      </w:r>
      <w:r>
        <w:rPr>
          <w:rFonts w:ascii="Times New Roman;Times;serif" w:hAnsi="Times New Roman;Times;serif"/>
          <w:b/>
          <w:sz w:val="20"/>
        </w:rPr>
        <w:t>What is the purpose of the annual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the annual meeting, stockholders will vote on the following, as described in this proxy statement:</w:t>
      </w:r>
    </w:p>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 the election of the eight director nominees named in this proxy statement;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 the adoption of a nonbinding advisory resolution that approves the named executive officer compensation described in this proxy statement (Say-on-Pay).</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In addition, stockholders will vote on any other matter that may properly come before the meeting.</w:t>
      </w:r>
    </w:p>
    <w:tbl>
      <w:tblPr>
        <w:tblW w:w="4202" w:type="dxa"/>
        <w:jc w:val="left"/>
        <w:tblInd w:w="0" w:type="dxa"/>
        <w:tblLayout w:type="fixed"/>
        <w:tblCellMar>
          <w:top w:w="0" w:type="dxa"/>
          <w:left w:w="0" w:type="dxa"/>
          <w:bottom w:w="0" w:type="dxa"/>
          <w:right w:w="0" w:type="dxa"/>
        </w:tblCellMar>
      </w:tblPr>
      <w:tblGrid>
        <w:gridCol w:w="331"/>
        <w:gridCol w:w="3871"/>
      </w:tblGrid>
      <w:tr>
        <w:trPr/>
        <w:tc>
          <w:tcPr>
            <w:tcW w:w="33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Q:</w:t>
            </w:r>
          </w:p>
        </w:tc>
        <w:tc>
          <w:tcPr>
            <w:tcW w:w="387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How does the board recommend that I vote?</w:t>
            </w:r>
          </w:p>
        </w:tc>
      </w:tr>
    </w:tbl>
    <w:tbl>
      <w:tblPr>
        <w:tblW w:w="4922" w:type="dxa"/>
        <w:jc w:val="left"/>
        <w:tblInd w:w="0" w:type="dxa"/>
        <w:tblLayout w:type="fixed"/>
        <w:tblCellMar>
          <w:top w:w="0" w:type="dxa"/>
          <w:left w:w="0" w:type="dxa"/>
          <w:bottom w:w="0" w:type="dxa"/>
          <w:right w:w="0" w:type="dxa"/>
        </w:tblCellMar>
      </w:tblPr>
      <w:tblGrid>
        <w:gridCol w:w="316"/>
        <w:gridCol w:w="4606"/>
      </w:tblGrid>
      <w:tr>
        <w:trPr/>
        <w:tc>
          <w:tcPr>
            <w:tcW w:w="31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460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board of directors recommends that you vote FOR:</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each of the nominees for director named in this proxy statement; and</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adoption of proposal 2 (Say-on-Pay).</w:t>
            </w:r>
          </w:p>
        </w:tc>
      </w:tr>
    </w:tbl>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52" w:type="dxa"/>
        <w:jc w:val="left"/>
        <w:tblInd w:w="0" w:type="dxa"/>
        <w:tblLayout w:type="fixed"/>
        <w:tblCellMar>
          <w:top w:w="0" w:type="dxa"/>
          <w:left w:w="0" w:type="dxa"/>
          <w:bottom w:w="0" w:type="dxa"/>
          <w:right w:w="0" w:type="dxa"/>
        </w:tblCellMar>
      </w:tblPr>
      <w:tblGrid>
        <w:gridCol w:w="331"/>
        <w:gridCol w:w="40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0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is allowed to vote at the annual meeting?</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of directors has set the close of business on March 25, 2025 as the record date for the determination of stockholders entitled to notice of and to vote at the meeting. Only holders of our class A common stock as of the close of business on the record date are entitled to vote at the meeting. On the record date, 12,318,557 shares of our class A common stock were issued and outstanding. Each share of our class A common stock entitles its holder to one vote.</w:t>
            </w:r>
          </w:p>
        </w:tc>
      </w:tr>
    </w:tbl>
    <w:tbl>
      <w:tblPr>
        <w:tblW w:w="4367" w:type="dxa"/>
        <w:jc w:val="left"/>
        <w:tblInd w:w="0" w:type="dxa"/>
        <w:tblLayout w:type="fixed"/>
        <w:tblCellMar>
          <w:top w:w="0" w:type="dxa"/>
          <w:left w:w="0" w:type="dxa"/>
          <w:bottom w:w="0" w:type="dxa"/>
          <w:right w:w="0" w:type="dxa"/>
        </w:tblCellMar>
      </w:tblPr>
      <w:tblGrid>
        <w:gridCol w:w="331"/>
        <w:gridCol w:w="40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0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How do I vote if I am a stockholder of record?</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If you hold shares of our class A common stock in your name in certificate form or electronically with our transfer agent, Computershare, and not through a brokerage firm or other nominee, you are a stockholder of record. As a stockholder of record, you may:</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vote over the internet at </w:t>
            </w:r>
            <w:r>
              <w:rPr>
                <w:rFonts w:ascii="Times New Roman;Times;serif" w:hAnsi="Times New Roman;Times;serif"/>
                <w:b/>
                <w:i/>
                <w:sz w:val="20"/>
              </w:rPr>
              <w:t>www.AALvote.com/CIX</w:t>
            </w:r>
            <w:r>
              <w:rPr>
                <w:rFonts w:ascii="Times New Roman;Times;serif" w:hAnsi="Times New Roman;Times;serif"/>
                <w:b w:val="false"/>
                <w:i w:val="false"/>
                <w:caps w:val="false"/>
                <w:smallCaps w:val="false"/>
                <w:sz w:val="20"/>
              </w:rPr>
              <w:t>;</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telephone using the voting procedures set forth on your proxy card;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 the agents named on your proxy card how to vote your shares by completing, signing and mailing the enclosed proxy card in the envelope provided; or</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in person at the annual meeting.</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90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are the consequences if I am a stockholder of record and I execute my proxy card but do not indicate how I would like my shares voted for one or more of the director nominees named in this proxy statement or proposal 2 (Say-on-Pay)?</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stockholder of record, the agents named on your proxy card will vote your shares on such uninstructed nominee or proposal as recommended by the board of directors in this proxy statement.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Q:</w:t>
      </w:r>
      <w:r>
        <w:rPr>
          <w:rFonts w:ascii="Times New Roman;Times;serif" w:hAnsi="Times New Roman;Times;serif"/>
          <w:b/>
          <w:sz w:val="20"/>
        </w:rPr>
        <w:t>How do I vote if my shares are held through a brokerage firm or other nominee?</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 xml:space="preserve">Brokerage firms or other nominees may not vote your shares on the election of a director nominee or proposal 2 in the absence of your specific instructions as to how to vote. </w:t>
      </w:r>
      <w:r>
        <w:rPr>
          <w:rFonts w:ascii="Times New Roman;Times;serif" w:hAnsi="Times New Roman;Times;serif"/>
          <w:b/>
          <w:sz w:val="20"/>
        </w:rPr>
        <w:t xml:space="preserve">We encourage you to provide instructions to your brokerage firm or other nominee regarding the voting of your shares. </w:t>
      </w:r>
      <w:r>
        <w:rPr>
          <w:rFonts w:ascii="Times New Roman;Times;serif" w:hAnsi="Times New Roman;Times;serif"/>
          <w:i/>
          <w:sz w:val="20"/>
        </w:rPr>
        <w:t xml:space="preserve">If you do not instruct your brokerage firm or other nominee 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Times New Roman;Times;serif" w:hAnsi="Times New Roman;Times;serif"/>
          <w:sz w:val="20"/>
        </w:rPr>
        <w:t>“Broker/nominee non-votes” are non-votes by a brokerage firm or other nominee for 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47" w:type="dxa"/>
        <w:jc w:val="left"/>
        <w:tblInd w:w="0" w:type="dxa"/>
        <w:tblLayout w:type="fixed"/>
        <w:tblCellMar>
          <w:top w:w="0" w:type="dxa"/>
          <w:left w:w="0" w:type="dxa"/>
          <w:bottom w:w="0" w:type="dxa"/>
          <w:right w:w="0" w:type="dxa"/>
        </w:tblCellMar>
      </w:tblPr>
      <w:tblGrid>
        <w:gridCol w:w="331"/>
        <w:gridCol w:w="961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6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If I hold my shares through a brokerage firm or other nominee, how may I vote in person at the annual meeting?</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wish to vote in person at the annual meeting, you will need to follow the instructions on your voting instruction form on how to obtain the appropriate documents to vote in person at the meeting.</w:t>
            </w:r>
          </w:p>
        </w:tc>
      </w:tr>
    </w:tbl>
    <w:tbl>
      <w:tblPr>
        <w:tblW w:w="2642" w:type="dxa"/>
        <w:jc w:val="left"/>
        <w:tblInd w:w="0" w:type="dxa"/>
        <w:tblLayout w:type="fixed"/>
        <w:tblCellMar>
          <w:top w:w="0" w:type="dxa"/>
          <w:left w:w="0" w:type="dxa"/>
          <w:bottom w:w="0" w:type="dxa"/>
          <w:right w:w="0" w:type="dxa"/>
        </w:tblCellMar>
      </w:tblPr>
      <w:tblGrid>
        <w:gridCol w:w="331"/>
        <w:gridCol w:w="231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will count the votes?</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of directors has appointed Alliance Advisors to ascertain the number of shares represented, tabulate the vote and serve as inspector of election for the meeting.</w:t>
            </w:r>
          </w:p>
        </w:tc>
      </w:tr>
    </w:tbl>
    <w:tbl>
      <w:tblPr>
        <w:tblW w:w="2507" w:type="dxa"/>
        <w:jc w:val="left"/>
        <w:tblInd w:w="0" w:type="dxa"/>
        <w:tblLayout w:type="fixed"/>
        <w:tblCellMar>
          <w:top w:w="0" w:type="dxa"/>
          <w:left w:w="0" w:type="dxa"/>
          <w:bottom w:w="0" w:type="dxa"/>
          <w:right w:w="0" w:type="dxa"/>
        </w:tblCellMar>
      </w:tblPr>
      <w:tblGrid>
        <w:gridCol w:w="331"/>
        <w:gridCol w:w="217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1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Is my vote confidential?</w:t>
            </w:r>
          </w:p>
        </w:tc>
      </w:tr>
    </w:tbl>
    <w:tbl>
      <w:tblPr>
        <w:tblW w:w="9137" w:type="dxa"/>
        <w:jc w:val="left"/>
        <w:tblInd w:w="0" w:type="dxa"/>
        <w:tblLayout w:type="fixed"/>
        <w:tblCellMar>
          <w:top w:w="0" w:type="dxa"/>
          <w:left w:w="0" w:type="dxa"/>
          <w:bottom w:w="0" w:type="dxa"/>
          <w:right w:w="0" w:type="dxa"/>
        </w:tblCellMar>
      </w:tblPr>
      <w:tblGrid>
        <w:gridCol w:w="316"/>
        <w:gridCol w:w="8821"/>
      </w:tblGrid>
      <w:tr>
        <w:trPr/>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8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Yes. All proxy cards, ballots or voting instructions will be kept confidential in accordance with our bylaws.</w:t>
            </w:r>
          </w:p>
        </w:tc>
      </w:tr>
    </w:tbl>
    <w:tbl>
      <w:tblPr>
        <w:tblW w:w="7382" w:type="dxa"/>
        <w:jc w:val="left"/>
        <w:tblInd w:w="0" w:type="dxa"/>
        <w:tblLayout w:type="fixed"/>
        <w:tblCellMar>
          <w:top w:w="0" w:type="dxa"/>
          <w:left w:w="0" w:type="dxa"/>
          <w:bottom w:w="0" w:type="dxa"/>
          <w:right w:w="0" w:type="dxa"/>
        </w:tblCellMar>
      </w:tblPr>
      <w:tblGrid>
        <w:gridCol w:w="331"/>
        <w:gridCol w:w="705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0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How do I change or revoke my proxy instructions if I am a stockholder of record?</w:t>
            </w:r>
          </w:p>
        </w:tc>
      </w:tr>
    </w:tbl>
    <w:tbl>
      <w:tblPr>
        <w:tblW w:w="9737" w:type="dxa"/>
        <w:jc w:val="left"/>
        <w:tblInd w:w="0" w:type="dxa"/>
        <w:tblLayout w:type="fixed"/>
        <w:tblCellMar>
          <w:top w:w="0" w:type="dxa"/>
          <w:left w:w="0" w:type="dxa"/>
          <w:bottom w:w="0" w:type="dxa"/>
          <w:right w:w="0" w:type="dxa"/>
        </w:tblCellMar>
      </w:tblPr>
      <w:tblGrid>
        <w:gridCol w:w="316"/>
        <w:gridCol w:w="9421"/>
      </w:tblGrid>
      <w:tr>
        <w:trPr/>
        <w:tc>
          <w:tcPr>
            <w:tcW w:w="31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42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If you are a stockholder of record, you may change or revoke your proxy instructions in any of the following ways: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to Alliance Advisors a written revocation;</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another proxy card bearing a later date;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changing your vote on </w:t>
            </w:r>
            <w:r>
              <w:rPr>
                <w:rFonts w:ascii="Times New Roman;Times;serif" w:hAnsi="Times New Roman;Times;serif"/>
                <w:b/>
                <w:i/>
                <w:sz w:val="20"/>
              </w:rPr>
              <w:t>www.AALvote.com/CIX</w:t>
            </w:r>
            <w:r>
              <w:rPr>
                <w:rFonts w:ascii="Times New Roman;Times;serif" w:hAnsi="Times New Roman;Times;serif"/>
                <w:b w:val="false"/>
                <w:i w:val="false"/>
                <w:caps w:val="false"/>
                <w:smallCaps w:val="false"/>
                <w:sz w:val="20"/>
              </w:rPr>
              <w:t>;</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telephone voting procedures set forth on your proxy card; or</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 person at the annual meeting.</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How do I change or revoke my voting instructions if my shares are held through a brokerage firm or other nominee?</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your shares are held through a brokerage firm or other nominee, you must follow the instructions from your brokerage firm or other nominee on how to change or revoke your voting instructions or how to vote in person at the annual meeting.</w:t>
            </w:r>
          </w:p>
        </w:tc>
      </w:tr>
    </w:tbl>
    <w:tbl>
      <w:tblPr>
        <w:tblW w:w="2852" w:type="dxa"/>
        <w:jc w:val="left"/>
        <w:tblInd w:w="0" w:type="dxa"/>
        <w:tblLayout w:type="fixed"/>
        <w:tblCellMar>
          <w:top w:w="0" w:type="dxa"/>
          <w:left w:w="0" w:type="dxa"/>
          <w:bottom w:w="0" w:type="dxa"/>
          <w:right w:w="0" w:type="dxa"/>
        </w:tblCellMar>
      </w:tblPr>
      <w:tblGrid>
        <w:gridCol w:w="331"/>
        <w:gridCol w:w="25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5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constitutes a quorum?</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quorum is the presence, in person or by proxy, of the holders of a majority of the votes from holders of the outstanding shares of our class A common stock entitled to vote at the meeting.</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Shares that are voted “abstain” or “withheld” are counted as present and entitled to vote and are, therefore, included for purposes of determining whether a quorum is present at the annual meeting.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NL directly held approximately 87.3% of the outstanding shares of our class A common stock as of the record date. NL has indicated its intention to have its shares of our common stock represented at the meeting. If NL attends the meeting in person or by proxy, the meeting will have a quorum present.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77" w:type="dxa"/>
        <w:jc w:val="left"/>
        <w:tblInd w:w="0" w:type="dxa"/>
        <w:tblLayout w:type="fixed"/>
        <w:tblCellMar>
          <w:top w:w="0" w:type="dxa"/>
          <w:left w:w="0" w:type="dxa"/>
          <w:bottom w:w="0" w:type="dxa"/>
          <w:right w:w="0" w:type="dxa"/>
        </w:tblCellMar>
      </w:tblPr>
      <w:tblGrid>
        <w:gridCol w:w="331"/>
        <w:gridCol w:w="69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6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Assuming a quorum is present, what vote is required to elect a director nominee?</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Under applicable state law and our governing documents, a plurality of affirmative votes of the holders of our outstanding shares of common stock represented and entitled to vote at the meeting is necessary to elect each director nominee. Our governing documents do not authorize cumulative voting. Accordingly, the eight candidates receiving the highest number of affirmative votes at the annual meeting will be elected as directors. Only shares that are voted in favor of a particular nominee will be counted toward that nominee’s achievement of a plurality. There is no “against” option, and votes that are “withheld” or not cast, including broker/nominee non-votes, will not be counted toward that nominee’s achievement of a plurality.</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tbl>
      <w:tblPr>
        <w:tblW w:w="8912" w:type="dxa"/>
        <w:jc w:val="left"/>
        <w:tblInd w:w="0" w:type="dxa"/>
        <w:tblLayout w:type="fixed"/>
        <w:tblCellMar>
          <w:top w:w="0" w:type="dxa"/>
          <w:left w:w="0" w:type="dxa"/>
          <w:bottom w:w="0" w:type="dxa"/>
          <w:right w:w="0" w:type="dxa"/>
        </w:tblCellMar>
      </w:tblPr>
      <w:tblGrid>
        <w:gridCol w:w="331"/>
        <w:gridCol w:w="858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8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Assuming a quorum is present, what vote is required to adopt and approve proposal 2 (Say-on-Pay)?</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tbl>
      <w:tblPr>
        <w:tblW w:w="9722" w:type="dxa"/>
        <w:jc w:val="left"/>
        <w:tblInd w:w="0" w:type="dxa"/>
        <w:tblLayout w:type="fixed"/>
        <w:tblCellMar>
          <w:top w:w="0" w:type="dxa"/>
          <w:left w:w="0" w:type="dxa"/>
          <w:bottom w:w="0" w:type="dxa"/>
          <w:right w:w="0" w:type="dxa"/>
        </w:tblCellMar>
      </w:tblPr>
      <w:tblGrid>
        <w:gridCol w:w="331"/>
        <w:gridCol w:w="939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3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Assuming a quorum is present, what vote is required to approve any other matter to come before the meeting?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882"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If I am a stockholder of record, how will the agents named on my proxy card vote on any other matter to come before the meeting?</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stockholder of record and to the extent allowed by applicable law, the agents named on your proxy card will vote in their discretion on any other matter that may properly come before the meeting.</w:t>
            </w:r>
          </w:p>
        </w:tc>
      </w:tr>
    </w:tbl>
    <w:tbl>
      <w:tblPr>
        <w:tblW w:w="4697" w:type="dxa"/>
        <w:jc w:val="left"/>
        <w:tblInd w:w="0" w:type="dxa"/>
        <w:tblLayout w:type="fixed"/>
        <w:tblCellMar>
          <w:top w:w="0" w:type="dxa"/>
          <w:left w:w="0" w:type="dxa"/>
          <w:bottom w:w="0" w:type="dxa"/>
          <w:right w:w="0" w:type="dxa"/>
        </w:tblCellMar>
      </w:tblPr>
      <w:tblGrid>
        <w:gridCol w:w="331"/>
        <w:gridCol w:w="436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will pay for the cost of soliciting the proxies?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 w:name="CONTROLLINGSTOCKHOLDER_824858"/>
      <w:bookmarkStart w:id="14" w:name="_6111a71b_a821_4cd4_9e8d_858f3a4dafaa"/>
      <w:bookmarkEnd w:id="13"/>
      <w:bookmarkEnd w:id="14"/>
      <w:r>
        <w:rPr>
          <w:rFonts w:ascii="Times New Roman;Times;serif" w:hAnsi="Times New Roman;Times;serif"/>
          <w:b/>
          <w:sz w:val="20"/>
        </w:rPr>
        <w:t>CONTROLLING STOCKHOLDER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NL directly held approximately 87.3%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(Say-on-Pay). If NL attends the meeting in person or by proxy and votes as indicated, the meeting will have a quorum present and the stockholders will elect all of the nominees named in this proxy statement to the board of directors and approve proposal 2.</w:t>
      </w:r>
    </w:p>
    <w:p>
      <w:pPr>
        <w:pStyle w:val="TextBody"/>
        <w:bidi w:val="0"/>
        <w:spacing w:before="0" w:after="240"/>
        <w:ind w:left="0" w:right="0" w:firstLine="720"/>
        <w:jc w:val="left"/>
        <w:rPr/>
      </w:pPr>
      <w:r>
        <w:rPr/>
        <w:t>​</w:t>
      </w:r>
    </w:p>
    <w:p>
      <w:pPr>
        <w:pStyle w:val="TextBody"/>
        <w:bidi w:val="0"/>
        <w:spacing w:before="0" w:after="240"/>
        <w:ind w:left="0" w:right="0" w:hanging="0"/>
        <w:jc w:val="center"/>
        <w:rPr>
          <w:rFonts w:ascii="Times New Roman;Times;serif" w:hAnsi="Times New Roman;Times;serif"/>
          <w:b/>
          <w:sz w:val="20"/>
        </w:rPr>
      </w:pPr>
      <w:bookmarkStart w:id="15" w:name="SECURITYOWNERSHIP_236038"/>
      <w:bookmarkStart w:id="16" w:name="_3ac91b51_7b3d_4996_8468_20abf2ddf84d"/>
      <w:bookmarkEnd w:id="15"/>
      <w:bookmarkEnd w:id="16"/>
      <w:r>
        <w:rPr>
          <w:rFonts w:ascii="Times New Roman;Times;serif" w:hAnsi="Times New Roman;Times;serif"/>
          <w:b/>
          <w:sz w:val="20"/>
        </w:rPr>
        <w:t>SECURITY OWNERSHIP</w:t>
      </w:r>
    </w:p>
    <w:p>
      <w:pPr>
        <w:pStyle w:val="TextBody"/>
        <w:bidi w:val="0"/>
        <w:spacing w:before="0" w:after="240"/>
        <w:ind w:left="0" w:right="0" w:firstLine="720"/>
        <w:jc w:val="left"/>
        <w:rPr>
          <w:rFonts w:ascii="Times New Roman;Times;serif" w:hAnsi="Times New Roman;Times;serif"/>
          <w:sz w:val="20"/>
        </w:rPr>
      </w:pPr>
      <w:bookmarkStart w:id="17" w:name="OWNERSHIPOFCOMPX"/>
      <w:bookmarkEnd w:id="17"/>
      <w:r>
        <w:rPr>
          <w:rFonts w:ascii="Times New Roman;Times;serif" w:hAnsi="Times New Roman;Times;serif"/>
          <w:b/>
          <w:i/>
          <w:sz w:val="20"/>
        </w:rPr>
        <w:t>Ownership of CompX</w:t>
      </w:r>
      <w:r>
        <w:rPr>
          <w:rFonts w:ascii="Times New Roman;Times;serif" w:hAnsi="Times New Roman;Times;serif"/>
          <w:sz w:val="20"/>
        </w:rPr>
        <w:t xml:space="preserve">. The following table and footnotes set forth as of the record date the beneficial ownership, as defined by regulations of the SEC, of our class A common stock held by each individual, entity or group known to us to own beneficially more than 5% of the outstanding shares of our class A common stock, each of our directors, each of the named executive officers, and all of our current directors and executive officers as a group. See footnotes 3 and 4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 </w:t>
      </w:r>
    </w:p>
    <w:tbl>
      <w:tblPr>
        <w:tblW w:w="9031" w:type="dxa"/>
        <w:jc w:val="left"/>
        <w:tblInd w:w="0" w:type="dxa"/>
        <w:tblLayout w:type="fixed"/>
        <w:tblCellMar>
          <w:top w:w="0" w:type="dxa"/>
          <w:left w:w="0" w:type="dxa"/>
          <w:bottom w:w="0" w:type="dxa"/>
          <w:right w:w="0" w:type="dxa"/>
        </w:tblCellMar>
      </w:tblPr>
      <w:tblGrid>
        <w:gridCol w:w="5221"/>
        <w:gridCol w:w="326"/>
        <w:gridCol w:w="1756"/>
        <w:gridCol w:w="556"/>
        <w:gridCol w:w="856"/>
        <w:gridCol w:w="31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315335" cy="175260"/>
                      <wp:effectExtent l="0" t="0" r="0" b="0"/>
                      <wp:wrapNone/>
                      <wp:docPr id="13" name="Frame9"/>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4"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115060" cy="175260"/>
                      <wp:effectExtent l="0" t="0" r="0" b="0"/>
                      <wp:wrapNone/>
                      <wp:docPr id="15" name="Frame11"/>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53060" cy="175260"/>
                      <wp:effectExtent l="0" t="0" r="0" b="0"/>
                      <wp:wrapNone/>
                      <wp:docPr id="16" name="Frame1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43560" cy="175260"/>
                      <wp:effectExtent l="0" t="0" r="0" b="0"/>
                      <wp:wrapNone/>
                      <wp:docPr id="17" name="Frame1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0660" cy="175260"/>
                      <wp:effectExtent l="0" t="0" r="0" b="0"/>
                      <wp:wrapNone/>
                      <wp:docPr id="18" name="Frame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CompX Class A Common Stock (1)</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 Nature of</w:t>
            </w:r>
          </w:p>
        </w:tc>
        <w:tc>
          <w:tcPr>
            <w:tcW w:w="55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 Owner</w:t>
            </w:r>
          </w:p>
        </w:tc>
        <w:tc>
          <w:tcPr>
            <w:tcW w:w="32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 Ownership </w:t>
            </w:r>
          </w:p>
        </w:tc>
        <w:tc>
          <w:tcPr>
            <w:tcW w:w="55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(2)</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right"/>
              <w:rPr/>
            </w:pPr>
            <w:r>
              <w:rPr/>
              <w:t>​</w:t>
            </w:r>
          </w:p>
        </w:tc>
        <w:tc>
          <w:tcPr>
            <w:tcW w:w="55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5%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righ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right"/>
              <w:rPr/>
            </w:pPr>
            <w:r>
              <w:rPr/>
              <w:t>​</w:t>
            </w:r>
          </w:p>
        </w:tc>
        <w:tc>
          <w:tcPr>
            <w:tcW w:w="55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Harold C. Simmons Family Trust No. 2</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10,755,104</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(3)(4)</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Lisa K. Simmons</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10,755,104</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(3)(4)</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Directors and Named Executive Officers</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pPr>
            <w:r>
              <w:rPr/>
              <w:t>  </w:t>
            </w:r>
          </w:p>
        </w:tc>
        <w:tc>
          <w:tcPr>
            <w:tcW w:w="55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Thomas E. Barry</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9,650</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Loretta J. Feehan</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Terri L. Herrington</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7,650</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Ann Manix</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7,825</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Gina A. Norris</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Michael S. Simmons</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Mary A. Tidlund</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Bart W. Reichert</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Amy E. Ruf</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directors and executive officers as a group (17 persons)</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48,582</w:t>
            </w:r>
          </w:p>
        </w:tc>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bl>
    <w:tbl>
      <w:tblPr>
        <w:tblW w:w="1502" w:type="dxa"/>
        <w:jc w:val="left"/>
        <w:tblInd w:w="0" w:type="dxa"/>
        <w:tblLayout w:type="fixed"/>
        <w:tblCellMar>
          <w:top w:w="0" w:type="dxa"/>
          <w:left w:w="0" w:type="dxa"/>
          <w:bottom w:w="0" w:type="dxa"/>
          <w:right w:w="0" w:type="dxa"/>
        </w:tblCellMar>
      </w:tblPr>
      <w:tblGrid>
        <w:gridCol w:w="226"/>
        <w:gridCol w:w="1276"/>
      </w:tblGrid>
      <w:tr>
        <w:trPr/>
        <w:tc>
          <w:tcPr>
            <w:tcW w:w="226" w:type="dxa"/>
            <w:tcBorders/>
            <w:vAlign w:val="center"/>
          </w:tcPr>
          <w:p>
            <w:pPr>
              <w:pStyle w:val="TableContents"/>
              <w:bidi w:val="0"/>
              <w:spacing w:lineRule="atLeast" w:line="200" w:before="0" w:after="12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lineRule="atLeast" w:line="200" w:before="0" w:after="12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set forth above and in the following footnotes are based on 12,318,557 shares of our class A common stock outstanding as of the record date.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reported in this table for the Family Trust and Ms. Simmons consist of 10,755,104 shares held directly by NL. See footnote 4 to this table, below.</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certain related entities or persons that may be deemed to beneficially own outstanding shares of our common stock.</w:t>
            </w:r>
          </w:p>
        </w:tc>
      </w:tr>
    </w:tbl>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A majority of Contran’s outstanding voting stock is held directly by Ms. Simmons</w:t>
      </w:r>
      <w:r>
        <w:rPr>
          <w:rFonts w:ascii="Times New Roman;Times;serif" w:hAnsi="Times New Roman;Times;serif"/>
          <w:color w:val="212529"/>
          <w:sz w:val="20"/>
          <w:shd w:fill="FFFFFF" w:val="clear"/>
        </w:rPr>
        <w:t xml:space="preserve">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w:t>
      </w:r>
      <w:r>
        <w:rPr>
          <w:rFonts w:ascii="Times New Roman;Times;serif" w:hAnsi="Times New Roman;Times;serif"/>
          <w:sz w:val="20"/>
        </w:rPr>
        <w:t xml:space="preserve"> The remainder of Contran’s outstanding 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Ms. Simmons serves as chair of the board of directors of Contran, and two other members of Contran management also serve on the board of directors of Contran.</w:t>
      </w:r>
    </w:p>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Contran is the holder of the sole membership interest of Dixie Rice and may be deemed to control Dixie Rice.</w:t>
      </w:r>
    </w:p>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 xml:space="preserve">Ms. Simmons and the Family Trust are related to Valhi, which directly holds 82.7% of the outstanding shares of NL common stock. </w:t>
      </w:r>
    </w:p>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Ms. Simmons and the Family Trust are related to the following entities that directly hold the following percentages of the outstanding shares of Kronos Worldwide common stock:</w:t>
      </w:r>
    </w:p>
    <w:tbl>
      <w:tblPr>
        <w:tblW w:w="2444" w:type="dxa"/>
        <w:jc w:val="left"/>
        <w:tblInd w:w="0" w:type="dxa"/>
        <w:tblLayout w:type="fixed"/>
        <w:tblCellMar>
          <w:top w:w="0" w:type="dxa"/>
          <w:left w:w="0" w:type="dxa"/>
          <w:bottom w:w="0" w:type="dxa"/>
          <w:right w:w="0" w:type="dxa"/>
        </w:tblCellMar>
      </w:tblPr>
      <w:tblGrid>
        <w:gridCol w:w="781"/>
        <w:gridCol w:w="326"/>
        <w:gridCol w:w="1021"/>
        <w:gridCol w:w="316"/>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19" name="Frame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0"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335" cy="175260"/>
                      <wp:effectExtent l="0" t="0" r="0" b="0"/>
                      <wp:wrapNone/>
                      <wp:docPr id="21" name="Frame1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0660" cy="175260"/>
                      <wp:effectExtent l="0" t="0" r="0" b="0"/>
                      <wp:wrapNone/>
                      <wp:docPr id="22" name="Frame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NLKW</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Contran</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Less than 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tLeast" w:line="200" w:before="120" w:after="0"/>
        <w:ind w:left="720" w:right="0" w:hanging="0"/>
        <w:jc w:val="left"/>
        <w:rPr>
          <w:rFonts w:ascii="Times New Roman;Times;serif" w:hAnsi="Times New Roman;Times;serif"/>
          <w:sz w:val="20"/>
        </w:rPr>
      </w:pPr>
      <w:r>
        <w:rPr>
          <w:rFonts w:ascii="Times New Roman;Times;serif" w:hAnsi="Times New Roman;Times;serif"/>
          <w:sz w:val="20"/>
        </w:rPr>
        <w:t>Ms. Simmons and the Family Trust are related to Dixie Rice, which directly holds 91.4% of the outstanding shares of Valhi common stock.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pStyle w:val="TextBody"/>
        <w:bidi w:val="0"/>
        <w:spacing w:lineRule="atLeast" w:line="200" w:before="0" w:after="240"/>
        <w:ind w:left="720" w:right="0" w:hanging="0"/>
        <w:jc w:val="left"/>
        <w:rPr/>
      </w:pPr>
      <w:r>
        <w:rPr/>
        <w:t>​</w:t>
      </w:r>
    </w:p>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By virtue of the stock ownership of each of Kronos Worldwide, NL, Valhi, Dixie Rice and Contran, Ms. Simmons being a beneficiary of the Family Trust, the direct holdings of Contran voting stock by Ms. Simmons, the voting rights conferred to Ms. Simmons by a stockholders agreement relating to Contran stock, Ms. Simmons’ position as chair of the Contran board, and the Family Trust’s ownership of Contran voting stock, in each case as described above: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Simmons and the Family Trust (and the Trustee, in its capacity as trustee of the Family Trust) may be deemed to control each of Contran, Dixie Rice, Valhi, NL, Kronos Worldwide and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Simmons,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tc>
      </w:tr>
    </w:tbl>
    <w:p>
      <w:pPr>
        <w:pStyle w:val="TextBody"/>
        <w:bidi w:val="0"/>
        <w:spacing w:lineRule="atLeast" w:line="200" w:before="0" w:after="120"/>
        <w:ind w:left="720" w:right="0" w:hanging="0"/>
        <w:jc w:val="left"/>
        <w:rPr>
          <w:rFonts w:ascii="Times New Roman;Times;serif" w:hAnsi="Times New Roman;Times;serif"/>
          <w:sz w:val="20"/>
        </w:rPr>
      </w:pPr>
      <w:r>
        <w:rPr>
          <w:rFonts w:ascii="Times New Roman;Times;serif" w:hAnsi="Times New Roman;Times;serif"/>
          <w:sz w:val="20"/>
        </w:rPr>
        <w:t>Ms. Simmons disclaims beneficial ownership of all shares of our class A common stock, except to the extent of her pecuniary interest in such shares, if any. The Family Trust (and the Trustee) disclaims beneficial ownership of all shares of our class A common stock except to the extent of its pecuniary interest in such shares, if any.</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or executive officers disclaims beneficial ownership of any shares of our common stock, except to the extent he or she has a pecuniary interest in such shares, if 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8" w:name="OWNERSHIPOFRLATEDCOMPANIES"/>
      <w:bookmarkEnd w:id="18"/>
      <w:r>
        <w:rPr>
          <w:rFonts w:ascii="Times New Roman;Times;serif" w:hAnsi="Times New Roman;Times;serif"/>
          <w:b/>
          <w:i/>
          <w:sz w:val="20"/>
        </w:rPr>
        <w:t>Ownership of Related Companies</w:t>
      </w:r>
      <w:r>
        <w:rPr>
          <w:rFonts w:ascii="Times New Roman;Times;serif" w:hAnsi="Times New Roman;Times;serif"/>
          <w:sz w:val="20"/>
        </w:rPr>
        <w:t>. Some of our directors and executive officers own equity securities of certain companies related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Ownership of NL and Valhi. </w:t>
      </w:r>
      <w:r>
        <w:rPr>
          <w:rFonts w:ascii="Times New Roman;Times;serif" w:hAnsi="Times New Roman;Times;serif"/>
          <w:sz w:val="20"/>
        </w:rPr>
        <w:t>The following table and footnotes set forth the beneficial ownership, as of the record date, of the shares of NL and Valhi common stock held by each of our directors and director nominees, each of the named executive officers, and all of our current directors and executive officers as a group. All information is taken from or based upon ownership filings made by such persons with the SEC or upon information provided by such persons.</w:t>
      </w:r>
    </w:p>
    <w:tbl>
      <w:tblPr>
        <w:tblW w:w="10205" w:type="dxa"/>
        <w:jc w:val="left"/>
        <w:tblInd w:w="0" w:type="dxa"/>
        <w:tblLayout w:type="fixed"/>
        <w:tblCellMar>
          <w:top w:w="0" w:type="dxa"/>
          <w:left w:w="0" w:type="dxa"/>
          <w:bottom w:w="0" w:type="dxa"/>
          <w:right w:w="0" w:type="dxa"/>
        </w:tblCellMar>
      </w:tblPr>
      <w:tblGrid>
        <w:gridCol w:w="3969"/>
        <w:gridCol w:w="326"/>
        <w:gridCol w:w="1561"/>
        <w:gridCol w:w="329"/>
        <w:gridCol w:w="901"/>
        <w:gridCol w:w="326"/>
        <w:gridCol w:w="1561"/>
        <w:gridCol w:w="329"/>
        <w:gridCol w:w="903"/>
      </w:tblGrid>
      <w:tr>
        <w:trPr/>
        <w:tc>
          <w:tcPr>
            <w:tcW w:w="3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20315" cy="175260"/>
                      <wp:effectExtent l="0" t="0" r="0" b="0"/>
                      <wp:wrapNone/>
                      <wp:docPr id="23" name="Frame19"/>
                      <a:graphic xmlns:a="http://schemas.openxmlformats.org/drawingml/2006/main">
                        <a:graphicData uri="http://schemas.microsoft.com/office/word/2010/wordprocessingShape">
                          <wps:wsp>
                            <wps:cNvSpPr txBox="1"/>
                            <wps:spPr>
                              <a:xfrm>
                                <a:off x="0" y="0"/>
                                <a:ext cx="2520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4"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91235" cy="175260"/>
                      <wp:effectExtent l="0" t="0" r="0" b="0"/>
                      <wp:wrapNone/>
                      <wp:docPr id="25" name="Frame2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8915" cy="175260"/>
                      <wp:effectExtent l="0" t="0" r="0" b="0"/>
                      <wp:wrapNone/>
                      <wp:docPr id="26" name="Frame22"/>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72135" cy="175260"/>
                      <wp:effectExtent l="0" t="0" r="0" b="0"/>
                      <wp:wrapNone/>
                      <wp:docPr id="27" name="Frame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28"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91235" cy="175260"/>
                      <wp:effectExtent l="0" t="0" r="0" b="0"/>
                      <wp:wrapNone/>
                      <wp:docPr id="29" name="Frame2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8915" cy="175260"/>
                      <wp:effectExtent l="0" t="0" r="0" b="0"/>
                      <wp:wrapNone/>
                      <wp:docPr id="30" name="Frame2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3405" cy="175260"/>
                      <wp:effectExtent l="0" t="0" r="0" b="0"/>
                      <wp:wrapNone/>
                      <wp:docPr id="31" name="Frame27"/>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79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NL Common Stock</w:t>
            </w:r>
          </w:p>
        </w:tc>
        <w:tc>
          <w:tcPr>
            <w:tcW w:w="326" w:type="dxa"/>
            <w:tcBorders/>
            <w:vAlign w:val="center"/>
          </w:tcPr>
          <w:p>
            <w:pPr>
              <w:pStyle w:val="TableContents"/>
              <w:bidi w:val="0"/>
              <w:spacing w:before="0" w:after="1"/>
              <w:ind w:left="0" w:right="0" w:hanging="0"/>
              <w:jc w:val="left"/>
              <w:rPr/>
            </w:pPr>
            <w:r>
              <w:rPr/>
              <w:t> </w:t>
            </w:r>
          </w:p>
        </w:tc>
        <w:tc>
          <w:tcPr>
            <w:tcW w:w="27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Valhi Common Stock</w:t>
            </w:r>
          </w:p>
        </w:tc>
      </w:tr>
      <w:tr>
        <w:trPr/>
        <w:tc>
          <w:tcPr>
            <w:tcW w:w="39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 Nature</w:t>
            </w:r>
          </w:p>
        </w:tc>
        <w:tc>
          <w:tcPr>
            <w:tcW w:w="32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 Nature</w:t>
            </w:r>
          </w:p>
        </w:tc>
        <w:tc>
          <w:tcPr>
            <w:tcW w:w="329"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w:t>
            </w:r>
          </w:p>
        </w:tc>
      </w:tr>
      <w:tr>
        <w:trPr/>
        <w:tc>
          <w:tcPr>
            <w:tcW w:w="396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Beneficial</w:t>
            </w:r>
          </w:p>
        </w:tc>
        <w:tc>
          <w:tcPr>
            <w:tcW w:w="32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Beneficial </w:t>
            </w:r>
          </w:p>
        </w:tc>
        <w:tc>
          <w:tcPr>
            <w:tcW w:w="329"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Class </w:t>
            </w:r>
          </w:p>
        </w:tc>
      </w:tr>
      <w:tr>
        <w:trPr/>
        <w:tc>
          <w:tcPr>
            <w:tcW w:w="3969"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 (1)</w:t>
            </w:r>
          </w:p>
        </w:tc>
        <w:tc>
          <w:tcPr>
            <w:tcW w:w="329"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w:t>
            </w:r>
          </w:p>
        </w:tc>
        <w:tc>
          <w:tcPr>
            <w:tcW w:w="32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 (1)</w:t>
            </w:r>
          </w:p>
        </w:tc>
        <w:tc>
          <w:tcPr>
            <w:tcW w:w="329" w:type="dxa"/>
            <w:tcBorders/>
            <w:vAlign w:val="center"/>
          </w:tcPr>
          <w:p>
            <w:pPr>
              <w:pStyle w:val="TableContents"/>
              <w:bidi w:val="0"/>
              <w:spacing w:before="0" w:after="1"/>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w:t>
            </w:r>
          </w:p>
        </w:tc>
      </w:tr>
      <w:tr>
        <w:trPr/>
        <w:tc>
          <w:tcPr>
            <w:tcW w:w="396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pPr>
            <w:r>
              <w:rPr/>
              <w:t>​</w:t>
            </w:r>
          </w:p>
        </w:tc>
        <w:tc>
          <w:tcPr>
            <w:tcW w:w="32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pPr>
            <w:r>
              <w:rPr/>
              <w:t>​</w:t>
            </w:r>
          </w:p>
        </w:tc>
        <w:tc>
          <w:tcPr>
            <w:tcW w:w="329"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both"/>
              <w:rPr/>
            </w:pPr>
            <w:r>
              <w:rPr/>
              <w:t>​</w:t>
            </w:r>
          </w:p>
        </w:tc>
      </w:tr>
      <w:tr>
        <w:trPr/>
        <w:tc>
          <w:tcPr>
            <w:tcW w:w="396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Thomas E. Barry</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10,282</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Loretta J. Feehan</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32,550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6,241</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Terri L. Herrington</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5,658</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396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Ann Manix</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Gina A. Norris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Michael S. Simmons</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Mary A. Tidlund</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5,991</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right"/>
              <w:rPr/>
            </w:pPr>
            <w:r>
              <w:rPr/>
              <w:t>​</w:t>
            </w:r>
          </w:p>
        </w:tc>
        <w:tc>
          <w:tcPr>
            <w:tcW w:w="903" w:type="dxa"/>
            <w:tcBorders/>
            <w:shd w:fill="CCEEFF" w:val="clear"/>
            <w:vAlign w:val="center"/>
          </w:tcPr>
          <w:p>
            <w:pPr>
              <w:pStyle w:val="TableContents"/>
              <w:bidi w:val="0"/>
              <w:spacing w:before="0" w:after="1"/>
              <w:ind w:left="0" w:right="0" w:hanging="0"/>
              <w:jc w:val="center"/>
              <w:rPr/>
            </w:pPr>
            <w:r>
              <w:rPr/>
              <w:t>​</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Bart W. Reichert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396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Amy E. Ruf</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6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right"/>
              <w:rPr/>
            </w:pPr>
            <w:r>
              <w:rPr/>
              <w:t>​</w:t>
            </w:r>
          </w:p>
        </w:tc>
        <w:tc>
          <w:tcPr>
            <w:tcW w:w="903" w:type="dxa"/>
            <w:tcBorders/>
            <w:shd w:fill="CCEEFF" w:val="clear"/>
            <w:vAlign w:val="center"/>
          </w:tcPr>
          <w:p>
            <w:pPr>
              <w:pStyle w:val="TableContents"/>
              <w:bidi w:val="0"/>
              <w:spacing w:before="0" w:after="1"/>
              <w:ind w:left="0" w:right="0" w:hanging="0"/>
              <w:jc w:val="center"/>
              <w:rPr/>
            </w:pPr>
            <w:r>
              <w:rPr/>
              <w:t>​</w:t>
            </w:r>
          </w:p>
        </w:tc>
      </w:tr>
      <w:tr>
        <w:trPr/>
        <w:tc>
          <w:tcPr>
            <w:tcW w:w="396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directors and executive officers as a group (17 persons)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35,800</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32,972</w:t>
            </w:r>
          </w:p>
        </w:tc>
        <w:tc>
          <w:tcPr>
            <w:tcW w:w="3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9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bl>
    <w:tbl>
      <w:tblPr>
        <w:tblW w:w="1502" w:type="dxa"/>
        <w:jc w:val="left"/>
        <w:tblInd w:w="0" w:type="dxa"/>
        <w:tblLayout w:type="fixed"/>
        <w:tblCellMar>
          <w:top w:w="0" w:type="dxa"/>
          <w:left w:w="0" w:type="dxa"/>
          <w:bottom w:w="0" w:type="dxa"/>
          <w:right w:w="0" w:type="dxa"/>
        </w:tblCellMar>
      </w:tblPr>
      <w:tblGrid>
        <w:gridCol w:w="226"/>
        <w:gridCol w:w="1276"/>
      </w:tblGrid>
      <w:tr>
        <w:trPr/>
        <w:tc>
          <w:tcPr>
            <w:tcW w:w="226" w:type="dxa"/>
            <w:tcBorders/>
            <w:vAlign w:val="center"/>
          </w:tcPr>
          <w:p>
            <w:pPr>
              <w:pStyle w:val="TableContents"/>
              <w:bidi w:val="0"/>
              <w:spacing w:lineRule="atLeast" w:line="200" w:before="0" w:after="12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lineRule="atLeast" w:line="200" w:before="0" w:after="12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tc>
      </w:tr>
    </w:tbl>
    <w:tbl>
      <w:tblPr>
        <w:tblW w:w="8852" w:type="dxa"/>
        <w:jc w:val="left"/>
        <w:tblInd w:w="0" w:type="dxa"/>
        <w:tblLayout w:type="fixed"/>
        <w:tblCellMar>
          <w:top w:w="0" w:type="dxa"/>
          <w:left w:w="0" w:type="dxa"/>
          <w:bottom w:w="0" w:type="dxa"/>
          <w:right w:w="0" w:type="dxa"/>
        </w:tblCellMar>
      </w:tblPr>
      <w:tblGrid>
        <w:gridCol w:w="346"/>
        <w:gridCol w:w="850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are based on 48,847,734 shares of NL common stock outstanding as of the record date.</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are based on 28,294,793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or executive officers disclaims beneficial ownership of any shares of NL or Valhi common stock, except to the extent he or she has a pecuniary interest in such shares, if any.</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 w:name="PROPOSAL1_766229"/>
      <w:bookmarkStart w:id="20" w:name="_1df29fd5_5715_41d7_85d0_f5d2dc59223c"/>
      <w:bookmarkEnd w:id="19"/>
      <w:bookmarkEnd w:id="20"/>
      <w:r>
        <w:rPr>
          <w:rFonts w:ascii="Times New Roman;Times;serif" w:hAnsi="Times New Roman;Times;serif"/>
          <w:b/>
          <w:sz w:val="20"/>
        </w:rPr>
        <w:t>PROPOSAL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bylaws provide that the board of directors shall consist of one or more members as determined by our board of directors or stockholders. Our board of directors has currently set the number of directors at eight and recommends the eight director nominees named in this proxy statement for election at our 2025 annual stockholder meeting. The directors elected at the meeting will hold office until our 2026 annual stockholder meeting and until their successors are duly elected and qualified or their earlier removal or resignation.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of the director nominees are currently members of our board of directors whose terms will expire at the 2025 annual meeting. All of the nominees have agreed to serve if elected. If any nominee is unable to serve or for good cause will not serve as a director at the time of the annual meeting, the proxy holders may vote your shares for any alternate nominee selected by the board of directors, unless you withhold authority to vote for such unavailable nominee. The board of directors believes that all of its nominees will be available for election at the meeting and will serve if elected.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RECOMMENDS A VOTE </w:t>
      </w:r>
      <w:r>
        <w:rPr>
          <w:rFonts w:ascii="Times New Roman;Times;serif" w:hAnsi="Times New Roman;Times;serif"/>
          <w:b/>
          <w:sz w:val="20"/>
        </w:rPr>
        <w:t>FOR</w:t>
      </w:r>
      <w:r>
        <w:rPr>
          <w:rFonts w:ascii="Times New Roman;Times;serif" w:hAnsi="Times New Roman;Times;serif"/>
          <w:sz w:val="20"/>
        </w:rPr>
        <w:t xml:space="preserve"> THE ELECTION OF EACH OF THE FOLLOWING NOMINEES FOR DIRECTOR.</w:t>
      </w:r>
    </w:p>
    <w:p>
      <w:pPr>
        <w:pStyle w:val="TextBody"/>
        <w:bidi w:val="0"/>
        <w:spacing w:before="0" w:after="240"/>
        <w:ind w:left="0" w:right="0" w:firstLine="720"/>
        <w:jc w:val="left"/>
        <w:rPr>
          <w:rFonts w:ascii="Times New Roman;Times;serif" w:hAnsi="Times New Roman;Times;serif"/>
          <w:sz w:val="20"/>
        </w:rPr>
      </w:pPr>
      <w:bookmarkStart w:id="21" w:name="NOMINEESFORDIRECTORS"/>
      <w:bookmarkEnd w:id="21"/>
      <w:r>
        <w:rPr>
          <w:rFonts w:ascii="Times New Roman;Times;serif" w:hAnsi="Times New Roman;Times;serif"/>
          <w:b/>
          <w:i/>
          <w:sz w:val="20"/>
        </w:rPr>
        <w:t>Nominees for Director</w:t>
      </w:r>
      <w:r>
        <w:rPr>
          <w:rFonts w:ascii="Times New Roman;Times;serif" w:hAnsi="Times New Roman;Times;serif"/>
          <w:sz w:val="20"/>
        </w:rPr>
        <w:t>. All of our nominees have extensive senior management and policy-making experience or significant accounting 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Thomas E. Barry</w:t>
      </w:r>
      <w:r>
        <w:rPr>
          <w:rFonts w:ascii="Times New Roman;Times;serif" w:hAnsi="Times New Roman;Times;serif"/>
          <w:sz w:val="20"/>
        </w:rPr>
        <w:t>, age 81, has served on our board of directors since 2016. Dr. Barry has held the position of professor of marketing in the Edwin L. Cox School of Business at Southern Methodist University since 1970, with emeritus status beginning in 2017. He also served the university as vice president for executive affairs from 1995 to 2015. Since prior to 2020, he has served as a director of Valhi and a member of its audit and management development and compensation committees (including serving as chairman of Valhi’s audit and management development and compensation committees since prior to 2020). He is the chairman of our audit committee and a member of our management development and compensation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Dr. Barry has nine years of experience on our board of directors and over 24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Loretta J. Feehan, </w:t>
      </w:r>
      <w:r>
        <w:rPr>
          <w:rFonts w:ascii="Times New Roman;Times;serif" w:hAnsi="Times New Roman;Times;serif"/>
          <w:sz w:val="20"/>
        </w:rPr>
        <w:t>age 69, has served as chair of the board (non-executive) of us, Kronos Worldwide, NL and Valhi since 2017, and as a director of each such 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2020.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Feehan has 11 years of experience as a director of us, Kronos Worldwide, NL and Valhi. She also has over 47 years of financial and tax accounting and auditing experience, certain years of which were as a partner of one the largest international accounting firms.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Terri L. Herrington</w:t>
      </w:r>
      <w:r>
        <w:rPr>
          <w:rFonts w:ascii="Times New Roman;Times;serif" w:hAnsi="Times New Roman;Times;serif"/>
          <w:sz w:val="20"/>
        </w:rPr>
        <w:t xml:space="preserve">, age 69, has served on our board of directors since 2018. Ms. Herrington is a private investor. She retired from 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positions, lastly as their global Director of Audit for Finance and Financial Control. Ms. Herrington has served as a director and on the audit committee of Valhi since prior to 2020 and on its management development and compensation committee since 2024. She is a member of our audit committee and our management development and compensation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Herrington has seven years of experience on the boards of directors and audit committees of CompX and Valhi. She also has senior executive, operating, corporate governance, finance, and financial accounting oversight experience from two publicly traded companies for which she formerly served.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Scott C. James</w:t>
      </w:r>
      <w:r>
        <w:rPr>
          <w:rFonts w:ascii="Times New Roman;Times;serif" w:hAnsi="Times New Roman;Times;serif"/>
          <w:sz w:val="20"/>
        </w:rPr>
        <w:t>, age 59, has served on our board of directors since 2021, as our chief executive officer since 2017, as our president since 2014, and as president of 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James has over 32 years of experience serving CompX, in which he developed general management, senior executive, corporate governance, finance and financial accounting oversight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Ann Manix</w:t>
      </w:r>
      <w:r>
        <w:rPr>
          <w:rFonts w:ascii="Times New Roman;Times;serif" w:hAnsi="Times New Roman;Times;serif"/>
          <w:sz w:val="20"/>
        </w:rPr>
        <w:t>, age 72, has served on our board of directors since 1998. Since 2014, Ms. Manix has served as a director of Blue Canyon Partners, Inc., a global 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Manix has over 26 years of experience on our board of directors and audit committee and 23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Gina A. Norris</w:t>
      </w:r>
      <w:r>
        <w:rPr>
          <w:rFonts w:ascii="Times New Roman;Times;serif" w:hAnsi="Times New Roman;Times;serif"/>
          <w:sz w:val="20"/>
        </w:rPr>
        <w:t xml:space="preserve">, age 66, has served on our board of directors since 2023. She has been senior vice president of Matthews Southwest, a private real estate development company in Dallas, Texas, since 2013. Ms. Norris has been an independent director of Sammons Financial Group, a private employee-owned company, since January 2025, and serves on the boards of its member companies Midland National Life Insurance Company and North American Company for Life and Health Insurance. She also has served as a director of the State Fair of Texas, a private nonprofit, since 2009 and was its board chair from 2019 to 2022. She served as an independent director of Encore Wire Corporation, a publicly traded manufacturer of wire products, from 2020 until its sale in 2024, and also served on its audit and sustainability committees (both as chair) and compensation and nominating and corporate governance committees. From 2016 to 2023, Ms. Norris served as an independent director of Texas Security Bank, a private bank holding company. From 2010 to 2012, Ms. Norris was president of Stratford Lending, an affiliate of Stratford Land, a private real estate investment fund in Dallas. From 2000 to 2010, she was a managing director at Crow Holdings, a private investment company based in Dallas, where she was responsible for investments in industrial manufacturing and real estate operating businesses in the U.S. and Europe. From 1982 to 2000, Ms. Norris was a corporate banker at First Chicago and Bank One. She is a CFA charterholder. She has served on the board of directors and audit committee of Valhi since 2023. She is a member of our audit committee.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Norris has one year of experience on our board of directors and audit committee, and on the board of directors and audit committee of Valhi. She has senior executive, operating, corporate governance, finance, and financial accounting oversight experience from other publicly and privately held entities for which she currently serves or formerly served, including in her roles with portfolio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Michael S. Simmons</w:t>
      </w:r>
      <w:r>
        <w:rPr>
          <w:rFonts w:ascii="Times New Roman;Times;serif" w:hAnsi="Times New Roman;Times;serif"/>
          <w:sz w:val="20"/>
        </w:rPr>
        <w:t xml:space="preserve">, age 53, has served as our vice chairman of the board since 2023 and on our board of directors since 2022. He previously served as our executive vice president from 2022 to 2023 and as our senior vice president and chief financial officer from 2021 to 2022. He currently serves as vice chairman of the board, president and chief executive officer of Valhi; as vice chairman of the board of Kronos Worldwide and NL; and as president and chief executive officer of Contran. He has served as a director of Valhi since 2022 and as a director of Kronos Worldwide, NL and Contran since 2023. Mr. Simmons has served in accounting and financial positions (including officer positions)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various companies related to us and Contran since 2018. From 1994 to 2018, Mr. Simmons was employed by PwC, most recently as a managing director. Mr. Simmons is not related to Lisa K. Simmons, who may be deemed to control CompX.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Mr. Simmons has extensive experience with our business. He also has senior executive, operating, corporate governance, finance, financial accounting and auditing experience with us, from one of the largest independent international public accounting firms, and from other publicly and privately held entities related to us for which he currently serves or formerly served.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Mary A. Tidlund</w:t>
      </w:r>
      <w:r>
        <w:rPr>
          <w:rFonts w:ascii="Times New Roman;Times;serif" w:hAnsi="Times New Roman;Times;serif"/>
          <w:sz w:val="20"/>
        </w:rPr>
        <w:t xml:space="preserve">, </w:t>
      </w:r>
      <w:r>
        <w:rPr>
          <w:rFonts w:ascii="Times New Roman;Times;serif" w:hAnsi="Times New Roman;Times;serif"/>
          <w:sz w:val="20"/>
          <w:shd w:fill="FFFFFF" w:val="clear"/>
        </w:rPr>
        <w:t xml:space="preserve">age 68, has served on our board of directors since 2016. Ms. Tidlund is a private investor. From 1998 to 2017, she 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w:t>
      </w:r>
      <w:r>
        <w:rPr>
          <w:rFonts w:ascii="Times New Roman;Times;serif" w:hAnsi="Times New Roman;Times;serif"/>
          <w:sz w:val="20"/>
        </w:rPr>
        <w:t xml:space="preserve">Ms. Tidlund has served as a director and on the audit committee of Valhi since prior to 2020. </w:t>
      </w:r>
      <w:r>
        <w:rPr>
          <w:rFonts w:ascii="Times New Roman;Times;serif" w:hAnsi="Times New Roman;Times;serif"/>
          <w:sz w:val="20"/>
          <w:shd w:fill="FFFFFF" w:val="clear"/>
        </w:rPr>
        <w:t>She is a member of our 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Ms. Tidlund has eight years of experience on our board of directors and audit committee, and nine years of experience on the board of directors and audit committee of Valhi. She </w:t>
      </w:r>
      <w:r>
        <w:rPr>
          <w:rFonts w:ascii="Times New Roman;Times;serif" w:hAnsi="Times New Roman;Times;serif"/>
          <w:sz w:val="20"/>
          <w:shd w:fill="FFFFFF" w:val="clear"/>
        </w:rPr>
        <w:t xml:space="preserve">also has </w:t>
      </w:r>
      <w:r>
        <w:rPr>
          <w:rFonts w:ascii="Times New Roman;Times;serif" w:hAnsi="Times New Roman;Times;serif"/>
          <w:sz w:val="20"/>
        </w:rPr>
        <w:t>senior executive, operating, corporate governance, finance and financial accounting oversight experience from a publicly traded oil exploration and service company for which she formerly served.</w:t>
      </w:r>
    </w:p>
    <w:p>
      <w:pPr>
        <w:pStyle w:val="TextBody"/>
        <w:bidi w:val="0"/>
        <w:spacing w:before="0" w:after="240"/>
        <w:ind w:left="0" w:right="0" w:hanging="0"/>
        <w:jc w:val="center"/>
        <w:rPr>
          <w:rFonts w:ascii="Times New Roman;Times;serif" w:hAnsi="Times New Roman;Times;serif"/>
          <w:b/>
          <w:sz w:val="20"/>
        </w:rPr>
      </w:pPr>
      <w:bookmarkStart w:id="22" w:name="EXECUTIVEOFFICERS_666135"/>
      <w:bookmarkStart w:id="23" w:name="_ce0eedf1_c067_4595_8f33_e1edd3ce83c7"/>
      <w:bookmarkEnd w:id="22"/>
      <w:bookmarkEnd w:id="23"/>
      <w:r>
        <w:rPr>
          <w:rFonts w:ascii="Times New Roman;Times;serif" w:hAnsi="Times New Roman;Times;serif"/>
          <w:b/>
          <w:sz w:val="20"/>
        </w:rPr>
        <w:t>EXECUTIVE OFFICERS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Set forth below is certain information relating to our executive officers. Each executive officer serves at the pleasure of the board of directors. Biographical information with respect to Michael S. Simmons and Scott C. James is set forth under the Nominees for Director subsection above. </w:t>
      </w:r>
    </w:p>
    <w:p>
      <w:pPr>
        <w:pStyle w:val="TextBody"/>
        <w:bidi w:val="0"/>
        <w:spacing w:before="0" w:after="0"/>
        <w:ind w:left="0" w:right="0" w:firstLine="720"/>
        <w:jc w:val="left"/>
        <w:rPr>
          <w:shd w:fill="C0C0C0" w:val="clear"/>
        </w:rPr>
      </w:pPr>
      <w:r>
        <w:rPr>
          <w:shd w:fill="C0C0C0" w:val="clear"/>
        </w:rPr>
        <w:t>​</w:t>
      </w:r>
    </w:p>
    <w:tbl>
      <w:tblPr>
        <w:tblW w:w="7405" w:type="dxa"/>
        <w:jc w:val="left"/>
        <w:tblInd w:w="0" w:type="dxa"/>
        <w:tblLayout w:type="fixed"/>
        <w:tblCellMar>
          <w:top w:w="0" w:type="dxa"/>
          <w:left w:w="0" w:type="dxa"/>
          <w:bottom w:w="0" w:type="dxa"/>
          <w:right w:w="0" w:type="dxa"/>
        </w:tblCellMar>
      </w:tblPr>
      <w:tblGrid>
        <w:gridCol w:w="1921"/>
        <w:gridCol w:w="326"/>
        <w:gridCol w:w="391"/>
        <w:gridCol w:w="326"/>
        <w:gridCol w:w="444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19835" cy="175260"/>
                      <wp:effectExtent l="0" t="0" r="0" b="0"/>
                      <wp:wrapNone/>
                      <wp:docPr id="32" name="Frame2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3"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48285" cy="175260"/>
                      <wp:effectExtent l="0" t="0" r="0" b="0"/>
                      <wp:wrapNone/>
                      <wp:docPr id="34" name="Frame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5"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20035" cy="175260"/>
                      <wp:effectExtent l="0" t="0" r="0" b="0"/>
                      <wp:wrapNone/>
                      <wp:docPr id="36" name="Frame32"/>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left"/>
              <w:rPr/>
            </w:pPr>
            <w:r>
              <w:rPr/>
              <w:t>    </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S. Simmons</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Chairman of the Board</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Kristin B. McCoy</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Tax</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Andrew B. Nace</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Allbach Samford</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John A. Sunny</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Bryan A. Hanley</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and Treasurer</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Jane R. Grimm</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General Counsel and Secretary</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Bart W. Reichert</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Internal Audit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E. Ruf</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and Controller</w:t>
            </w:r>
          </w:p>
        </w:tc>
      </w:tr>
      <w:tr>
        <w:trPr/>
        <w:tc>
          <w:tcPr>
            <w:tcW w:w="19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Darci B. Scott</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4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Tax</w:t>
            </w:r>
          </w:p>
        </w:tc>
      </w:tr>
    </w:tbl>
    <w:p>
      <w:pPr>
        <w:pStyle w:val="TextBody"/>
        <w:bidi w:val="0"/>
        <w:spacing w:before="0" w:after="0"/>
        <w:ind w:left="0" w:right="0" w:hanging="0"/>
        <w:jc w:val="left"/>
        <w:rPr>
          <w:shd w:fill="C0C0C0" w:val="clear"/>
        </w:rPr>
      </w:pPr>
      <w:r>
        <w:rPr>
          <w:shd w:fill="C0C0C0"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Kristin B. McCoy </w:t>
      </w:r>
      <w:r>
        <w:rPr>
          <w:rFonts w:ascii="Times New Roman;Times;serif" w:hAnsi="Times New Roman;Times;serif"/>
          <w:sz w:val="20"/>
        </w:rPr>
        <w:t xml:space="preserve">has served as our executive vice president, tax since 2023. She currently serves as executive vice president, global tax of Kronos Worldwide and as executive vice president, tax of Valhi, NL and Contran. Ms. McCoy has served in various tax accounting positions with various companies related to us and Contran since 2003. </w:t>
      </w:r>
    </w:p>
    <w:p>
      <w:pPr>
        <w:pStyle w:val="TextBody"/>
        <w:bidi w:val="0"/>
        <w:spacing w:before="0" w:after="240"/>
        <w:ind w:left="0" w:right="0" w:firstLine="720"/>
        <w:jc w:val="left"/>
        <w:rPr>
          <w:rFonts w:ascii="Times New Roman;Times;serif" w:hAnsi="Times New Roman;Times;serif"/>
          <w:sz w:val="20"/>
        </w:rPr>
      </w:pPr>
      <w:bookmarkStart w:id="24" w:name="_Hlk122102878"/>
      <w:bookmarkEnd w:id="24"/>
      <w:r>
        <w:rPr>
          <w:rFonts w:ascii="Times New Roman;Times;serif" w:hAnsi="Times New Roman;Times;serif"/>
          <w:b/>
          <w:sz w:val="20"/>
        </w:rPr>
        <w:t>Andrew B. Nace</w:t>
      </w:r>
      <w:r>
        <w:rPr>
          <w:rFonts w:ascii="Times New Roman;Times;serif" w:hAnsi="Times New Roman;Times;serif"/>
          <w:sz w:val="20"/>
        </w:rPr>
        <w:t xml:space="preserve"> has served as our executive vice president since 2017, and previously served as our vice president from 2013 to 2017. He currently serves as executive vice president of Kronos Worldwide and NL, and as executive vice president and general counsel of Valhi and Contran. He has served as a director of Contran since 2023. Mr. Nace has served in legal positions (including officer positions) with various companies related to us and Contran since 2003.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Amy Allbach Samford </w:t>
      </w:r>
      <w:r>
        <w:rPr>
          <w:rFonts w:ascii="Times New Roman;Times;serif" w:hAnsi="Times New Roman;Times;serif"/>
          <w:sz w:val="20"/>
        </w:rPr>
        <w:t xml:space="preserve">has served as our executive vice president and chief financial officer since 2022. She previously served as our vice president and chief financial officer from 2019 to 2021. She currently serves as executive vice president and chief financial officer of Valhi, NL and Contran and as executive vice president of Kronos Worldwide. Ms. Samford has served in various accounting and financial positions (including officer positions) in various companies related to us and Contran since 2006.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John A. Sunny </w:t>
      </w:r>
      <w:r>
        <w:rPr>
          <w:rFonts w:ascii="Times New Roman;Times;serif" w:hAnsi="Times New Roman;Times;serif"/>
          <w:sz w:val="20"/>
        </w:rPr>
        <w:t>has served as our executive vice president since May 2024. He currently serves as executive vice president and chief information officer of Valhi, Kronos Worldwide and NL and as senior vice president and chief information officer of Contran. Mr. Sunny has served in information technology positions (including officer positions) with various companies related to us and Contran since 2003.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Bryan A. Hanley </w:t>
      </w:r>
      <w:r>
        <w:rPr>
          <w:rFonts w:ascii="Times New Roman;Times;serif" w:hAnsi="Times New Roman;Times;serif"/>
          <w:sz w:val="20"/>
        </w:rPr>
        <w:t xml:space="preserve">has served as our senior vice president since 2022 and as our treasurer since 2017. He previously served as our vice president from 2017 to 2022. He currently serves as senior vice president and treasurer of Valhi, Kronos Worldwide and NL and as Contran’s vice president and treasurer.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Jane R. Grimm</w:t>
      </w:r>
      <w:r>
        <w:rPr>
          <w:rFonts w:ascii="Times New Roman;Times;serif" w:hAnsi="Times New Roman;Times;serif"/>
          <w:sz w:val="20"/>
        </w:rPr>
        <w:t xml:space="preserve"> has served as our general counsel since 2021 and as our vice president and secretary since 2017. She currently serves as vice president and secretary of Valhi. Ms. Grimm has served in legal positions (including officer positions) with various companies related to us and Contran since 2010.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Bart W. Reichert </w:t>
      </w:r>
      <w:r>
        <w:rPr>
          <w:rFonts w:ascii="Times New Roman;Times;serif" w:hAnsi="Times New Roman;Times;serif"/>
          <w:sz w:val="20"/>
        </w:rPr>
        <w:t xml:space="preserve">has served as our vice president, internal audit since 2021. He has also served as vice president, internal audit for Valhi, Kronos Worldwide and NL since 2021. From 1994 to 2021, Mr. Reichert was employed by PwC, most recently as a managing director.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Amy E. Ruf</w:t>
      </w:r>
      <w:r>
        <w:rPr>
          <w:rFonts w:ascii="Times New Roman;Times;serif" w:hAnsi="Times New Roman;Times;serif"/>
          <w:sz w:val="20"/>
        </w:rPr>
        <w:t xml:space="preserve"> has served as our vice president and controller since 2019. She currently serves as vice president and controller of NL. Ms. Ruf has served in various accounting and financial positions in various companies related to us and Contran since 2004.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Darci B. Scott</w:t>
      </w:r>
      <w:r>
        <w:rPr>
          <w:rFonts w:ascii="Times New Roman;Times;serif" w:hAnsi="Times New Roman;Times;serif"/>
          <w:sz w:val="20"/>
        </w:rPr>
        <w:t xml:space="preserve"> has served as our vice president, tax since 2020. She currently serves as vice president, tax of Valhi and NL. Ms. Scott has served in various tax accounting positions with various companies related to us and Contran since 2006. </w:t>
      </w:r>
    </w:p>
    <w:p>
      <w:pPr>
        <w:pStyle w:val="TextBody"/>
        <w:bidi w:val="0"/>
        <w:spacing w:before="0" w:after="240"/>
        <w:ind w:left="0" w:right="0" w:hanging="0"/>
        <w:jc w:val="center"/>
        <w:rPr>
          <w:rFonts w:ascii="Times New Roman;Times;serif" w:hAnsi="Times New Roman;Times;serif"/>
          <w:b/>
          <w:sz w:val="20"/>
        </w:rPr>
      </w:pPr>
      <w:bookmarkStart w:id="25" w:name="CORPORATEGOVERNANCE_615954"/>
      <w:bookmarkStart w:id="26" w:name="_68cb280b_518d_4a8f_8949_af3b3e66f19a"/>
      <w:bookmarkEnd w:id="25"/>
      <w:bookmarkEnd w:id="26"/>
      <w:r>
        <w:rPr>
          <w:rFonts w:ascii="Times New Roman;Times;serif" w:hAnsi="Times New Roman;Times;serif"/>
          <w:b/>
          <w:sz w:val="20"/>
        </w:rPr>
        <w:t>CORPORATE GOVERNANCE</w:t>
      </w:r>
    </w:p>
    <w:p>
      <w:pPr>
        <w:pStyle w:val="TextBody"/>
        <w:bidi w:val="0"/>
        <w:spacing w:before="0" w:after="240"/>
        <w:ind w:left="0" w:right="0" w:firstLine="720"/>
        <w:jc w:val="left"/>
        <w:rPr>
          <w:rFonts w:ascii="Times New Roman;Times;serif" w:hAnsi="Times New Roman;Times;serif"/>
          <w:sz w:val="20"/>
        </w:rPr>
      </w:pPr>
      <w:bookmarkStart w:id="27" w:name="CONTROLLEDCOMPANYSTATUS"/>
      <w:bookmarkEnd w:id="27"/>
      <w:r>
        <w:rPr>
          <w:rFonts w:ascii="Times New Roman;Times;serif" w:hAnsi="Times New Roman;Times;serif"/>
          <w:b/>
          <w:i/>
          <w:sz w:val="20"/>
        </w:rPr>
        <w:t>Controlled Company Status, Director Independence and Committees</w:t>
      </w:r>
      <w:r>
        <w:rPr>
          <w:rFonts w:ascii="Times New Roman;Times;serif" w:hAnsi="Times New Roman;Times;serif"/>
          <w:sz w:val="20"/>
        </w:rPr>
        <w:t>. Because of NL’s ownership of 87.3% of the outstanding shares of our class 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Gina A. Norris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pStyle w:val="TextBody"/>
        <w:bidi w:val="0"/>
        <w:spacing w:before="0" w:after="240"/>
        <w:ind w:left="0" w:right="0" w:firstLine="720"/>
        <w:jc w:val="left"/>
        <w:rPr>
          <w:rFonts w:ascii="Times New Roman;Times;serif" w:hAnsi="Times New Roman;Times;serif"/>
          <w:sz w:val="20"/>
        </w:rPr>
      </w:pPr>
      <w:bookmarkStart w:id="28" w:name="MEETINGSANDSTANDINGCOMMITTEESOFBOD"/>
      <w:bookmarkEnd w:id="28"/>
      <w:r>
        <w:rPr>
          <w:rFonts w:ascii="Times New Roman;Times;serif" w:hAnsi="Times New Roman;Times;serif"/>
          <w:b/>
          <w:i/>
          <w:sz w:val="20"/>
        </w:rPr>
        <w:t>2024 Meetings and Standing Committees of the Board of Directors</w:t>
      </w:r>
      <w:r>
        <w:rPr>
          <w:rFonts w:ascii="Times New Roman;Times;serif" w:hAnsi="Times New Roman;Times;serif"/>
          <w:sz w:val="20"/>
        </w:rPr>
        <w:t>. The board of directors held four meetings in 2024. Each of our incumbent directors attended all of the board meetings and meetings of the committees on which he or she served that were held while he or she was in office during 2024. It is expected that each director nominee will attend our annual meeting of stockholders, which is held immediately before the annual meeting of the board of directors. All of our directors who were elected at our 2024 annual stockholder meeting attended such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pStyle w:val="TextBody"/>
        <w:bidi w:val="0"/>
        <w:spacing w:before="0" w:after="0"/>
        <w:ind w:left="0" w:right="0" w:firstLine="720"/>
        <w:jc w:val="left"/>
        <w:rPr>
          <w:rFonts w:ascii="Times New Roman;Times;serif" w:hAnsi="Times New Roman;Times;serif"/>
          <w:sz w:val="20"/>
        </w:rPr>
      </w:pPr>
      <w:bookmarkStart w:id="29" w:name="AUDITCOMMITTEE"/>
      <w:bookmarkEnd w:id="29"/>
      <w:r>
        <w:rPr>
          <w:rFonts w:ascii="Times New Roman;Times;serif" w:hAnsi="Times New Roman;Times;serif"/>
          <w:b/>
          <w:i/>
          <w:sz w:val="20"/>
        </w:rPr>
        <w:t>Audit Committee</w:t>
      </w:r>
      <w:r>
        <w:rPr>
          <w:rFonts w:ascii="Times New Roman;Times;serif" w:hAnsi="Times New Roman;Times;serif"/>
          <w:sz w:val="20"/>
        </w:rPr>
        <w:t xml:space="preserve">. Our audit committee assists with the board of directors’ oversight responsibilities relating to our financial accounting and reporting processes and auditing processes, and to our management of risk. The purpose, authority, resources and responsibilities of our audit committee are more specifically set forth in its charter. Applying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requirements of the NYSE American corporate governance standards (without additional categorical standards) and SEC regulations, as applicable, the board of directors has previously determined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our audit committee is independent, financially literate and has no material relationship with us other than serving as our director; and</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Terri L. Herrington and Gina A. Norris is an “audit committee financial expert.”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Ann Manix, Gina A. Norris and Mary A. Tidlund. Our audit committee held five meetings in 2024.</w:t>
      </w:r>
    </w:p>
    <w:p>
      <w:pPr>
        <w:pStyle w:val="TextBody"/>
        <w:bidi w:val="0"/>
        <w:spacing w:before="0" w:after="240"/>
        <w:ind w:left="0" w:right="0" w:firstLine="720"/>
        <w:jc w:val="left"/>
        <w:rPr>
          <w:rFonts w:ascii="Times New Roman;Times;serif" w:hAnsi="Times New Roman;Times;serif"/>
          <w:sz w:val="20"/>
        </w:rPr>
      </w:pPr>
      <w:bookmarkStart w:id="30" w:name="MDANDCCOMMITTEE"/>
      <w:bookmarkEnd w:id="30"/>
      <w:r>
        <w:rPr>
          <w:rFonts w:ascii="Times New Roman;Times;serif" w:hAnsi="Times New Roman;Times;serif"/>
          <w:b/>
          <w:i/>
          <w:sz w:val="20"/>
        </w:rPr>
        <w:t>Management Development and Compensation Committee</w:t>
      </w:r>
      <w:r>
        <w:rPr>
          <w:rFonts w:ascii="Times New Roman;Times;serif" w:hAnsi="Times New Roman;Times;serif"/>
          <w:sz w:val="20"/>
        </w:rPr>
        <w:t>. The principal responsibilities of our management development and compensation committee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recommend to the board of directors whether or not to approve any proposed charge to us or any of our privately held subsidiaries pursuant to our ISA with Contran;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approve and administer certain matters regarding our employee benefit plans or programs, including annual incentive compensation awards;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approve, administer and grant awards under our director stock plan; and</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and administer such other compensation matters as the board of directors may direct from time to time.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Thomas E. Barry and Terri L. Herrington. Our management development and compensation committee held one meeting in 2024.</w:t>
      </w:r>
    </w:p>
    <w:p>
      <w:pPr>
        <w:pStyle w:val="TextBody"/>
        <w:bidi w:val="0"/>
        <w:spacing w:before="0" w:after="240"/>
        <w:ind w:left="0" w:right="0" w:firstLine="720"/>
        <w:jc w:val="left"/>
        <w:rPr>
          <w:rFonts w:ascii="Times New Roman;Times;serif" w:hAnsi="Times New Roman;Times;serif"/>
          <w:sz w:val="20"/>
        </w:rPr>
      </w:pPr>
      <w:bookmarkStart w:id="31" w:name="RISKOVERSIGHT"/>
      <w:bookmarkEnd w:id="31"/>
      <w:r>
        <w:rPr>
          <w:rFonts w:ascii="Times New Roman;Times;serif" w:hAnsi="Times New Roman;Times;serif"/>
          <w:b/>
          <w:i/>
          <w:sz w:val="20"/>
        </w:rPr>
        <w:t>Risk Oversight</w:t>
      </w:r>
      <w:r>
        <w:rPr>
          <w:rFonts w:ascii="Times New Roman;Times;serif" w:hAnsi="Times New Roman;Times;serif"/>
          <w:sz w:val="20"/>
        </w:rPr>
        <w:t xml:space="preserve">. Our board of directors oversees the actions we take in managing our material risks. Our management is 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audit committee oversees risks associated with financial and accounting matters, including our financial reporting and internal control systems. The audit committee annually receives management’s report and assessment on the risk of fraud, and also periodically receives reports from our independent registered public accounting firm regarding, among other things, financial risks and the risk of fraud. In addition, the audit committee has responsibility for facilitating the board’s process of oversight of our overall risk management approach, and in that regard the audit committee annually receives management’s report on identification and assessment (including a ranking) of our material business risks and management’s approach for providing periodic updates to the board and applicable committees.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management development and compensation committee receives management’s assessments on the likelihood that our compensation policies and practices could have a material adverse effect on us, as more fully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described in the Compensation Policies and Practices as They Relate to Risk Management section of this proxy statement.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audit committee and management development and compensation committee report to the board of directors about their meetings. We believe the leadership structure of the board of directors is appropriate for our risk oversight.</w:t>
      </w:r>
    </w:p>
    <w:p>
      <w:pPr>
        <w:pStyle w:val="TextBody"/>
        <w:bidi w:val="0"/>
        <w:spacing w:before="0" w:after="240"/>
        <w:ind w:left="0" w:right="0" w:firstLine="720"/>
        <w:jc w:val="left"/>
        <w:rPr>
          <w:rFonts w:ascii="Times New Roman;Times;serif" w:hAnsi="Times New Roman;Times;serif"/>
          <w:sz w:val="20"/>
        </w:rPr>
      </w:pPr>
      <w:bookmarkStart w:id="32" w:name="IDENTIFYINGANDEVALUATINGDIRECTORNOMINEES"/>
      <w:bookmarkEnd w:id="32"/>
      <w:r>
        <w:rPr>
          <w:rFonts w:ascii="Times New Roman;Times;serif" w:hAnsi="Times New Roman;Times;serif"/>
          <w:b/>
          <w:i/>
          <w:sz w:val="20"/>
        </w:rPr>
        <w:t>Identifying and Evaluating Director Nominees</w:t>
      </w:r>
      <w:r>
        <w:rPr>
          <w:rFonts w:ascii="Times New Roman;Times;serif" w:hAnsi="Times New Roman;Times;serif"/>
          <w:sz w:val="20"/>
        </w:rPr>
        <w:t>. Historically, our management has recommended director nominees to the board of directors. As stated in our corporate governance guidelines:</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21E1F"/>
                <w:sz w:val="20"/>
              </w:rPr>
              <w:t>our</w:t>
            </w:r>
            <w:r>
              <w:rPr>
                <w:caps w:val="false"/>
                <w:smallCaps w:val="false"/>
              </w:rPr>
              <w:t xml:space="preserve"> </w:t>
            </w:r>
            <w:r>
              <w:rPr>
                <w:rFonts w:ascii="Times New Roman;Times;serif" w:hAnsi="Times New Roman;Times;serif"/>
                <w:b w:val="false"/>
                <w:i w:val="false"/>
                <w:caps w:val="false"/>
                <w:smallCaps w:val="false"/>
                <w:sz w:val="20"/>
              </w:rPr>
              <w:t>board of directors has no specific minimum qualifications for director nominees;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nominee should possess the necessary business background, skills and expertise at the policy-making level and a willingness to devote the required time to the duties and responsibilities of membership on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experience as our director is a valuable asset and that directors who have served on the board for an extended period of time are able to provide important insight into our current and future operations.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pStyle w:val="TextBody"/>
        <w:bidi w:val="0"/>
        <w:spacing w:before="0" w:after="240"/>
        <w:ind w:left="0" w:right="0" w:firstLine="720"/>
        <w:jc w:val="left"/>
        <w:rPr>
          <w:rFonts w:ascii="Times New Roman;Times;serif" w:hAnsi="Times New Roman;Times;serif"/>
          <w:sz w:val="20"/>
        </w:rPr>
      </w:pPr>
      <w:bookmarkStart w:id="33" w:name="LEADERSHIPSTRUCTUREOFBOD"/>
      <w:bookmarkEnd w:id="33"/>
      <w:r>
        <w:rPr>
          <w:rFonts w:ascii="Times New Roman;Times;serif" w:hAnsi="Times New Roman;Times;serif"/>
          <w:b/>
          <w:i/>
          <w:color w:val="221E1F"/>
          <w:sz w:val="20"/>
        </w:rPr>
        <w:t>Leadership Structure of the Board of Directors and Independent Director Meetings</w:t>
      </w:r>
      <w:r>
        <w:rPr>
          <w:rFonts w:ascii="Times New Roman;Times;serif" w:hAnsi="Times New Roman;Times;serif"/>
          <w:color w:val="221E1F"/>
          <w:sz w:val="20"/>
        </w:rPr>
        <w:t>. Loretta J. Feehan serves as our chair of the board (non-executive), and our chief executive officer Scott C. James serves on our board</w:t>
      </w:r>
      <w:r>
        <w:rPr>
          <w:rFonts w:ascii="Times New Roman;Times;serif" w:hAnsi="Times New Roman;Times;serif"/>
          <w:sz w:val="20"/>
        </w:rPr>
        <w:t>. The board of directors believes our current leadership structure is appropriate for a 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our corporate governance guidelines, our non-management directors (who are not executive officers of CompX) are entitled to meet on a regular basis throughout the year, and will meet at least once annually, without management participation. Our independent directors also meet at least once annually, without the participation of our other directors who are not independent. We are not required to have a lead independent director under the NYSE corporate governance standards. While we do not have a lead independent director, the chairman of our audit committee presides at all of the meetings of our non-management and independent directors. In 2024, we complied with the NYSE American requirements for meetings of our non-management and independent directors. </w:t>
      </w:r>
    </w:p>
    <w:p>
      <w:pPr>
        <w:pStyle w:val="TextBody"/>
        <w:bidi w:val="0"/>
        <w:spacing w:before="0" w:after="0"/>
        <w:ind w:left="0" w:right="0" w:firstLine="720"/>
        <w:jc w:val="left"/>
        <w:rPr>
          <w:rFonts w:ascii="Times New Roman;Times;serif" w:hAnsi="Times New Roman;Times;serif"/>
          <w:sz w:val="20"/>
        </w:rPr>
      </w:pPr>
      <w:bookmarkStart w:id="34" w:name="STOCKHOLDERPROPOSALSANDDIRECTORNOMINATIO"/>
      <w:bookmarkEnd w:id="34"/>
      <w:r>
        <w:rPr>
          <w:rFonts w:ascii="Times New Roman;Times;serif" w:hAnsi="Times New Roman;Times;serif"/>
          <w:b/>
          <w:i/>
          <w:sz w:val="20"/>
        </w:rPr>
        <w:t>Stockholder Proposals and Director Nominations for the 2026 Annual Meeting of Stockholders</w:t>
      </w:r>
      <w:r>
        <w:rPr>
          <w:rFonts w:ascii="Times New Roman;Times;serif" w:hAnsi="Times New Roman;Times;serif"/>
          <w:sz w:val="20"/>
        </w:rPr>
        <w:t xml:space="preserve">. Under the rules of the SEC, in order to be considered for inclusion in next year’s proxy statement, a stockholder proposal must be received by us no later than December 16, 2025. The notice should be in writing and must comply with the proxy rules of the SEC. If the date of our 2026 annual stockholders meeting changes by more than 30 days from May 21, 2026 (the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anniversary of this year’s annual meeting), then the deadline will be a reasonable time before the printing and mailing of our proxy materials in accordance with applicable SEC rules.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advance notice bylaw provisions require that any stockholder proposal or director nomination to be presented from the floor of our 2026 annual meeting must be received by our corporate secretary not later than the 120th day nor earlier than the 150th day prior to May 21, 2026 (the first anniversary of this year’s annual meeting). If the date of our 2026 annual meeting is more than 30 days before or after May 21, 2026, stockholder proposals must be delivered no later than the 10th day following the date that notice of the date or our annual meeting is mailed or the public disclosure of the date for such annual meeting, whichever is earlier. Any stockholder proposal must be, under law, an appropriate subject for stockholder action to be brought before the meeting. In addition, in order to present a stockholder proposal or nominate a director at our 2026 annual meeting, the stockholder must satisfy certain other requirements, including information requirements, set forth in our amended and restated bylaws. Stockholder proposals and director nominations should be directed to CompX International Inc., c/o Corporate Secretary, Three Lincoln Centre, 5430 LBJ Freeway, Suite 1700, Dallas, Texas 75240.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to satisfying the foregoing requirements under our amended and restated bylaws, stockholders who intend to solicit proxies in support of director nominees other than CompX’s nominees must provide us with the notice required under Rule 14a-19 under the Securities Exchange Act by the deadline for nominations under the advance notice provisions of our bylaws (that is, in most cases no later than January 21, 2026) and comply with the other requirements of that rule. </w:t>
      </w:r>
    </w:p>
    <w:p>
      <w:pPr>
        <w:pStyle w:val="TextBody"/>
        <w:bidi w:val="0"/>
        <w:spacing w:before="0" w:after="240"/>
        <w:ind w:left="0" w:right="0" w:firstLine="720"/>
        <w:jc w:val="left"/>
        <w:rPr>
          <w:rFonts w:ascii="Times New Roman;Times;serif" w:hAnsi="Times New Roman;Times;serif"/>
          <w:sz w:val="20"/>
        </w:rPr>
      </w:pPr>
      <w:bookmarkStart w:id="35" w:name="COMMUNICATIONSWITHDIRECTORS"/>
      <w:bookmarkEnd w:id="35"/>
      <w:r>
        <w:rPr>
          <w:rFonts w:ascii="Times New Roman;Times;serif" w:hAnsi="Times New Roman;Times;serif"/>
          <w:b/>
          <w:i/>
          <w:sz w:val="20"/>
        </w:rPr>
        <w:t>Communications with Directors</w:t>
      </w:r>
      <w:r>
        <w:rPr>
          <w:rFonts w:ascii="Times New Roman;Times;serif" w:hAnsi="Times New Roman;Times;serif"/>
          <w:sz w:val="20"/>
        </w:rPr>
        <w:t>. Stockholders and other interested parties who wish to communicate with the board of directors or its non-management or 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pStyle w:val="TextBody"/>
        <w:bidi w:val="0"/>
        <w:spacing w:before="0" w:after="240"/>
        <w:ind w:left="0" w:right="0" w:firstLine="720"/>
        <w:jc w:val="left"/>
        <w:rPr>
          <w:rFonts w:ascii="Times New Roman;Times;serif" w:hAnsi="Times New Roman;Times;serif"/>
          <w:sz w:val="20"/>
        </w:rPr>
      </w:pPr>
      <w:bookmarkStart w:id="36" w:name="COMPCOMMITTEEINTERLOCKS"/>
      <w:bookmarkEnd w:id="36"/>
      <w:r>
        <w:rPr>
          <w:rFonts w:ascii="Times New Roman;Times;serif" w:hAnsi="Times New Roman;Times;serif"/>
          <w:b/>
          <w:i/>
          <w:sz w:val="20"/>
        </w:rPr>
        <w:t>Compensation Committee Interlocks and Insider Participation</w:t>
      </w:r>
      <w:r>
        <w:rPr>
          <w:rFonts w:ascii="Times New Roman;Times;serif" w:hAnsi="Times New Roman;Times;serif"/>
          <w:sz w:val="20"/>
        </w:rPr>
        <w:t>. During 2024, Ann Manix, Thomas E. Barry and Terri L. Herrington served on the management development and compensation committee. No member of the committee:</w:t>
      </w:r>
    </w:p>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an officer or employee of ours during 2024 or any prior year;</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any related party relationships with us that requires disclosure under applicable SEC rules; or</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any interlock relationships under applicable SEC rules.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2024, no executive officer of ours had any interlock relationships within the scope of the intent of applicable SEC rules. However, during 2024 Michael S. Simmons was an executive officer of ours and on the board of directors of Contran when concurrently also serving as one of our directors.</w:t>
      </w:r>
    </w:p>
    <w:p>
      <w:pPr>
        <w:pStyle w:val="TextBody"/>
        <w:bidi w:val="0"/>
        <w:spacing w:before="0" w:after="0"/>
        <w:ind w:left="0" w:right="0" w:firstLine="720"/>
        <w:jc w:val="left"/>
        <w:rPr>
          <w:rFonts w:ascii="Times New Roman;Times;serif" w:hAnsi="Times New Roman;Times;serif"/>
          <w:sz w:val="20"/>
        </w:rPr>
      </w:pPr>
      <w:bookmarkStart w:id="37" w:name="CODEOFBUSINESSCONDUCTANDETHICS"/>
      <w:bookmarkEnd w:id="37"/>
      <w:r>
        <w:rPr>
          <w:rFonts w:ascii="Times New Roman;Times;serif" w:hAnsi="Times New Roman;Times;serif"/>
          <w:b/>
          <w:i/>
          <w:sz w:val="20"/>
        </w:rPr>
        <w:t>Code of Business Conduct and Ethics</w:t>
      </w:r>
      <w:r>
        <w:rPr>
          <w:rFonts w:ascii="Times New Roman;Times;serif" w:hAnsi="Times New Roman;Times;serif"/>
          <w:sz w:val="20"/>
        </w:rPr>
        <w:t xml:space="preserve">. We have adopted a code of business conduct and ethics. The code applies to all of our directors, officers 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for a director or executive officer. We intend to disclose changes to or waivers from the code by posting to our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website at </w:t>
      </w:r>
      <w:r>
        <w:rPr>
          <w:rFonts w:ascii="Times New Roman;Times;serif" w:hAnsi="Times New Roman;Times;serif"/>
          <w:b/>
          <w:i/>
          <w:sz w:val="20"/>
        </w:rPr>
        <w:t>www.compxinternational.com</w:t>
      </w:r>
      <w:r>
        <w:rPr>
          <w:rFonts w:ascii="Times New Roman;Times;serif" w:hAnsi="Times New Roman;Times;serif"/>
          <w:sz w:val="20"/>
        </w:rPr>
        <w:t xml:space="preserve"> (under the governance section) if disclosure is required by SEC or NYSE American rules.</w:t>
      </w:r>
    </w:p>
    <w:p>
      <w:pPr>
        <w:pStyle w:val="TextBody"/>
        <w:bidi w:val="0"/>
        <w:spacing w:before="0" w:after="240"/>
        <w:ind w:left="0" w:right="0" w:firstLine="720"/>
        <w:jc w:val="left"/>
        <w:rPr>
          <w:rFonts w:ascii="Times New Roman;Times;serif" w:hAnsi="Times New Roman;Times;serif"/>
          <w:sz w:val="20"/>
        </w:rPr>
      </w:pPr>
      <w:bookmarkStart w:id="38" w:name="CORPORATEGOVERNANCEGUIDELINES"/>
      <w:bookmarkEnd w:id="38"/>
      <w:r>
        <w:rPr>
          <w:rFonts w:ascii="Times New Roman;Times;serif" w:hAnsi="Times New Roman;Times;serif"/>
          <w:b/>
          <w:i/>
          <w:sz w:val="20"/>
        </w:rPr>
        <w:t>Corporate Governance Guidelines</w:t>
      </w:r>
      <w:r>
        <w:rPr>
          <w:rFonts w:ascii="Times New Roman;Times;serif" w:hAnsi="Times New Roman;Times;serif"/>
          <w:sz w:val="20"/>
        </w:rPr>
        <w:t>. We have adopted corporate governance guidelines to assist the board of directors in exercising its responsibilities. Among other things, the corporate governance guidelines provide for director qualifications, for independence standards and responsibilities, for approval procedures for ISAs and that our audit committee chairman preside at all meetings of the non-management or independent directors.</w:t>
      </w:r>
    </w:p>
    <w:p>
      <w:pPr>
        <w:pStyle w:val="TextBody"/>
        <w:bidi w:val="0"/>
        <w:spacing w:before="0" w:after="240"/>
        <w:ind w:left="0" w:right="0" w:firstLine="720"/>
        <w:jc w:val="left"/>
        <w:rPr>
          <w:rFonts w:ascii="Times New Roman;Times;serif" w:hAnsi="Times New Roman;Times;serif"/>
          <w:sz w:val="20"/>
        </w:rPr>
      </w:pPr>
      <w:bookmarkStart w:id="39" w:name="AVAILABILITYOFCORPORATEGOVERNDOCUMENTS"/>
      <w:bookmarkEnd w:id="39"/>
      <w:r>
        <w:rPr>
          <w:rFonts w:ascii="Times New Roman;Times;serif" w:hAnsi="Times New Roman;Times;serif"/>
          <w:b/>
          <w:i/>
          <w:sz w:val="20"/>
        </w:rPr>
        <w:t>Availability of Corporate Governance Documents</w:t>
      </w:r>
      <w:r>
        <w:rPr>
          <w:rFonts w:ascii="Times New Roman;Times;serif" w:hAnsi="Times New Roman;Times;serif"/>
          <w:sz w:val="20"/>
        </w:rPr>
        <w:t xml:space="preserve">. A copy of each of our audit committee charter, code of business conduct and ethics and corporate governance guidelines is available on our website at </w:t>
      </w:r>
      <w:r>
        <w:rPr>
          <w:rFonts w:ascii="Times New Roman;Times;serif" w:hAnsi="Times New Roman;Times;serif"/>
          <w:b/>
          <w:i/>
          <w:sz w:val="20"/>
        </w:rPr>
        <w:t>www.compxinternational.com</w:t>
      </w:r>
      <w:r>
        <w:rPr>
          <w:rFonts w:ascii="Times New Roman;Times;serif" w:hAnsi="Times New Roman;Times;serif"/>
          <w:sz w:val="20"/>
        </w:rPr>
        <w:t xml:space="preserve"> under the governance section.</w:t>
      </w:r>
    </w:p>
    <w:p>
      <w:pPr>
        <w:pStyle w:val="TextBody"/>
        <w:bidi w:val="0"/>
        <w:spacing w:before="0" w:after="240"/>
        <w:ind w:left="0" w:right="0" w:firstLine="720"/>
        <w:jc w:val="left"/>
        <w:rPr>
          <w:rFonts w:ascii="Times New Roman;Times;serif" w:hAnsi="Times New Roman;Times;serif"/>
          <w:sz w:val="20"/>
        </w:rPr>
      </w:pPr>
      <w:bookmarkStart w:id="40" w:name="InsiderTradingPolicy"/>
      <w:bookmarkEnd w:id="40"/>
      <w:r>
        <w:rPr>
          <w:rFonts w:ascii="Times New Roman;Times;serif" w:hAnsi="Times New Roman;Times;serif"/>
          <w:b/>
          <w:i/>
          <w:sz w:val="20"/>
        </w:rPr>
        <w:t>Insider Trading Policy</w:t>
      </w:r>
      <w:r>
        <w:rPr>
          <w:rFonts w:ascii="Times New Roman;Times;serif" w:hAnsi="Times New Roman;Times;serif"/>
          <w:sz w:val="20"/>
        </w:rPr>
        <w:t>. We have adopted an insider trading policy governing the purchase, sale, and other transactions involving our securities by our directors, officers and employees. A copy of our insider trading policy is filed as Exhibit 19.1 to our Annual Report on Form 10-K for the fiscal year ended December 31, 2024. In addition, with regard to CompX’s trading in its own securities, it is our policy to comply with the federal securities laws and the applicable exchange listing requirements.</w:t>
      </w:r>
    </w:p>
    <w:p>
      <w:pPr>
        <w:pStyle w:val="TextBody"/>
        <w:bidi w:val="0"/>
        <w:spacing w:before="0" w:after="0"/>
        <w:ind w:left="0" w:right="0" w:firstLine="720"/>
        <w:jc w:val="left"/>
        <w:rPr>
          <w:rFonts w:ascii="Times New Roman;Times;serif" w:hAnsi="Times New Roman;Times;serif"/>
          <w:sz w:val="20"/>
        </w:rPr>
      </w:pPr>
      <w:bookmarkStart w:id="41" w:name="EMPLOYEEOFFICERANDDIRECTORHEDGING"/>
      <w:bookmarkEnd w:id="41"/>
      <w:r>
        <w:rPr>
          <w:rFonts w:ascii="Times New Roman;Times;serif" w:hAnsi="Times New Roman;Times;serif"/>
          <w:b/>
          <w:i/>
          <w:sz w:val="20"/>
        </w:rPr>
        <w:t>Employee, Officer and Director Hedging</w:t>
      </w:r>
      <w:r>
        <w:rPr>
          <w:rFonts w:ascii="Times New Roman;Times;serif" w:hAnsi="Times New Roman;Times;serif"/>
          <w:sz w:val="20"/>
        </w:rPr>
        <w:t>. We have not adopted any policies or practices regarding hedging of our equity securities by our employees (including officers) or directors. However, our employees (including officers) and directors must comply with our insider trading policy, which applies to hedging transactions involving our securities as it does to transactions in our securities generally.</w:t>
      </w:r>
    </w:p>
    <w:p>
      <w:pPr>
        <w:pStyle w:val="TextBody"/>
        <w:bidi w:val="0"/>
        <w:spacing w:before="0" w:after="120"/>
        <w:ind w:left="0" w:right="0" w:hanging="0"/>
        <w:jc w:val="left"/>
        <w:rPr/>
      </w:pPr>
      <w:r>
        <w:rPr/>
        <w:t>​</w:t>
      </w:r>
    </w:p>
    <w:p>
      <w:pPr>
        <w:pStyle w:val="TextBody"/>
        <w:bidi w:val="0"/>
        <w:spacing w:before="0" w:after="0"/>
        <w:ind w:left="0" w:right="0" w:hanging="0"/>
        <w:jc w:val="center"/>
        <w:rPr/>
      </w:pPr>
      <w:bookmarkStart w:id="42" w:name="_95371dc7_6577_465c_ad03_29c977257999"/>
      <w:bookmarkEnd w:id="42"/>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COMPENSATIONOFEXECUTIVEOFFICERSANDDIRECT"/>
      <w:bookmarkEnd w:id="43"/>
      <w:r>
        <w:rPr>
          <w:rFonts w:ascii="Times New Roman;Times;serif" w:hAnsi="Times New Roman;Times;serif"/>
          <w:b/>
          <w:sz w:val="20"/>
        </w:rPr>
        <w:t>COMPENSATION OF EXECUTIVE OFFICERS AND DIRECTORS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 OTHER INFORMATION</w:t>
      </w:r>
    </w:p>
    <w:p>
      <w:pPr>
        <w:pStyle w:val="TextBody"/>
        <w:bidi w:val="0"/>
        <w:spacing w:before="0" w:after="240"/>
        <w:ind w:left="0" w:right="0" w:firstLine="720"/>
        <w:jc w:val="left"/>
        <w:rPr>
          <w:rFonts w:ascii="Times New Roman;Times;serif" w:hAnsi="Times New Roman;Times;serif"/>
          <w:sz w:val="20"/>
        </w:rPr>
      </w:pPr>
      <w:bookmarkStart w:id="44" w:name="COMPENSATIONDISCUSSIONANDANALYSIS"/>
      <w:bookmarkEnd w:id="44"/>
      <w:r>
        <w:rPr>
          <w:rFonts w:ascii="Times New Roman;Times;serif" w:hAnsi="Times New Roman;Times;serif"/>
          <w:b/>
          <w:i/>
          <w:sz w:val="20"/>
        </w:rPr>
        <w:t>Compensation Discussion and Analysis</w:t>
      </w:r>
      <w:r>
        <w:rPr>
          <w:rFonts w:ascii="Times New Roman;Times;serif" w:hAnsi="Times New Roman;Times;serif"/>
          <w:sz w:val="20"/>
        </w:rPr>
        <w:t>. This compensation discussion and analysis describes the key principles and factors underlying our executive compensation policies for our named executive officers. In 2024, we employed one of our named executive officers. Contran employed and directly compensated our four other named executive officers who provided their services to us in 2024 under our ISA with Contran.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defined in the Glossary of Terms at the beginning of this proxy statement, the phrase “named executive officers” refers to the five persons whose compensation is summarized in the 2024 Summary Compensation Table in this proxy statement. Such phrase is not intended to refer, and does not refer, to all of our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Nonbinding Advisory Stockholder Vote on Executive Officer Compensation</w:t>
      </w:r>
      <w:r>
        <w:rPr>
          <w:rFonts w:ascii="Times New Roman;Times;serif" w:hAnsi="Times New Roman;Times;serif"/>
          <w:sz w:val="20"/>
        </w:rPr>
        <w:t>. For the 2024 annual meeting of stockholders, we submitted a nonbinding advisory proposal recommending the stockholders adopt a resolution approving the compensation of our named executive officers as disclosed in the 2024 proxy statement. At the annual meeting, the resolution received the affirmative vote of 90.3</w:t>
      </w:r>
      <w:r>
        <w:rPr>
          <w:rFonts w:ascii="Times New Roman;Times;serif" w:hAnsi="Times New Roman;Times;serif"/>
          <w:spacing w:val="-3"/>
          <w:sz w:val="20"/>
        </w:rPr>
        <w:t xml:space="preserve">% </w:t>
      </w:r>
      <w:r>
        <w:rPr>
          <w:rFonts w:ascii="Times New Roman;Times;serif" w:hAnsi="Times New Roman;Times;serif"/>
          <w:sz w:val="20"/>
        </w:rPr>
        <w:t>of the eligible votes. We considered the favorable result and determined not to make any material changes to our compensation practices.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Compensation of our Named Executive Officer Employed by Us</w:t>
      </w:r>
      <w:r>
        <w:rPr>
          <w:rFonts w:ascii="Times New Roman;Times;serif" w:hAnsi="Times New Roman;Times;serif"/>
          <w:sz w:val="20"/>
        </w:rPr>
        <w:t xml:space="preserve">. We have one named executive officer employed by us. Scott C. James is our president and chief executive officer and was an executive officer and employed by us for all of the last three years. </w:t>
      </w:r>
    </w:p>
    <w:p>
      <w:pPr>
        <w:pStyle w:val="TextBody"/>
        <w:bidi w:val="0"/>
        <w:spacing w:before="0" w:after="240"/>
        <w:ind w:left="0" w:right="0" w:firstLine="720"/>
        <w:jc w:val="left"/>
        <w:rPr>
          <w:rFonts w:ascii="Times New Roman;Times;serif" w:hAnsi="Times New Roman;Times;serif"/>
          <w:sz w:val="20"/>
        </w:rPr>
      </w:pPr>
      <w:bookmarkStart w:id="45" w:name="OVERVIEW"/>
      <w:bookmarkEnd w:id="45"/>
      <w:r>
        <w:rPr>
          <w:rFonts w:ascii="Times New Roman;Times;serif" w:hAnsi="Times New Roman;Times;serif"/>
          <w:b/>
          <w:sz w:val="20"/>
        </w:rPr>
        <w:t>Overview</w:t>
      </w:r>
      <w:r>
        <w:rPr>
          <w:rFonts w:ascii="Times New Roman;Times;serif" w:hAnsi="Times New Roman;Times;serif"/>
          <w:sz w:val="20"/>
        </w:rPr>
        <w:t>. Prior to 2022, we decided to forgo long-term compensation (other than defined contribution plans that 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total individual compensation package that is easy to understand;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encourage them to maximize long-term stockholder value;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 balanced compensation package that would attract and retain highly qualified senior officers and appropriately reflect each such officer’s individual performance, contributions and general market value.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pStyle w:val="TextBody"/>
        <w:bidi w:val="0"/>
        <w:spacing w:before="0" w:after="240"/>
        <w:ind w:left="0" w:right="0" w:firstLine="720"/>
        <w:jc w:val="left"/>
        <w:rPr>
          <w:rFonts w:ascii="Times New Roman;Times;serif" w:hAnsi="Times New Roman;Times;serif"/>
          <w:sz w:val="20"/>
        </w:rPr>
      </w:pPr>
      <w:bookmarkStart w:id="46" w:name="BASESALARY"/>
      <w:bookmarkEnd w:id="46"/>
      <w:r>
        <w:rPr>
          <w:rFonts w:ascii="Times New Roman;Times;serif" w:hAnsi="Times New Roman;Times;serif"/>
          <w:sz w:val="20"/>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Base Salary</w:t>
      </w:r>
      <w:r>
        <w:rPr>
          <w:rFonts w:ascii="Times New Roman;Times;serif" w:hAnsi="Times New Roman;Times;serif"/>
          <w:sz w:val="20"/>
        </w:rPr>
        <w:t>. We have established Mr. James’ annual base salary based on his responsibility and experience. We pay this portion of his compensation to provide Mr. James with a reliable amount of compensation for the year, subject to his continued at-will employment and satisfactory performance for his services at the level of his responsibilities.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our vice chairman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2024 Summary Compensation Table in this proxy statement for each of the last three years.</w:t>
      </w:r>
    </w:p>
    <w:p>
      <w:pPr>
        <w:pStyle w:val="TextBody"/>
        <w:bidi w:val="0"/>
        <w:spacing w:before="0" w:after="240"/>
        <w:ind w:left="0" w:right="0" w:firstLine="720"/>
        <w:jc w:val="left"/>
        <w:rPr>
          <w:rFonts w:ascii="Times New Roman;Times;serif" w:hAnsi="Times New Roman;Times;serif"/>
          <w:sz w:val="20"/>
        </w:rPr>
      </w:pPr>
      <w:bookmarkStart w:id="47" w:name="ANNUALINCENTIVEBONUS"/>
      <w:bookmarkEnd w:id="47"/>
      <w:r>
        <w:rPr>
          <w:rFonts w:ascii="Times New Roman;Times;serif" w:hAnsi="Times New Roman;Times;serif"/>
          <w:b/>
          <w:sz w:val="20"/>
        </w:rPr>
        <w:t>Annual Incentive Bonus</w:t>
      </w:r>
      <w:r>
        <w:rPr>
          <w:rFonts w:ascii="Times New Roman;Times;serif" w:hAnsi="Times New Roman;Times;serif"/>
          <w:i/>
          <w:sz w:val="20"/>
        </w:rPr>
        <w:t xml:space="preserve">. </w:t>
      </w:r>
      <w:r>
        <w:rPr>
          <w:rFonts w:ascii="Times New Roman;Times;serif" w:hAnsi="Times New Roman;Times;serif"/>
          <w:sz w:val="20"/>
        </w:rPr>
        <w:t xml:space="preserve">We pay a discretionary incentive bonus annually in cash to Mr. James to motivate him to achieve higher levels of 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our vice chairman of the board and upon the determinations of our management development and compensation committee, which may take such action, including modifications to the recommendation, as it deems appropriate.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tbl>
      <w:tblPr>
        <w:tblW w:w="5478" w:type="dxa"/>
        <w:jc w:val="left"/>
        <w:tblInd w:w="0" w:type="dxa"/>
        <w:tblLayout w:type="fixed"/>
        <w:tblCellMar>
          <w:top w:w="0" w:type="dxa"/>
          <w:left w:w="0" w:type="dxa"/>
          <w:bottom w:w="0" w:type="dxa"/>
          <w:right w:w="0" w:type="dxa"/>
        </w:tblCellMar>
      </w:tblPr>
      <w:tblGrid>
        <w:gridCol w:w="1951"/>
        <w:gridCol w:w="326"/>
        <w:gridCol w:w="721"/>
        <w:gridCol w:w="361"/>
        <w:gridCol w:w="721"/>
        <w:gridCol w:w="361"/>
        <w:gridCol w:w="721"/>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38885" cy="175260"/>
                      <wp:effectExtent l="0" t="0" r="0" b="0"/>
                      <wp:wrapNone/>
                      <wp:docPr id="37" name="Frame3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38"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57835" cy="175260"/>
                      <wp:effectExtent l="0" t="0" r="0" b="0"/>
                      <wp:wrapNone/>
                      <wp:docPr id="39" name="Frame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9235" cy="175260"/>
                      <wp:effectExtent l="0" t="0" r="0" b="0"/>
                      <wp:wrapNone/>
                      <wp:docPr id="40" name="Frame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57835" cy="175260"/>
                      <wp:effectExtent l="0" t="0" r="0" b="0"/>
                      <wp:wrapNone/>
                      <wp:docPr id="41" name="Frame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9235" cy="175260"/>
                      <wp:effectExtent l="0" t="0" r="0" b="0"/>
                      <wp:wrapNone/>
                      <wp:docPr id="42" name="Frame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57835" cy="175260"/>
                      <wp:effectExtent l="0" t="0" r="0" b="0"/>
                      <wp:wrapNone/>
                      <wp:docPr id="43" name="Frame3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0660" cy="175260"/>
                      <wp:effectExtent l="0" t="0" r="0" b="0"/>
                      <wp:wrapNone/>
                      <wp:docPr id="44" name="Frame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Discretionary Incentive Bonuses as a </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Base Salary</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Named Executive Officer</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 (1)</w:t>
            </w:r>
          </w:p>
        </w:tc>
        <w:tc>
          <w:tcPr>
            <w:tcW w:w="361"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(1)</w:t>
            </w:r>
          </w:p>
        </w:tc>
        <w:tc>
          <w:tcPr>
            <w:tcW w:w="361"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(1)</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bonuses were approved by our management development and compensation committee in the first quarter of the following year, and such bonuses were paid in such following year for performance in the reported year.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2024 discretionary incentive bonus for Mr. James recognized, among other things, consistent strong cash flow generation which enabled CompX to return a $2.00 per share special dividend in August 2024 and solid operating performance despite the continued softened demand in Marine Components. The 2023 discretionary incentive bonus for Mr. James recognized, among other things, CompX’s overall strong operating performance despite softening demand in our marine components segment, and our operating cash flow generation. The 2022 discretionary incentive bonus for Mr. James recognized, among other things, substantial growth in sales and operating income in 2022 in both of our segments as compared to 2021 and the success in scaling up our marine components segment. These discretionary incentive bonuses are disclosed in the bonus column in the 2024 Summary Compensation Table in this proxy statement.</w:t>
      </w:r>
    </w:p>
    <w:p>
      <w:pPr>
        <w:pStyle w:val="TextBody"/>
        <w:bidi w:val="0"/>
        <w:spacing w:before="0" w:after="240"/>
        <w:ind w:left="0" w:right="0" w:firstLine="720"/>
        <w:jc w:val="left"/>
        <w:rPr>
          <w:rFonts w:ascii="Times New Roman;Times;serif" w:hAnsi="Times New Roman;Times;serif"/>
          <w:sz w:val="20"/>
        </w:rPr>
      </w:pPr>
      <w:bookmarkStart w:id="48" w:name="DEFINEDCONTRIBUTIONPLANS"/>
      <w:bookmarkEnd w:id="48"/>
      <w:r>
        <w:rPr>
          <w:rFonts w:ascii="Times New Roman;Times;serif" w:hAnsi="Times New Roman;Times;serif"/>
          <w:b/>
          <w:sz w:val="20"/>
        </w:rPr>
        <w:t>Defined Contribution Plans</w:t>
      </w:r>
      <w:r>
        <w:rPr>
          <w:rFonts w:ascii="Times New Roman;Times;serif" w:hAnsi="Times New Roman;Times;serif"/>
          <w:sz w:val="20"/>
        </w:rPr>
        <w:t>. We pay discretionary annual contributions to the CompX Capital Accumulation Plan, a profit sharing defined 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pStyle w:val="Normal"/>
        <w:bidi w:val="0"/>
        <w:spacing w:before="0" w:after="0"/>
        <w:jc w:val="left"/>
        <w:rPr>
          <w:sz w:val="4"/>
          <w:szCs w:val="4"/>
        </w:rPr>
      </w:pPr>
      <w:r>
        <w:rPr>
          <w:sz w:val="4"/>
          <w:szCs w:val="4"/>
        </w:rPr>
      </w:r>
      <w:bookmarkStart w:id="49" w:name="_Hlk63272606"/>
      <w:bookmarkStart w:id="50" w:name="_Hlk63272606"/>
      <w:bookmarkEnd w:id="5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CompX Capital Accumulation Profit Sharing Plan, for each of the last three plan years, 7.25% of that year’s profit before taxes of the designated operations group (which for each of such years was our combined security products and marine components segments), subject to certain adjustments;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our 401(k) plan for each of the last three plan years, a matching contribution of 100% of the participants’ contributions, up to 6% of their eligible earnings (with such matching contribution being fully discretionary).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James received such contributions for each of the last three years. These contributions are included in his all other compensation column in the 2024 Summary Compensation Table in this proxy statement.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Compensation of our Named Executive Officers Employed by Contran</w:t>
      </w:r>
      <w:r>
        <w:rPr>
          <w:rFonts w:ascii="Times New Roman;Times;serif" w:hAnsi="Times New Roman;Times;serif"/>
          <w:sz w:val="20"/>
        </w:rPr>
        <w:t>.  For each of the last three years, certain of our named executive officers were employed by Contran and provided their services to us pursuant to our ISA with Contran. Our named executive officers who provided services to us pursuant to our ISA with Contran are as follows:</w:t>
      </w:r>
    </w:p>
    <w:p>
      <w:pPr>
        <w:pStyle w:val="TextBody"/>
        <w:bidi w:val="0"/>
        <w:spacing w:before="0" w:after="0"/>
        <w:ind w:left="0" w:right="0" w:hanging="0"/>
        <w:jc w:val="left"/>
        <w:rPr/>
      </w:pPr>
      <w:r>
        <w:rPr/>
        <w:t>​</w:t>
      </w:r>
    </w:p>
    <w:tbl>
      <w:tblPr>
        <w:tblW w:w="6553" w:type="dxa"/>
        <w:jc w:val="left"/>
        <w:tblInd w:w="0" w:type="dxa"/>
        <w:tblLayout w:type="fixed"/>
        <w:tblCellMar>
          <w:top w:w="0" w:type="dxa"/>
          <w:left w:w="0" w:type="dxa"/>
          <w:bottom w:w="0" w:type="dxa"/>
          <w:right w:w="0" w:type="dxa"/>
        </w:tblCellMar>
      </w:tblPr>
      <w:tblGrid>
        <w:gridCol w:w="1786"/>
        <w:gridCol w:w="326"/>
        <w:gridCol w:w="444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34110" cy="175260"/>
                      <wp:effectExtent l="0" t="0" r="0" b="0"/>
                      <wp:wrapNone/>
                      <wp:docPr id="45" name="Frame41"/>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820035" cy="175260"/>
                      <wp:effectExtent l="0" t="0" r="0" b="0"/>
                      <wp:wrapNone/>
                      <wp:docPr id="46" name="Frame42"/>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0"/>
              <w:ind w:left="0" w:right="0" w:hanging="0"/>
              <w:jc w:val="left"/>
              <w:rPr/>
            </w:pPr>
            <w:r>
              <w:rPr/>
              <w:t>    </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Positions with CompX</w:t>
            </w:r>
          </w:p>
        </w:tc>
      </w:tr>
      <w:tr>
        <w:trPr/>
        <w:tc>
          <w:tcPr>
            <w:tcW w:w="1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 W. Reichert</w: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Internal Audit</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nature of the duties of each of our named executive officers who are employees of Contran is consistent with the duties normally associated with the officer titles and positions such officer holds with us.</w:t>
      </w:r>
    </w:p>
    <w:p>
      <w:pPr>
        <w:pStyle w:val="TextBody"/>
        <w:bidi w:val="0"/>
        <w:spacing w:before="0" w:after="240"/>
        <w:ind w:left="0" w:right="0" w:firstLine="720"/>
        <w:jc w:val="left"/>
        <w:rPr>
          <w:rFonts w:ascii="Times New Roman;Times;serif" w:hAnsi="Times New Roman;Times;serif"/>
          <w:sz w:val="20"/>
        </w:rPr>
      </w:pPr>
      <w:bookmarkStart w:id="51" w:name="ISAWITHCONTRAN"/>
      <w:bookmarkEnd w:id="51"/>
      <w:r>
        <w:rPr>
          <w:rFonts w:ascii="Times New Roman;Times;serif" w:hAnsi="Times New Roman;Times;serif"/>
          <w:b/>
          <w:sz w:val="20"/>
        </w:rPr>
        <w:t>Intercorporate Services Agreement with Contran</w:t>
      </w:r>
      <w:r>
        <w:rPr>
          <w:rFonts w:ascii="Times New Roman;Times;serif" w:hAnsi="Times New Roman;Times;serif"/>
          <w:sz w:val="20"/>
        </w:rPr>
        <w:t>. We pay Contran a fee for services provided pursuant to our ISA with 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2024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2024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annualized base salary of such employee at the beginning of the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Contran’s portion of the social security and medicare taxes on such base salary and an estimated overhead amount applied to the base salary for the cost of medical and life insurance benefits, unemployment taxes, disability insurance, defined benefit and defined contribution plan benefits, professional education and </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and costs of providing an office, equipment and supplies related to providing such services. The estimated overhead amount for each employee is determined using a headcount-based methodology and is the same amount for each individual providing services under the ISA.</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Contran’s senior management subsequently make such adjustments to the details of the proposed ISA charge as they deem necessary for accuracy, overall reasonableness and fairness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first quarter of each year reported in the 2024 Summary Compensation Table,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of the services Contran provides to us, including the quality of the services certain of our executive officers provide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comparison of the ISA charge and number of full-time equivalent employees reflected in the charge by department for the prior year and proposed for the current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comparison of the prior year and proposed current year charges by department and in total and such amounts as a percentage of Contran’s similarly calculated costs for its departments and in total for those years;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comparison of the prior year and proposed current year average hourly rate; and</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concurrence of our chief financial officer as to the reasonableness of the proposed charge.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employ the additional personnel necessary to provide the quality of the services provided by Contran would exceed the proposed aggregate fee to be charged by Contran to us under our ISA with Contran;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for such services would be no less favorable than could otherwise be obtained from an unrelated third party for comparable services.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reaching its recommendation, our management development and compensation committee did not review: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ISA charge from Contran to any other publicly held parent or sister company, although such charge was separately reviewed by the management development and compensation committee of the applicable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policies of Contran or the amount of time our named executive officers employed by Contran are expected to devote to us because: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employed by Contran provides services to multiple companies related to Contran, including Contran itself, and the percentage of time devoted to each company by such named executive officers varies;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 we pay to Contran under our ISA with Contran each year does not represent all of Contran’s cost of employing each of such named executive officers;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Contran and these other companies related to Contran absorb the remaining amount of Contran’s cost of employing each of such named executive officers; and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recommendation of our management development and compensation committee as well as the concurrence of our chief financial officer, our independent directors approved the proposed annual ISA charge effective January 1, 2024, with our other directors abstaining.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2022, 2023 and 2024 the ISA did not include, and in 2025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No Director Fees or Equity-Based Compensation for Executive Officers.  </w:t>
      </w:r>
      <w:r>
        <w:rPr>
          <w:rFonts w:ascii="Times New Roman;Times;serif" w:hAnsi="Times New Roman;Times;serif"/>
          <w:sz w:val="20"/>
        </w:rPr>
        <w:t xml:space="preserve">Our executive officers, including our named executive officers, are not eligible to receive cash or equity-based compensation for their service on our board of directors. For the years reflected in the 2024 Summary Compensation Table, we did not pay any compensation to Mr. James or Mr. Simmons for their service as one of our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2022,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2025, other than the annual grants of stock to our directors who are not employees of Contran or one of its subsidiaries or affiliates.</w:t>
      </w:r>
    </w:p>
    <w:p>
      <w:pPr>
        <w:pStyle w:val="TextBody"/>
        <w:bidi w:val="0"/>
        <w:spacing w:before="0" w:after="240"/>
        <w:ind w:left="0" w:right="0" w:firstLine="720"/>
        <w:jc w:val="left"/>
        <w:rPr>
          <w:rFonts w:ascii="Times New Roman;Times;serif" w:hAnsi="Times New Roman;Times;serif"/>
          <w:sz w:val="20"/>
        </w:rPr>
      </w:pPr>
      <w:bookmarkStart w:id="52" w:name="COMPENSATIONCOMMITTEEREPORT"/>
      <w:bookmarkEnd w:id="52"/>
      <w:r>
        <w:rPr>
          <w:rFonts w:ascii="Times New Roman;Times;serif" w:hAnsi="Times New Roman;Times;serif"/>
          <w:b/>
          <w:i/>
          <w:sz w:val="20"/>
        </w:rPr>
        <w:t>Compensation Committee Report</w:t>
      </w:r>
      <w:r>
        <w:rPr>
          <w:rFonts w:ascii="Times New Roman;Times;serif" w:hAnsi="Times New Roman;Times;serif"/>
          <w:sz w:val="20"/>
        </w:rPr>
        <w:t>. The management development and compensation committee has reviewed with management the Compensation Discussion and Analysis section in this proxy statement. Based on the committee’s review and a discussion with management, the committee recommended to the board of directors that our compensation discussion and analysis be included in this proxy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members of our management development and compensation committee submit the foregoing report as of March 5,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99"/>
        <w:gridCol w:w="1007"/>
        <w:gridCol w:w="1783"/>
        <w:gridCol w:w="1588"/>
        <w:gridCol w:w="2412"/>
        <w:gridCol w:w="959"/>
        <w:gridCol w:w="157"/>
      </w:tblGrid>
      <w:tr>
        <w:trPr/>
        <w:tc>
          <w:tcPr>
            <w:tcW w:w="2299"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pPr>
            <w:r>
              <w:rPr/>
              <w:t>​</w:t>
            </w:r>
          </w:p>
        </w:tc>
        <w:tc>
          <w:tcPr>
            <w:tcW w:w="4000" w:type="dxa"/>
            <w:gridSpan w:val="2"/>
            <w:tcBorders/>
            <w:vAlign w:val="center"/>
          </w:tcPr>
          <w:p>
            <w:pPr>
              <w:pStyle w:val="TableContents"/>
              <w:bidi w:val="0"/>
              <w:spacing w:before="0" w:after="0"/>
              <w:ind w:left="0" w:right="0" w:hanging="0"/>
              <w:jc w:val="left"/>
              <w:rPr/>
            </w:pPr>
            <w:r>
              <w:rPr/>
              <w:t>​</w:t>
            </w:r>
          </w:p>
        </w:tc>
        <w:tc>
          <w:tcPr>
            <w:tcW w:w="1116" w:type="dxa"/>
            <w:gridSpan w:val="2"/>
            <w:tcBorders/>
            <w:vAlign w:val="center"/>
          </w:tcPr>
          <w:p>
            <w:pPr>
              <w:pStyle w:val="TableContents"/>
              <w:bidi w:val="0"/>
              <w:spacing w:before="0" w:after="0"/>
              <w:ind w:left="0" w:right="0" w:hanging="0"/>
              <w:jc w:val="left"/>
              <w:rPr/>
            </w:pPr>
            <w:r>
              <w:rPr/>
              <w:t>​</w:t>
            </w:r>
          </w:p>
        </w:tc>
      </w:tr>
      <w:tr>
        <w:trPr/>
        <w:tc>
          <w:tcPr>
            <w:tcW w:w="330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 Manix</w:t>
            </w:r>
          </w:p>
        </w:tc>
        <w:tc>
          <w:tcPr>
            <w:tcW w:w="337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Thomas E. Barry</w:t>
            </w:r>
          </w:p>
        </w:tc>
        <w:tc>
          <w:tcPr>
            <w:tcW w:w="337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Terri L. Herrington</w:t>
            </w:r>
          </w:p>
        </w:tc>
        <w:tc>
          <w:tcPr>
            <w:tcW w:w="157" w:type="dxa"/>
            <w:tcBorders/>
            <w:vAlign w:val="center"/>
          </w:tcPr>
          <w:p>
            <w:pPr>
              <w:pStyle w:val="TableContents"/>
              <w:bidi w:val="0"/>
              <w:spacing w:before="0" w:after="0"/>
              <w:ind w:left="0" w:right="0" w:hanging="0"/>
              <w:jc w:val="left"/>
              <w:rPr/>
            </w:pPr>
            <w:r>
              <w:rPr/>
              <w:t>​</w:t>
            </w:r>
          </w:p>
        </w:tc>
      </w:tr>
      <w:tr>
        <w:trPr/>
        <w:tc>
          <w:tcPr>
            <w:tcW w:w="3306"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Chair of our Management Development and Compensation Committee</w:t>
            </w:r>
          </w:p>
        </w:tc>
        <w:tc>
          <w:tcPr>
            <w:tcW w:w="3371"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Member of our Management Development and Compensation Committee</w:t>
            </w:r>
          </w:p>
        </w:tc>
        <w:tc>
          <w:tcPr>
            <w:tcW w:w="3371"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Member of our Management Development and Compensation Committee</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53" w:name="SUMMARYOFCASHANDOTHERCOMP"/>
      <w:bookmarkEnd w:id="53"/>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Summary of Cash and Certain Other Compensation of Executive Officers</w:t>
      </w:r>
      <w:r>
        <w:rPr>
          <w:rFonts w:ascii="Times New Roman;Times;serif" w:hAnsi="Times New Roman;Times;serif"/>
          <w:sz w:val="20"/>
        </w:rPr>
        <w:t>. The 2024 Summary Compensation Table below provides information concerning compensation we and our subsidiaries paid or accrued for services rendered during the last three years by our chief executive officer, our chief financial officer, and each of the three other most highly compensated individuals (based on ISA charges to us) who were our executive officers at December 31, 2024. Other than Mr. James, all of our named executive officers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2024 Summary Compensation </w:t>
      </w:r>
      <w:r>
        <w:rPr>
          <w:rFonts w:ascii="Times New Roman;Times;serif" w:hAnsi="Times New Roman;Times;serif"/>
          <w:sz w:val="20"/>
        </w:rPr>
        <w:t>(1)</w:t>
      </w:r>
    </w:p>
    <w:p>
      <w:pPr>
        <w:pStyle w:val="TextBody"/>
        <w:bidi w:val="0"/>
        <w:spacing w:before="0" w:after="0"/>
        <w:ind w:left="0" w:right="0" w:hanging="0"/>
        <w:jc w:val="left"/>
        <w:rPr/>
      </w:pPr>
      <w:r>
        <w:rPr/>
        <w:t>​</w:t>
      </w:r>
    </w:p>
    <w:tbl>
      <w:tblPr>
        <w:tblW w:w="9611" w:type="dxa"/>
        <w:jc w:val="left"/>
        <w:tblInd w:w="0" w:type="dxa"/>
        <w:tblLayout w:type="fixed"/>
        <w:tblCellMar>
          <w:top w:w="0" w:type="dxa"/>
          <w:left w:w="0" w:type="dxa"/>
          <w:bottom w:w="0" w:type="dxa"/>
          <w:right w:w="0" w:type="dxa"/>
        </w:tblCellMar>
      </w:tblPr>
      <w:tblGrid>
        <w:gridCol w:w="2146"/>
        <w:gridCol w:w="326"/>
        <w:gridCol w:w="526"/>
        <w:gridCol w:w="326"/>
        <w:gridCol w:w="211"/>
        <w:gridCol w:w="781"/>
        <w:gridCol w:w="331"/>
        <w:gridCol w:w="211"/>
        <w:gridCol w:w="781"/>
        <w:gridCol w:w="326"/>
        <w:gridCol w:w="272"/>
        <w:gridCol w:w="389"/>
        <w:gridCol w:w="326"/>
        <w:gridCol w:w="271"/>
        <w:gridCol w:w="870"/>
        <w:gridCol w:w="331"/>
        <w:gridCol w:w="211"/>
        <w:gridCol w:w="976"/>
      </w:tblGrid>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and Principal</w:t>
            </w:r>
          </w:p>
        </w:tc>
        <w:tc>
          <w:tcPr>
            <w:tcW w:w="32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31"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3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26" w:type="dxa"/>
            <w:tcBorders/>
            <w:vAlign w:val="center"/>
          </w:tcPr>
          <w:p>
            <w:pPr>
              <w:pStyle w:val="TableContents"/>
              <w:bidi w:val="0"/>
              <w:spacing w:before="0" w:after="0"/>
              <w:ind w:left="0" w:right="0" w:hanging="0"/>
              <w:jc w:val="left"/>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31"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Vice Chairman of the</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162,000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Board</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229,000</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623,886</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1,363,609</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593,882</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675,000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1,315,477</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Officer</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563,300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1,258,883</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441,000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and Chief Financial</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Officer</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2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Amy E. Ruf </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357,000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Vice President and</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Controller</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339,000</w:t>
            </w:r>
          </w:p>
        </w:tc>
      </w:tr>
      <w:tr>
        <w:trPr/>
        <w:tc>
          <w:tcPr>
            <w:tcW w:w="2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 W. Reichert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Vice President, Internal</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Audit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161,000</w:t>
            </w:r>
          </w:p>
        </w:tc>
      </w:tr>
    </w:tbl>
    <w:tbl>
      <w:tblPr>
        <w:tblW w:w="5912" w:type="dxa"/>
        <w:jc w:val="left"/>
        <w:tblInd w:w="0" w:type="dxa"/>
        <w:tblLayout w:type="fixed"/>
        <w:tblCellMar>
          <w:top w:w="0" w:type="dxa"/>
          <w:left w:w="0" w:type="dxa"/>
          <w:bottom w:w="0" w:type="dxa"/>
          <w:right w:w="0" w:type="dxa"/>
        </w:tblCellMar>
      </w:tblPr>
      <w:tblGrid>
        <w:gridCol w:w="346"/>
        <w:gridCol w:w="55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non-applicable columns have been omitted from this table.</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shown in the table as salary compensation for each of the named executive officers other than Mr. James (who is employed by us)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for Mr. James for each of the last three years consisted of our matching contributions to his account under our 401(k) Plan and our contributions to his account under the CompX Capital Accumulation Plan, a defined contribution plan, as follows: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82" w:type="dxa"/>
        <w:jc w:val="left"/>
        <w:tblInd w:w="0" w:type="dxa"/>
        <w:tblLayout w:type="fixed"/>
        <w:tblCellMar>
          <w:top w:w="0" w:type="dxa"/>
          <w:left w:w="0" w:type="dxa"/>
          <w:bottom w:w="0" w:type="dxa"/>
          <w:right w:w="0" w:type="dxa"/>
        </w:tblCellMar>
      </w:tblPr>
      <w:tblGrid>
        <w:gridCol w:w="541"/>
        <w:gridCol w:w="326"/>
        <w:gridCol w:w="445"/>
        <w:gridCol w:w="1430"/>
        <w:gridCol w:w="326"/>
        <w:gridCol w:w="402"/>
        <w:gridCol w:w="1294"/>
        <w:gridCol w:w="32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43535" cy="175260"/>
                      <wp:effectExtent l="0" t="0" r="0" b="0"/>
                      <wp:wrapNone/>
                      <wp:docPr id="47" name="Frame4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8"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82575" cy="175260"/>
                      <wp:effectExtent l="0" t="0" r="0" b="0"/>
                      <wp:wrapNone/>
                      <wp:docPr id="49" name="Frame45"/>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08050" cy="175260"/>
                      <wp:effectExtent l="0" t="0" r="0" b="0"/>
                      <wp:wrapNone/>
                      <wp:docPr id="50" name="Frame46"/>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1"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55270" cy="175260"/>
                      <wp:effectExtent l="0" t="0" r="0" b="0"/>
                      <wp:wrapNone/>
                      <wp:docPr id="52" name="Frame48"/>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821690" cy="175260"/>
                      <wp:effectExtent l="0" t="0" r="0" b="0"/>
                      <wp:wrapNone/>
                      <wp:docPr id="53" name="Frame49"/>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4"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55"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56"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5" w:type="dxa"/>
            <w:tcBorders/>
            <w:vAlign w:val="center"/>
          </w:tcPr>
          <w:p>
            <w:pPr>
              <w:pStyle w:val="TableContents"/>
              <w:bidi w:val="0"/>
              <w:spacing w:before="0" w:after="0"/>
              <w:ind w:left="0" w:right="0" w:hanging="0"/>
              <w:jc w:val="center"/>
              <w:rPr/>
            </w:pPr>
            <w:r>
              <w:rPr/>
              <w:t>​</w:t>
            </w:r>
          </w:p>
        </w:tc>
        <w:tc>
          <w:tcPr>
            <w:tcW w:w="1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Employer’s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Employer’s 401(k) Plan </w:t>
            </w:r>
          </w:p>
        </w:tc>
        <w:tc>
          <w:tcPr>
            <w:tcW w:w="326" w:type="dxa"/>
            <w:tcBorders/>
            <w:vAlign w:val="center"/>
          </w:tcPr>
          <w:p>
            <w:pPr>
              <w:pStyle w:val="TableContents"/>
              <w:bidi w:val="0"/>
              <w:spacing w:before="0" w:after="0"/>
              <w:ind w:left="0" w:right="0" w:hanging="0"/>
              <w:jc w:val="center"/>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Accumulation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Matching </w:t>
            </w:r>
          </w:p>
        </w:tc>
        <w:tc>
          <w:tcPr>
            <w:tcW w:w="326" w:type="dxa"/>
            <w:tcBorders/>
            <w:vAlign w:val="center"/>
          </w:tcPr>
          <w:p>
            <w:pPr>
              <w:pStyle w:val="TableContents"/>
              <w:bidi w:val="0"/>
              <w:spacing w:before="0" w:after="0"/>
              <w:ind w:left="0" w:right="0" w:hanging="0"/>
              <w:jc w:val="center"/>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0"/>
              <w:ind w:left="0" w:right="0" w:hanging="0"/>
              <w:jc w:val="center"/>
              <w:rPr/>
            </w:pPr>
            <w:r>
              <w:rPr/>
              <w:t>    </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326" w:type="dxa"/>
            <w:tcBorders/>
            <w:vAlign w:val="center"/>
          </w:tcPr>
          <w:p>
            <w:pPr>
              <w:pStyle w:val="TableContents"/>
              <w:bidi w:val="0"/>
              <w:spacing w:before="0" w:after="0"/>
              <w:ind w:left="0" w:right="0" w:hanging="0"/>
              <w:jc w:val="center"/>
              <w:rPr/>
            </w:pPr>
            <w:r>
              <w:rPr/>
              <w:t>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20,700</w:t>
            </w:r>
          </w:p>
        </w:tc>
        <w:tc>
          <w:tcPr>
            <w:tcW w:w="32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w:t>
            </w:r>
          </w:p>
        </w:tc>
        <w:tc>
          <w:tcPr>
            <w:tcW w:w="32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 </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w:t>
            </w:r>
          </w:p>
        </w:tc>
        <w:tc>
          <w:tcPr>
            <w:tcW w:w="32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 </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45,583</w:t>
            </w:r>
          </w:p>
        </w:tc>
      </w:tr>
    </w:tbl>
    <w:p>
      <w:pPr>
        <w:pStyle w:val="TextBody"/>
        <w:bidi w:val="0"/>
        <w:spacing w:before="240" w:after="120"/>
        <w:ind w:left="720" w:right="0" w:hanging="0"/>
        <w:jc w:val="left"/>
        <w:rPr>
          <w:rFonts w:ascii="Times New Roman;Times;serif" w:hAnsi="Times New Roman;Times;serif"/>
          <w:sz w:val="20"/>
        </w:rPr>
      </w:pPr>
      <w:r>
        <w:rPr>
          <w:rFonts w:ascii="Times New Roman;Times;serif" w:hAnsi="Times New Roman;Times;serif"/>
          <w:sz w:val="20"/>
        </w:rPr>
        <w:t>See the discussion of our retirement plan contributions in the Compensation Discussion and Analysis section of this proxy statement.</w:t>
      </w:r>
    </w:p>
    <w:p>
      <w:pPr>
        <w:pStyle w:val="TextBody"/>
        <w:bidi w:val="0"/>
        <w:spacing w:before="0" w:after="120"/>
        <w:ind w:left="0" w:right="0" w:firstLine="720"/>
        <w:jc w:val="left"/>
        <w:rPr>
          <w:rFonts w:ascii="Times New Roman;Times;serif" w:hAnsi="Times New Roman;Times;serif"/>
          <w:sz w:val="20"/>
        </w:rPr>
      </w:pPr>
      <w:bookmarkStart w:id="54" w:name="NOGRANTSOFPLANBASEDAWARDS"/>
      <w:bookmarkEnd w:id="54"/>
      <w:r>
        <w:rPr>
          <w:rFonts w:ascii="Times New Roman;Times;serif" w:hAnsi="Times New Roman;Times;serif"/>
          <w:b/>
          <w:i/>
          <w:sz w:val="20"/>
        </w:rPr>
        <w:t>No Grants of Plan-Based Awards</w:t>
      </w:r>
      <w:r>
        <w:rPr>
          <w:rFonts w:ascii="Times New Roman;Times;serif" w:hAnsi="Times New Roman;Times;serif"/>
          <w:sz w:val="20"/>
        </w:rPr>
        <w:t>. During 2024, no named executive officer received any plan-based awards from us or our subsidiaries.</w:t>
      </w:r>
    </w:p>
    <w:p>
      <w:pPr>
        <w:pStyle w:val="TextBody"/>
        <w:bidi w:val="0"/>
        <w:spacing w:before="0" w:after="240"/>
        <w:ind w:left="0" w:right="0" w:firstLine="720"/>
        <w:jc w:val="left"/>
        <w:rPr>
          <w:rFonts w:ascii="Times New Roman;Times;serif" w:hAnsi="Times New Roman;Times;serif"/>
          <w:sz w:val="20"/>
        </w:rPr>
      </w:pPr>
      <w:bookmarkStart w:id="55" w:name="NOOUTSTANDINGEQUITY"/>
      <w:bookmarkEnd w:id="55"/>
      <w:r>
        <w:rPr>
          <w:rFonts w:ascii="Times New Roman;Times;serif" w:hAnsi="Times New Roman;Times;serif"/>
          <w:b/>
          <w:i/>
          <w:sz w:val="20"/>
        </w:rPr>
        <w:t>No Outstanding Equity Awards at December 31, 2024</w:t>
      </w:r>
      <w:r>
        <w:rPr>
          <w:rFonts w:ascii="Times New Roman;Times;serif" w:hAnsi="Times New Roman;Times;serif"/>
          <w:sz w:val="20"/>
        </w:rPr>
        <w:t xml:space="preserve">. At December 31, 2024, none of our named executive officers held outstanding stock options to purchase shares of our class A common stock (or common stock of our parent companies), or held any equity incentive awards for such shares. We do not have policies or practices on the timing of awards of options in relation to the disclosure of material nonpublic information because we do not award options. </w:t>
      </w:r>
    </w:p>
    <w:p>
      <w:pPr>
        <w:pStyle w:val="TextBody"/>
        <w:bidi w:val="0"/>
        <w:spacing w:before="0" w:after="120"/>
        <w:ind w:left="0" w:right="0" w:firstLine="720"/>
        <w:jc w:val="left"/>
        <w:rPr>
          <w:rFonts w:ascii="Times New Roman;Times;serif" w:hAnsi="Times New Roman;Times;serif"/>
          <w:sz w:val="20"/>
        </w:rPr>
      </w:pPr>
      <w:bookmarkStart w:id="56" w:name="NOOPTIONEXERCISESORSTOCKVESTED"/>
      <w:bookmarkEnd w:id="56"/>
      <w:r>
        <w:rPr>
          <w:rFonts w:ascii="Times New Roman;Times;serif" w:hAnsi="Times New Roman;Times;serif"/>
          <w:b/>
          <w:i/>
          <w:sz w:val="20"/>
        </w:rPr>
        <w:t>No Option Exercises or Stock Vested</w:t>
      </w:r>
      <w:r>
        <w:rPr>
          <w:rFonts w:ascii="Times New Roman;Times;serif" w:hAnsi="Times New Roman;Times;serif"/>
          <w:sz w:val="20"/>
        </w:rPr>
        <w:t>. During 2024, no named executive officer exercised any stock options or held any stock subject to vesting restrictions.</w:t>
      </w:r>
    </w:p>
    <w:p>
      <w:pPr>
        <w:pStyle w:val="TextBody"/>
        <w:bidi w:val="0"/>
        <w:spacing w:before="0" w:after="240"/>
        <w:ind w:left="0" w:right="0" w:firstLine="720"/>
        <w:jc w:val="left"/>
        <w:rPr>
          <w:rFonts w:ascii="Times New Roman;Times;serif" w:hAnsi="Times New Roman;Times;serif"/>
          <w:sz w:val="20"/>
        </w:rPr>
      </w:pPr>
      <w:bookmarkStart w:id="57" w:name="PENSIONBENEFITS"/>
      <w:bookmarkEnd w:id="57"/>
      <w:r>
        <w:rPr>
          <w:rFonts w:ascii="Times New Roman;Times;serif" w:hAnsi="Times New Roman;Times;serif"/>
          <w:b/>
          <w:i/>
          <w:sz w:val="20"/>
        </w:rPr>
        <w:t>Pension Benefits</w:t>
      </w:r>
      <w:r>
        <w:rPr>
          <w:rFonts w:ascii="Times New Roman;Times;serif" w:hAnsi="Times New Roman;Times;serif"/>
          <w:sz w:val="20"/>
        </w:rPr>
        <w:t>. We do not have any defined benefit pension plans in which our named executive officers participate.</w:t>
      </w:r>
    </w:p>
    <w:p>
      <w:pPr>
        <w:pStyle w:val="TextBody"/>
        <w:bidi w:val="0"/>
        <w:spacing w:before="0" w:after="240"/>
        <w:ind w:left="0" w:right="0" w:firstLine="720"/>
        <w:jc w:val="left"/>
        <w:rPr>
          <w:rFonts w:ascii="Times New Roman;Times;serif" w:hAnsi="Times New Roman;Times;serif"/>
          <w:sz w:val="20"/>
        </w:rPr>
      </w:pPr>
      <w:bookmarkStart w:id="58" w:name="NONQUALIFIEDDEFERREDCOMPENSATION"/>
      <w:bookmarkEnd w:id="58"/>
      <w:r>
        <w:rPr>
          <w:rFonts w:ascii="Times New Roman;Times;serif" w:hAnsi="Times New Roman;Times;serif"/>
          <w:b/>
          <w:i/>
          <w:sz w:val="20"/>
        </w:rPr>
        <w:t>Nonqualified Deferred Compensation</w:t>
      </w:r>
      <w:r>
        <w:rPr>
          <w:rFonts w:ascii="Times New Roman;Times;serif" w:hAnsi="Times New Roman;Times;serif"/>
          <w:sz w:val="20"/>
        </w:rPr>
        <w:t>. We do not owe any nonqualified deferred compensation to our named executive officers.</w:t>
      </w:r>
    </w:p>
    <w:p>
      <w:pPr>
        <w:pStyle w:val="TextBody"/>
        <w:bidi w:val="0"/>
        <w:spacing w:before="0" w:after="240"/>
        <w:ind w:left="0" w:right="0" w:firstLine="720"/>
        <w:jc w:val="left"/>
        <w:rPr>
          <w:rFonts w:ascii="Times New Roman;Times;serif" w:hAnsi="Times New Roman;Times;serif"/>
          <w:sz w:val="20"/>
        </w:rPr>
      </w:pPr>
      <w:bookmarkStart w:id="59" w:name="PAYRATIODISCLOSURE"/>
      <w:bookmarkEnd w:id="59"/>
      <w:r>
        <w:rPr>
          <w:rFonts w:ascii="Times New Roman;Times;serif" w:hAnsi="Times New Roman;Times;serif"/>
          <w:b/>
          <w:i/>
          <w:sz w:val="20"/>
        </w:rPr>
        <w:t>Pay Ratio Disclosure</w:t>
      </w:r>
      <w:r>
        <w:rPr>
          <w:rFonts w:ascii="Times New Roman;Times;serif" w:hAnsi="Times New Roman;Times;serif"/>
          <w:sz w:val="20"/>
        </w:rPr>
        <w:t>. SEC rules require annual disclosure of the ratio of a registrant’s median employee’s annual total compensation to the total annual compensation of its chief executive officer.  For 2024, the total annual compensation (as disclosed in the 2024 Summary Compensation Table) of Scott C. James, our chief executive officer, is $1,363,609; the reasonable estimate of the median of the annual total compensation of all of our employees except our chief executive officer, calculated in a manner consistent with Item 402(u) of Regulation S-K, is $ 71,990; and the ratio of such two amounts is 19 to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2023. Based on such random sample of our employees, and using the 2023 base salary (or equivalent for hourly employees) for each employee in such random sample as reflected in our payroll records, the median employee was estimated by determining the employee in such random sample who had the median 2023 base salary (or equivalent for hourly employees). Base salary (or equivalent) amounts were annualized for any employee who had less than a full year of service during 2023. There has been no change in our employee population or employee compensation arrangements since that median employee was identified that we believe would significantly impact our pay ratio disclosure, except that the median employee that we identified in October 2023 left the company during 2024. As permitted by SEC rules we identified a new median employee, whose compensation is substantially similar to the original median employee based on the compensation measure used to select the original median employee.</w:t>
      </w:r>
    </w:p>
    <w:p>
      <w:pPr>
        <w:pStyle w:val="TextBody"/>
        <w:bidi w:val="0"/>
        <w:spacing w:before="0" w:after="0"/>
        <w:ind w:left="0" w:right="0" w:firstLine="720"/>
        <w:jc w:val="left"/>
        <w:rPr>
          <w:rFonts w:ascii="Times New Roman;Times;serif" w:hAnsi="Times New Roman;Times;serif"/>
          <w:sz w:val="20"/>
        </w:rPr>
      </w:pPr>
      <w:bookmarkStart w:id="60" w:name="DIRECTORCOMPENSATION"/>
      <w:bookmarkEnd w:id="60"/>
      <w:r>
        <w:rPr>
          <w:rFonts w:ascii="Times New Roman;Times;serif" w:hAnsi="Times New Roman;Times;serif"/>
          <w:b/>
          <w:i/>
          <w:sz w:val="20"/>
        </w:rPr>
        <w:t>Director Compensation</w:t>
      </w:r>
      <w:r>
        <w:rPr>
          <w:rFonts w:ascii="Times New Roman;Times;serif" w:hAnsi="Times New Roman;Times;serif"/>
          <w:sz w:val="20"/>
        </w:rPr>
        <w:t>. Our directors who are not employees of Contran or one of its subsidiaries or affiliates (including us) are eligible to receive compensation for service as directors. The table below reflects the annual rates of their retainers for 2024.</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167"/>
        <w:gridCol w:w="326"/>
        <w:gridCol w:w="346"/>
        <w:gridCol w:w="1110"/>
        <w:gridCol w:w="256"/>
      </w:tblGrid>
      <w:tr>
        <w:trPr/>
        <w:tc>
          <w:tcPr>
            <w:tcW w:w="8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186045" cy="175260"/>
                      <wp:effectExtent l="0" t="0" r="0" b="0"/>
                      <wp:wrapNone/>
                      <wp:docPr id="57" name="Frame53"/>
                      <a:graphic xmlns:a="http://schemas.openxmlformats.org/drawingml/2006/main">
                        <a:graphicData uri="http://schemas.microsoft.com/office/word/2010/wordprocessingShape">
                          <wps:wsp>
                            <wps:cNvSpPr txBox="1"/>
                            <wps:spPr>
                              <a:xfrm>
                                <a:off x="0" y="0"/>
                                <a:ext cx="5186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58"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59"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04850" cy="175260"/>
                      <wp:effectExtent l="0" t="0" r="0" b="0"/>
                      <wp:wrapNone/>
                      <wp:docPr id="60" name="Frame56"/>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2560" cy="175260"/>
                      <wp:effectExtent l="0" t="0" r="0" b="0"/>
                      <wp:wrapNone/>
                      <wp:docPr id="61" name="Frame5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 </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Director Retainers</w:t>
            </w:r>
          </w:p>
        </w:tc>
        <w:tc>
          <w:tcPr>
            <w:tcW w:w="256" w:type="dxa"/>
            <w:tcBorders/>
            <w:vAlign w:val="center"/>
          </w:tcPr>
          <w:p>
            <w:pPr>
              <w:pStyle w:val="TableContents"/>
              <w:bidi w:val="0"/>
              <w:spacing w:before="0" w:after="0"/>
              <w:ind w:left="0" w:right="0" w:hanging="0"/>
              <w:jc w:val="center"/>
              <w:rPr/>
            </w:pPr>
            <w:r>
              <w:rPr/>
              <w:t> </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816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director</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816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 of the board</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816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Chairman of our audit committee and any member of our audit committee whom the board identified as an “audit committee financial expert” (provided that if one person served in both capacities only one such retainer was paid)</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816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members of our audit committee</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8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816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Members of our other committees</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256" w:type="dxa"/>
            <w:tcBorders/>
            <w:shd w:fill="CCEEFF" w:val="clear"/>
            <w:vAlign w:val="center"/>
          </w:tcPr>
          <w:p>
            <w:pPr>
              <w:pStyle w:val="TableContents"/>
              <w:bidi w:val="0"/>
              <w:spacing w:before="0" w:after="0"/>
              <w:ind w:left="0" w:right="0" w:hanging="0"/>
              <w:jc w:val="left"/>
              <w:rPr/>
            </w:pPr>
            <w:r>
              <w:rPr/>
              <w:t>​</w:t>
            </w:r>
          </w:p>
        </w:tc>
      </w:tr>
    </w:tbl>
    <w:p>
      <w:pPr>
        <w:pStyle w:val="TextBody"/>
        <w:pBdr/>
        <w:bidi w:val="0"/>
        <w:spacing w:before="0" w:after="120"/>
        <w:ind w:left="0" w:right="0" w:hanging="720"/>
        <w:jc w:val="left"/>
        <w:rPr>
          <w:rFonts w:ascii="Times New Roman;Times;serif" w:hAnsi="Times New Roman;Times;serif"/>
          <w:sz w:val="20"/>
        </w:rPr>
      </w:pPr>
      <w:r>
        <w:rPr>
          <w:rFonts w:ascii="Times New Roman;Times;serif" w:hAnsi="Times New Roman;Times;serif"/>
          <w:sz w:val="20"/>
        </w:rPr>
        <w:t>* Effective July 1, 2024, the annual retainer for directors was increased from $40,000 to $50,000.</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our eligible directors receive a fee of $1,000 per day for attendance at meetings of the board of directors or its committees and an hourly rate (not to exceed $1,000 per day) for other services rendered on behalf of our board of directors or its committees. If a non-employee director who was first elected to our board prior to 2022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 Our corporate governance guidelines include stock ownership guidelines for our non-employee directors (that is, directors who are not employed by us or one of our affiliates), which provide that non-employee directors may not sell shares of our common stock acquired as part of the annual stock grants unless, immediately after any such sale, they will hold a number of shares of our common stock (including shares owned by their immediate family members residing in the same household) having a value of at least three times our base annual cash retainer for service as a director.</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with respect to compensation each of our eligible directors earned for their 2024 director services provided to us.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2024 Director Compensation </w:t>
      </w:r>
      <w:r>
        <w:rPr>
          <w:rFonts w:ascii="Times New Roman;Times;serif" w:hAnsi="Times New Roman;Times;serif"/>
          <w:sz w:val="20"/>
        </w:rPr>
        <w:t>(1)</w:t>
      </w:r>
    </w:p>
    <w:p>
      <w:pPr>
        <w:pStyle w:val="TextBody"/>
        <w:bidi w:val="0"/>
        <w:spacing w:before="0" w:after="0"/>
        <w:ind w:left="0" w:right="0" w:hanging="0"/>
        <w:jc w:val="both"/>
        <w:rPr/>
      </w:pPr>
      <w:r>
        <w:rPr/>
        <w:t>​</w:t>
      </w:r>
    </w:p>
    <w:tbl>
      <w:tblPr>
        <w:tblW w:w="6306" w:type="dxa"/>
        <w:jc w:val="left"/>
        <w:tblInd w:w="0" w:type="dxa"/>
        <w:tblLayout w:type="fixed"/>
        <w:tblCellMar>
          <w:top w:w="0" w:type="dxa"/>
          <w:left w:w="0" w:type="dxa"/>
          <w:bottom w:w="0" w:type="dxa"/>
          <w:right w:w="0" w:type="dxa"/>
        </w:tblCellMar>
      </w:tblPr>
      <w:tblGrid>
        <w:gridCol w:w="1651"/>
        <w:gridCol w:w="326"/>
        <w:gridCol w:w="271"/>
        <w:gridCol w:w="1004"/>
        <w:gridCol w:w="326"/>
        <w:gridCol w:w="324"/>
        <w:gridCol w:w="1041"/>
        <w:gridCol w:w="326"/>
        <w:gridCol w:w="211"/>
        <w:gridCol w:w="82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48385" cy="175260"/>
                      <wp:effectExtent l="0" t="0" r="0" b="0"/>
                      <wp:wrapNone/>
                      <wp:docPr id="62" name="Frame5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3"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2085" cy="175260"/>
                      <wp:effectExtent l="0" t="0" r="0" b="0"/>
                      <wp:wrapNone/>
                      <wp:docPr id="64" name="Frame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37540" cy="175260"/>
                      <wp:effectExtent l="0" t="0" r="0" b="0"/>
                      <wp:wrapNone/>
                      <wp:docPr id="65" name="Frame61"/>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6"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5740" cy="175260"/>
                      <wp:effectExtent l="0" t="0" r="0" b="0"/>
                      <wp:wrapNone/>
                      <wp:docPr id="67" name="Frame6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1035" cy="175260"/>
                      <wp:effectExtent l="0" t="0" r="0" b="0"/>
                      <wp:wrapNone/>
                      <wp:docPr id="68" name="Frame64"/>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69"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0"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24510" cy="175260"/>
                      <wp:effectExtent l="0" t="0" r="0" b="0"/>
                      <wp:wrapNone/>
                      <wp:docPr id="71" name="Frame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 </w:t>
            </w:r>
          </w:p>
        </w:tc>
        <w:tc>
          <w:tcPr>
            <w:tcW w:w="326" w:type="dxa"/>
            <w:tcBorders/>
            <w:vAlign w:val="center"/>
          </w:tcPr>
          <w:p>
            <w:pPr>
              <w:pStyle w:val="TableContents"/>
              <w:bidi w:val="0"/>
              <w:spacing w:before="0" w:after="0"/>
              <w:ind w:left="0" w:right="0" w:hanging="0"/>
              <w:jc w:val="center"/>
              <w:rPr/>
            </w:pPr>
            <w:r>
              <w:rPr/>
              <w:t>​</w:t>
            </w:r>
          </w:p>
        </w:tc>
        <w:tc>
          <w:tcPr>
            <w:tcW w:w="324" w:type="dxa"/>
            <w:tcBorders/>
            <w:vAlign w:val="center"/>
          </w:tcPr>
          <w:p>
            <w:pPr>
              <w:pStyle w:val="TableContents"/>
              <w:bidi w:val="0"/>
              <w:spacing w:before="0" w:after="0"/>
              <w:ind w:left="0" w:right="0" w:hanging="0"/>
              <w:jc w:val="center"/>
              <w:rPr/>
            </w:pPr>
            <w:r>
              <w:rPr/>
              <w:t>​</w:t>
            </w:r>
          </w:p>
        </w:tc>
        <w:tc>
          <w:tcPr>
            <w:tcW w:w="10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 Cash (2)</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 (3)</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E. Barry</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120,216</w:t>
            </w:r>
          </w:p>
        </w:tc>
      </w:tr>
      <w:tr>
        <w:trPr/>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Loretta J. Feehan</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120,216</w:t>
            </w:r>
          </w:p>
        </w:tc>
      </w:tr>
      <w:tr>
        <w:trPr/>
        <w:tc>
          <w:tcPr>
            <w:tcW w:w="16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Terri L. Herrington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97,500</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117,716</w:t>
            </w:r>
          </w:p>
        </w:tc>
      </w:tr>
      <w:tr>
        <w:trPr/>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 Manix</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100,216</w:t>
            </w:r>
          </w:p>
        </w:tc>
      </w:tr>
      <w:tr>
        <w:trPr/>
        <w:tc>
          <w:tcPr>
            <w:tcW w:w="16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Gina A. Norris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95,000</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115,216</w:t>
            </w:r>
          </w:p>
        </w:tc>
      </w:tr>
      <w:tr>
        <w:trPr/>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Mary A. Tidlund</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95,216</w:t>
            </w:r>
          </w:p>
        </w:tc>
      </w:tr>
    </w:tbl>
    <w:tbl>
      <w:tblPr>
        <w:tblW w:w="5912" w:type="dxa"/>
        <w:jc w:val="left"/>
        <w:tblInd w:w="0" w:type="dxa"/>
        <w:tblLayout w:type="fixed"/>
        <w:tblCellMar>
          <w:top w:w="0" w:type="dxa"/>
          <w:left w:w="0" w:type="dxa"/>
          <w:bottom w:w="0" w:type="dxa"/>
          <w:right w:w="0" w:type="dxa"/>
        </w:tblCellMar>
      </w:tblPr>
      <w:tblGrid>
        <w:gridCol w:w="346"/>
        <w:gridCol w:w="5566"/>
      </w:tblGrid>
      <w:tr>
        <w:trPr/>
        <w:tc>
          <w:tcPr>
            <w:tcW w:w="34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556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Certain non-applicable columns have been omitted from this table.</w:t>
            </w:r>
          </w:p>
        </w:tc>
      </w:tr>
    </w:tbl>
    <w:tbl>
      <w:tblPr>
        <w:tblW w:w="9827" w:type="dxa"/>
        <w:jc w:val="left"/>
        <w:tblInd w:w="0" w:type="dxa"/>
        <w:tblLayout w:type="fixed"/>
        <w:tblCellMar>
          <w:top w:w="0" w:type="dxa"/>
          <w:left w:w="0" w:type="dxa"/>
          <w:bottom w:w="0" w:type="dxa"/>
          <w:right w:w="0" w:type="dxa"/>
        </w:tblCellMar>
      </w:tblPr>
      <w:tblGrid>
        <w:gridCol w:w="346"/>
        <w:gridCol w:w="9481"/>
      </w:tblGrid>
      <w:tr>
        <w:trPr/>
        <w:tc>
          <w:tcPr>
            <w:tcW w:w="34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w:t>
            </w:r>
          </w:p>
        </w:tc>
        <w:tc>
          <w:tcPr>
            <w:tcW w:w="948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Represents cash retainers and meeting fees the director earned for director services he or she provided to us in 2024.</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the value of 800 shares of our class A common stock we granted to each of the eligible directors on May 22, 2024.  For the purposes of this table, we valued these stock awards at the $25.27 closing price per share of such shares on their date of grant, consistent with the requirements of Financial Accounting Standards Board Accounting Standards Codification Topic 718.</w:t>
            </w:r>
          </w:p>
        </w:tc>
      </w:tr>
    </w:tbl>
    <w:p>
      <w:pPr>
        <w:pStyle w:val="TextBody"/>
        <w:bidi w:val="0"/>
        <w:spacing w:before="0" w:after="0"/>
        <w:ind w:left="0" w:right="0" w:firstLine="720"/>
        <w:jc w:val="both"/>
        <w:rPr>
          <w:rFonts w:ascii="Times New Roman;Times;serif" w:hAnsi="Times New Roman;Times;serif"/>
          <w:sz w:val="20"/>
        </w:rPr>
      </w:pPr>
      <w:bookmarkStart w:id="61" w:name="PAYVERSUSPERFORMANCE"/>
      <w:bookmarkEnd w:id="61"/>
      <w:r>
        <w:rPr>
          <w:rFonts w:ascii="Times New Roman;Times;serif" w:hAnsi="Times New Roman;Times;serif"/>
          <w:b/>
          <w:i/>
          <w:color w:val="221E1F"/>
          <w:sz w:val="20"/>
        </w:rPr>
        <w:t>Pay Versus Performance</w:t>
      </w:r>
      <w:r>
        <w:rPr>
          <w:rFonts w:ascii="Times New Roman;Times;serif" w:hAnsi="Times New Roman;Times;serif"/>
          <w:sz w:val="20"/>
        </w:rPr>
        <w:t>. The Pay Versus Performance Table below summarizes compensation values previously reported in the Summary Compensation Table of our proxy statements and other information, as required by SEC rules. We did not use any specific financial performance measures to link executive compensation of our named executive officers to company performance for 2024; see the discussion in the Compensation Discussion and Analysis section of this proxy statement. As used in this section (including the charts below), “NEOs” means the persons designated in our proxy statement as our named executive officers for the applicable year, and “PEO” means our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 Versus Performance Table</w:t>
      </w:r>
    </w:p>
    <w:p>
      <w:pPr>
        <w:pStyle w:val="TextBody"/>
        <w:bidi w:val="0"/>
        <w:spacing w:before="0" w:after="0"/>
        <w:ind w:left="0" w:right="0" w:hanging="0"/>
        <w:jc w:val="center"/>
        <w:rPr/>
      </w:pPr>
      <w:bookmarkStart w:id="62" w:name="Tc_r5V_JmtJeEGfOS_87DipFQ_14_0"/>
      <w:bookmarkStart w:id="63" w:name="Tc_E6VMM1F1W0SNl7g920F8VQ_13_0"/>
      <w:bookmarkStart w:id="64" w:name="Tc_qViItq5inUuxvxhBA_Af_A_12_0"/>
      <w:bookmarkStart w:id="65" w:name="Tc_u7iahIJXZkyelqYHsqo7jA_11_0"/>
      <w:bookmarkStart w:id="66" w:name="Tc_roGXfe0zxkKWTucW_tdveg_10_0"/>
      <w:bookmarkStart w:id="67" w:name="Tc_IceGfZ2Zq0-1vz_WaIc84w_9_14"/>
      <w:bookmarkStart w:id="68" w:name="Tc_ZgPB6W3n60-68GoOfxYMMg_9_12"/>
      <w:bookmarkStart w:id="69" w:name="Tc_hrpmikHp_UaD5sYiZOPyTA_9_10"/>
      <w:bookmarkStart w:id="70" w:name="Tc_SsP9-zctwUKq5fSyAem3pA_9_8"/>
      <w:bookmarkStart w:id="71" w:name="Tc_o9XKuXyU3E21ufK9RwjGqQ_9_6"/>
      <w:bookmarkStart w:id="72" w:name="Tc_8Bk_l9E_Kkezryc7edImGw_9_4"/>
      <w:bookmarkStart w:id="73" w:name="Tc_uthNHKJ1dUaEsN176TncEA_9_2"/>
      <w:bookmarkStart w:id="74" w:name="Tc_7BHp7ZUYoECcfUIjn29Q7Q_9_0"/>
      <w:bookmarkStart w:id="75" w:name="Tc_F24vCTJACkqsxh9R997jqg_8_14"/>
      <w:bookmarkStart w:id="76" w:name="Tc_SS-2DMczJ0-slIbb0eiuAw_8_12"/>
      <w:bookmarkStart w:id="77" w:name="Tc_PjPbWa266kOUaX_c358dtg_8_10"/>
      <w:bookmarkStart w:id="78" w:name="Tc_uLM_8N-uOUaqgsB-YA_Oaw_8_8"/>
      <w:bookmarkStart w:id="79" w:name="Tc_wZqF_nJaIECqOI4KlLkHXQ_8_6"/>
      <w:bookmarkStart w:id="80" w:name="Tc_6Wx4jhHIMUmeFWoVBGLk7g_8_4"/>
      <w:bookmarkStart w:id="81" w:name="Tc_q0pd99vPwEiygbxXZ37VsQ_8_2"/>
      <w:bookmarkStart w:id="82" w:name="Tc_vOE_GCMjokaMZnpLX0ktHg_7_14"/>
      <w:bookmarkStart w:id="83" w:name="Tc_wYQSVrsZLk6NOUB4pV29fQ_7_12"/>
      <w:bookmarkStart w:id="84" w:name="Tc_U_M303oeME2W9eDlnfF9Yw_7_10"/>
      <w:bookmarkStart w:id="85" w:name="Tc_D8wyVd0P1EWJs9JjBoq17g_7_8"/>
      <w:bookmarkStart w:id="86" w:name="Tc_2ISZPHtSGUK1Qh2nbEPIfQ_7_6"/>
      <w:bookmarkStart w:id="87" w:name="Tc_Y0AIxCgNBUCJ3wXxgwEDmg_7_4"/>
      <w:bookmarkStart w:id="88" w:name="Tc_Tfv2TDrO60CeNgQ3h3UiRw_7_2"/>
      <w:bookmarkStart w:id="89" w:name="Tc_6LhWN8TAGEu4BgGqIq8VkA_6_14"/>
      <w:bookmarkStart w:id="90" w:name="Tc_yoScrlIy_0yLP6ll-KNRIg_6_12"/>
      <w:bookmarkStart w:id="91" w:name="Tc_9Mx8CpkywUqoIiJKMIxzSw_6_10"/>
      <w:bookmarkStart w:id="92" w:name="Tc_tsLHkbDf-02DLtI0RdXS0w_6_8"/>
      <w:bookmarkStart w:id="93" w:name="Tc_GEtmQ5OBsEOgpmQaCRlSRQ_6_6"/>
      <w:bookmarkStart w:id="94" w:name="Tc_X9a5wsKxNE-7hO4vF6cqmw_6_4"/>
      <w:bookmarkStart w:id="95" w:name="Tc_gmMtlhq7sU2PoghB4oo5Ug_6_2"/>
      <w:bookmarkStart w:id="96" w:name="Tc_AnTGyTQp3ECZAXsbgrYuOQ_5_12"/>
      <w:bookmarkStart w:id="97" w:name="Tc_4CuR52g1T0yUBRoLDlW_Qw_5_10"/>
      <w:bookmarkStart w:id="98" w:name="Tc_X26zU0ZPIEOJqS2eZ2Th2A_5_8"/>
      <w:bookmarkStart w:id="99" w:name="Tc_-0rCRCf_oE6p5W3crEBwZg_5_6"/>
      <w:bookmarkStart w:id="100" w:name="Tc_kcqH4BwLnkWC2lIb7_XneQ_5_2"/>
      <w:bookmarkStart w:id="101" w:name="Tc_kHDV8TDNx0CDaPNXM-Yg4Q_4_12"/>
      <w:bookmarkStart w:id="102" w:name="Tc_Dak3p4uHBE-jCSWOqS8tXA_4_8"/>
      <w:bookmarkStart w:id="103" w:name="Tc_nHvya6AmK0-Zb0xi-OPyZg_4_6"/>
      <w:bookmarkStart w:id="104" w:name="Tc_yrZJ9Tudq0CH-TSUgdz7Uw_3_10"/>
      <w:bookmarkStart w:id="105" w:name="Tc_qvX9FPWjoU2fBDhQCIM0aw_3_6"/>
      <w:bookmarkStart w:id="106" w:name="Tc_yiq5OJJ5OUyQV1loLdfPSw_2_10"/>
      <w:bookmarkStart w:id="107" w:name="Tc_uWWd5ifNo0-iXSZ0MmcqGw_1_14"/>
      <w:bookmarkStart w:id="108" w:name="Tc_2-cU43vhyEiNoB59FGcwdw_1_12"/>
      <w:bookmarkStart w:id="109" w:name="Tc_LlWpdQcB40uvbHKAnoLrsQ_1_10"/>
      <w:bookmarkStart w:id="110" w:name="Tc_HwU86PfVm0uThPS6LdRXVQ_1_8"/>
      <w:bookmarkStart w:id="111" w:name="Tc_wFuW2Mgh-EmK-4nY0lLn7g_1_6"/>
      <w:bookmarkStart w:id="112" w:name="Tc_TrKiHsS5KkCRd11DyXsasA_1_4"/>
      <w:bookmarkStart w:id="113" w:name="Tc_6Vt7xwB8CkSkGMxFKSZf2w_1_2"/>
      <w:bookmarkStart w:id="114" w:name="Tc_YrnU3zI0506iRMHskxRsng_1_0"/>
      <w:bookmarkStart w:id="115" w:name="_370258d3_92a3_4638_a846_65841be33466"/>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t>​</w:t>
      </w:r>
    </w:p>
    <w:tbl>
      <w:tblPr>
        <w:tblW w:w="10205" w:type="dxa"/>
        <w:jc w:val="left"/>
        <w:tblInd w:w="0" w:type="dxa"/>
        <w:tblLayout w:type="fixed"/>
        <w:tblCellMar>
          <w:top w:w="0" w:type="dxa"/>
          <w:left w:w="0" w:type="dxa"/>
          <w:bottom w:w="0" w:type="dxa"/>
          <w:right w:w="0" w:type="dxa"/>
        </w:tblCellMar>
      </w:tblPr>
      <w:tblGrid>
        <w:gridCol w:w="481"/>
        <w:gridCol w:w="326"/>
        <w:gridCol w:w="1141"/>
        <w:gridCol w:w="326"/>
        <w:gridCol w:w="1141"/>
        <w:gridCol w:w="326"/>
        <w:gridCol w:w="1141"/>
        <w:gridCol w:w="326"/>
        <w:gridCol w:w="1141"/>
        <w:gridCol w:w="326"/>
        <w:gridCol w:w="991"/>
        <w:gridCol w:w="326"/>
        <w:gridCol w:w="991"/>
        <w:gridCol w:w="326"/>
        <w:gridCol w:w="89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05435" cy="175260"/>
                      <wp:effectExtent l="0" t="0" r="0" b="0"/>
                      <wp:wrapNone/>
                      <wp:docPr id="72" name="Frame6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3"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24535" cy="175260"/>
                      <wp:effectExtent l="0" t="0" r="0" b="0"/>
                      <wp:wrapNone/>
                      <wp:docPr id="74" name="Frame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5"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4535" cy="175260"/>
                      <wp:effectExtent l="0" t="0" r="0" b="0"/>
                      <wp:wrapNone/>
                      <wp:docPr id="76" name="Frame7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7"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24535" cy="175260"/>
                      <wp:effectExtent l="0" t="0" r="0" b="0"/>
                      <wp:wrapNone/>
                      <wp:docPr id="78" name="Frame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79"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24535" cy="175260"/>
                      <wp:effectExtent l="0" t="0" r="0" b="0"/>
                      <wp:wrapNone/>
                      <wp:docPr id="80" name="Frame7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1"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29285" cy="175260"/>
                      <wp:effectExtent l="0" t="0" r="0" b="0"/>
                      <wp:wrapNone/>
                      <wp:docPr id="82" name="Frame7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3"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29285" cy="175260"/>
                      <wp:effectExtent l="0" t="0" r="0" b="0"/>
                      <wp:wrapNone/>
                      <wp:docPr id="84" name="Frame8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5"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8960" cy="175260"/>
                      <wp:effectExtent l="0" t="0" r="0" b="0"/>
                      <wp:wrapNone/>
                      <wp:docPr id="86" name="Frame8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1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1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1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1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9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9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89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w:t>
            </w:r>
          </w:p>
        </w:tc>
      </w:tr>
      <w:tr>
        <w:trPr/>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8" w:type="dxa"/>
            <w:gridSpan w:val="3"/>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Value of Initial Fixed $100</w:t>
            </w:r>
          </w:p>
        </w:tc>
        <w:tc>
          <w:tcPr>
            <w:tcW w:w="326"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Investment Based on:</w:t>
            </w:r>
          </w:p>
        </w:tc>
        <w:tc>
          <w:tcPr>
            <w:tcW w:w="326"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Summary</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Average</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Peer</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896" w:type="dxa"/>
            <w:tcBorders/>
            <w:vAlign w:val="center"/>
          </w:tcPr>
          <w:p>
            <w:pPr>
              <w:pStyle w:val="TableContents"/>
              <w:bidi w:val="0"/>
              <w:spacing w:before="0" w:after="0"/>
              <w:ind w:left="0" w:right="0" w:hanging="0"/>
              <w:jc w:val="center"/>
              <w:rPr>
                <w:color w:val="221E1F"/>
              </w:rPr>
            </w:pPr>
            <w:r>
              <w:rPr>
                <w:color w:val="221E1F"/>
              </w:rPr>
              <w:t>​</w:t>
            </w:r>
          </w:p>
        </w:tc>
      </w:tr>
      <w:tr>
        <w:trPr/>
        <w:tc>
          <w:tcPr>
            <w:tcW w:w="481" w:type="dxa"/>
            <w:tcBorders/>
            <w:vAlign w:val="center"/>
          </w:tcPr>
          <w:p>
            <w:pPr>
              <w:pStyle w:val="TableContents"/>
              <w:bidi w:val="0"/>
              <w:spacing w:before="0" w:after="0"/>
              <w:ind w:left="0" w:right="0" w:hanging="0"/>
              <w:jc w:val="left"/>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Summary</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Compensation</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Compensation</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CompX</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Group</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896" w:type="dxa"/>
            <w:tcBorders/>
            <w:vAlign w:val="center"/>
          </w:tcPr>
          <w:p>
            <w:pPr>
              <w:pStyle w:val="TableContents"/>
              <w:bidi w:val="0"/>
              <w:spacing w:before="0" w:after="0"/>
              <w:ind w:left="0" w:right="0" w:hanging="0"/>
              <w:jc w:val="center"/>
              <w:rPr>
                <w:color w:val="221E1F"/>
              </w:rPr>
            </w:pPr>
            <w:r>
              <w:rPr>
                <w:color w:val="221E1F"/>
              </w:rPr>
              <w:t>​</w:t>
            </w:r>
          </w:p>
        </w:tc>
      </w:tr>
      <w:tr>
        <w:trPr/>
        <w:tc>
          <w:tcPr>
            <w:tcW w:w="481" w:type="dxa"/>
            <w:tcBorders/>
            <w:vAlign w:val="center"/>
          </w:tcPr>
          <w:p>
            <w:pPr>
              <w:pStyle w:val="TableContents"/>
              <w:bidi w:val="0"/>
              <w:spacing w:before="0" w:after="0"/>
              <w:ind w:left="0" w:right="0" w:hanging="0"/>
              <w:jc w:val="left"/>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Compensation</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Compensation</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Table Total</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Actually Paid</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Total</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Total</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896"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Net</w:t>
            </w:r>
          </w:p>
        </w:tc>
      </w:tr>
      <w:tr>
        <w:trPr/>
        <w:tc>
          <w:tcPr>
            <w:tcW w:w="481" w:type="dxa"/>
            <w:tcBorders/>
            <w:vAlign w:val="center"/>
          </w:tcPr>
          <w:p>
            <w:pPr>
              <w:pStyle w:val="TableContents"/>
              <w:bidi w:val="0"/>
              <w:spacing w:before="0" w:after="0"/>
              <w:ind w:left="0" w:right="0" w:hanging="0"/>
              <w:jc w:val="left"/>
              <w:rPr>
                <w:color w:val="221E1F"/>
              </w:rPr>
            </w:pPr>
            <w:r>
              <w:rPr>
                <w:color w:val="221E1F"/>
              </w:rPr>
              <w:t>​</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Table Total</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Actually Paid</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for Non-PEO</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to Non-PEO</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Shareholder</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Shareholder</w:t>
            </w:r>
          </w:p>
        </w:tc>
        <w:tc>
          <w:tcPr>
            <w:tcW w:w="326" w:type="dxa"/>
            <w:tcBorders/>
            <w:vAlign w:val="center"/>
          </w:tcPr>
          <w:p>
            <w:pPr>
              <w:pStyle w:val="TableContents"/>
              <w:bidi w:val="0"/>
              <w:spacing w:before="0" w:after="0"/>
              <w:ind w:left="0" w:right="0" w:hanging="0"/>
              <w:jc w:val="center"/>
              <w:rPr>
                <w:color w:val="221E1F"/>
              </w:rPr>
            </w:pPr>
            <w:r>
              <w:rPr>
                <w:color w:val="221E1F"/>
              </w:rPr>
              <w:t>​</w:t>
            </w:r>
          </w:p>
        </w:tc>
        <w:tc>
          <w:tcPr>
            <w:tcW w:w="896"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Income</w:t>
            </w:r>
          </w:p>
        </w:tc>
      </w:tr>
      <w:tr>
        <w:trPr/>
        <w:tc>
          <w:tcPr>
            <w:tcW w:w="481" w:type="dxa"/>
            <w:tcBorders/>
            <w:vAlign w:val="center"/>
          </w:tcPr>
          <w:p>
            <w:pPr>
              <w:pStyle w:val="TableContents"/>
              <w:bidi w:val="0"/>
              <w:spacing w:before="0" w:after="0"/>
              <w:ind w:left="0" w:right="0" w:hanging="0"/>
              <w:jc w:val="both"/>
              <w:rPr>
                <w:color w:val="221E1F"/>
              </w:rPr>
            </w:pPr>
            <w:r>
              <w:rPr>
                <w:color w:val="221E1F"/>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for PEO (1)</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to PEO (1)(2)</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NEOs (3)</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NEOs (2)(3)</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Return (4)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Return (4)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896" w:type="dxa"/>
            <w:tcBorders/>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 in</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Year</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21E1F"/>
                <w:sz w:val="16"/>
              </w:rPr>
            </w:pPr>
            <w:r>
              <w:rPr>
                <w:rFonts w:ascii="Times New Roman;Times;serif" w:hAnsi="Times New Roman;Times;serif"/>
                <w:b/>
                <w:color w:val="221E1F"/>
                <w:sz w:val="16"/>
              </w:rPr>
              <w:t>thousands)</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color w:val="221E1F"/>
                <w:sz w:val="16"/>
              </w:rPr>
            </w:pPr>
            <w:r>
              <w:rPr>
                <w:rFonts w:ascii="Times New Roman;Times;serif" w:hAnsi="Times New Roman;Times;serif"/>
                <w:color w:val="221E1F"/>
                <w:sz w:val="16"/>
              </w:rPr>
              <w:t>2024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1,363,609</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1,363,609</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300,000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300,000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250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124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16,587</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21E1F"/>
                <w:sz w:val="16"/>
              </w:rPr>
            </w:pPr>
            <w:r>
              <w:rPr>
                <w:rFonts w:ascii="Times New Roman;Times;serif" w:hAnsi="Times New Roman;Times;serif"/>
                <w:color w:val="221E1F"/>
                <w:sz w:val="16"/>
              </w:rPr>
              <w:t>2023</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1,315,477</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1,315,477</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279,750</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279,750</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218</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88</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22,593</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color w:val="221E1F"/>
                <w:sz w:val="16"/>
              </w:rPr>
            </w:pPr>
            <w:r>
              <w:rPr>
                <w:rFonts w:ascii="Times New Roman;Times;serif" w:hAnsi="Times New Roman;Times;serif"/>
                <w:color w:val="221E1F"/>
                <w:sz w:val="16"/>
              </w:rPr>
              <w:t>2022</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1,258,883</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1,258,883</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348,000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348,000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152</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74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20,871</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21E1F"/>
                <w:sz w:val="16"/>
              </w:rPr>
            </w:pPr>
            <w:r>
              <w:rPr>
                <w:rFonts w:ascii="Times New Roman;Times;serif" w:hAnsi="Times New Roman;Times;serif"/>
                <w:color w:val="221E1F"/>
                <w:sz w:val="16"/>
              </w:rPr>
              <w:t>2021</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1,185,257</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1,185,257</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321,800</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321,800</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165</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110</w:t>
            </w:r>
          </w:p>
        </w:tc>
        <w:tc>
          <w:tcPr>
            <w:tcW w:w="326" w:type="dxa"/>
            <w:tcBorders/>
            <w:shd w:fill="CCEEFF" w:val="clear"/>
            <w:vAlign w:val="center"/>
          </w:tcPr>
          <w:p>
            <w:pPr>
              <w:pStyle w:val="TableContents"/>
              <w:bidi w:val="0"/>
              <w:spacing w:before="0" w:after="0"/>
              <w:ind w:left="0" w:right="0" w:hanging="0"/>
              <w:jc w:val="left"/>
              <w:rPr>
                <w:color w:val="221E1F"/>
              </w:rPr>
            </w:pPr>
            <w:r>
              <w:rPr>
                <w:color w:val="221E1F"/>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16,568</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color w:val="221E1F"/>
                <w:sz w:val="16"/>
              </w:rPr>
            </w:pPr>
            <w:r>
              <w:rPr>
                <w:rFonts w:ascii="Times New Roman;Times;serif" w:hAnsi="Times New Roman;Times;serif"/>
                <w:color w:val="221E1F"/>
                <w:sz w:val="16"/>
              </w:rPr>
              <w:t>2020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1,082,190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1,082,190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400,500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400,500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100</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color w:val="221E1F"/>
                <w:sz w:val="16"/>
              </w:rPr>
            </w:pPr>
            <w:r>
              <w:rPr>
                <w:rFonts w:ascii="Times New Roman;Times;serif" w:hAnsi="Times New Roman;Times;serif"/>
                <w:color w:val="221E1F"/>
                <w:sz w:val="16"/>
              </w:rPr>
              <w:t>124</w:t>
            </w:r>
          </w:p>
        </w:tc>
        <w:tc>
          <w:tcPr>
            <w:tcW w:w="326" w:type="dxa"/>
            <w:tcBorders/>
            <w:vAlign w:val="center"/>
          </w:tcPr>
          <w:p>
            <w:pPr>
              <w:pStyle w:val="TableContents"/>
              <w:bidi w:val="0"/>
              <w:spacing w:before="0" w:after="0"/>
              <w:ind w:left="0" w:right="0" w:hanging="0"/>
              <w:jc w:val="left"/>
              <w:rPr>
                <w:color w:val="221E1F"/>
              </w:rPr>
            </w:pPr>
            <w:r>
              <w:rPr>
                <w:color w:val="221E1F"/>
              </w:rPr>
              <w:t> </w:t>
            </w:r>
          </w:p>
        </w:tc>
        <w:tc>
          <w:tcPr>
            <w:tcW w:w="896" w:type="dxa"/>
            <w:tcBorders/>
            <w:vAlign w:val="center"/>
          </w:tcPr>
          <w:p>
            <w:pPr>
              <w:pStyle w:val="TableContents"/>
              <w:bidi w:val="0"/>
              <w:spacing w:before="0" w:after="0"/>
              <w:ind w:left="0" w:right="60" w:hanging="0"/>
              <w:jc w:val="right"/>
              <w:rPr>
                <w:rFonts w:ascii="Times New Roman;Times;serif" w:hAnsi="Times New Roman;Times;serif"/>
                <w:color w:val="221E1F"/>
                <w:sz w:val="16"/>
              </w:rPr>
            </w:pPr>
            <w:r>
              <w:rPr>
                <w:rFonts w:ascii="Times New Roman;Times;serif" w:hAnsi="Times New Roman;Times;serif"/>
                <w:color w:val="221E1F"/>
                <w:sz w:val="16"/>
              </w:rPr>
              <w:t>10,323</w:t>
            </w:r>
          </w:p>
        </w:tc>
      </w:tr>
    </w:tbl>
    <w:tbl>
      <w:tblPr>
        <w:tblW w:w="5912" w:type="dxa"/>
        <w:jc w:val="left"/>
        <w:tblInd w:w="0" w:type="dxa"/>
        <w:tblLayout w:type="fixed"/>
        <w:tblCellMar>
          <w:top w:w="0" w:type="dxa"/>
          <w:left w:w="0" w:type="dxa"/>
          <w:bottom w:w="0" w:type="dxa"/>
          <w:right w:w="0" w:type="dxa"/>
        </w:tblCellMar>
      </w:tblPr>
      <w:tblGrid>
        <w:gridCol w:w="346"/>
        <w:gridCol w:w="55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only PEO for each year reflected in the table is Scott C. James.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table, the term “compensation actually paid” is the total compensation reported in the Summary Compensation Table in our proxy statement, adjusted (if applicable) as required by SEC rules; no such adjustments are applicable for the officers and years reported in this table. See the footnotes to our Summary Compensation Table in the applicable year’s proxy statement for a discussion of what we report for compensation for our named executive officers who are Contran employees and perform services to us and our subsidiaries pursuant to the ISA. </w:t>
            </w:r>
          </w:p>
        </w:tc>
      </w:tr>
    </w:tbl>
    <w:tbl>
      <w:tblPr>
        <w:tblW w:w="4517" w:type="dxa"/>
        <w:jc w:val="left"/>
        <w:tblInd w:w="0" w:type="dxa"/>
        <w:tblLayout w:type="fixed"/>
        <w:tblCellMar>
          <w:top w:w="0" w:type="dxa"/>
          <w:left w:w="0" w:type="dxa"/>
          <w:bottom w:w="0" w:type="dxa"/>
          <w:right w:w="0" w:type="dxa"/>
        </w:tblCellMar>
      </w:tblPr>
      <w:tblGrid>
        <w:gridCol w:w="346"/>
        <w:gridCol w:w="41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non-PEO NEOs for each year were as follows:</w:t>
            </w:r>
          </w:p>
        </w:tc>
      </w:tr>
    </w:tbl>
    <w:p>
      <w:pPr>
        <w:pStyle w:val="TextBody"/>
        <w:bidi w:val="0"/>
        <w:spacing w:lineRule="atLeast" w:line="200" w:before="0" w:after="0"/>
        <w:ind w:left="720" w:right="0" w:hanging="0"/>
        <w:jc w:val="left"/>
        <w:rPr>
          <w:rFonts w:ascii="Times New Roman;Times;serif" w:hAnsi="Times New Roman;Times;serif"/>
          <w:sz w:val="20"/>
        </w:rPr>
      </w:pPr>
      <w:r>
        <w:rPr>
          <w:rFonts w:ascii="Times New Roman;Times;serif" w:hAnsi="Times New Roman;Times;serif"/>
          <w:sz w:val="20"/>
        </w:rPr>
        <w:t>2024: Michael S. Simmons, Amy A. Samford, Amy E. Ruf, Bart W. Reichert</w:t>
      </w:r>
    </w:p>
    <w:p>
      <w:pPr>
        <w:pStyle w:val="TextBody"/>
        <w:bidi w:val="0"/>
        <w:spacing w:lineRule="atLeast" w:line="200" w:before="0" w:after="0"/>
        <w:ind w:left="720" w:right="0" w:hanging="0"/>
        <w:jc w:val="left"/>
        <w:rPr>
          <w:rFonts w:ascii="Times New Roman;Times;serif" w:hAnsi="Times New Roman;Times;serif"/>
          <w:sz w:val="20"/>
        </w:rPr>
      </w:pPr>
      <w:r>
        <w:rPr>
          <w:rFonts w:ascii="Times New Roman;Times;serif" w:hAnsi="Times New Roman;Times;serif"/>
          <w:sz w:val="20"/>
        </w:rPr>
        <w:t>2023: Michael S. Simmons, Amy A. Samford, Amy E. Ruf, Bart W. Reichert</w:t>
      </w:r>
    </w:p>
    <w:p>
      <w:pPr>
        <w:pStyle w:val="TextBody"/>
        <w:pBdr/>
        <w:bidi w:val="0"/>
        <w:spacing w:lineRule="atLeast" w:line="200" w:before="0" w:after="0"/>
        <w:ind w:left="720" w:right="0" w:hanging="720"/>
        <w:jc w:val="left"/>
        <w:rPr>
          <w:rFonts w:ascii="Times New Roman;Times;serif" w:hAnsi="Times New Roman;Times;serif"/>
          <w:sz w:val="20"/>
        </w:rPr>
      </w:pPr>
      <w:r>
        <w:rPr>
          <w:rFonts w:ascii="Times New Roman;Times;serif" w:hAnsi="Times New Roman;Times;serif"/>
          <w:sz w:val="20"/>
        </w:rPr>
        <w:t>2022: Michael S. Simmons, Amy A. Samford, Amy E. Ruf, Bart W. Reichert, Robert D. Graham</w:t>
      </w:r>
    </w:p>
    <w:p>
      <w:pPr>
        <w:pStyle w:val="TextBody"/>
        <w:pBdr/>
        <w:bidi w:val="0"/>
        <w:spacing w:lineRule="atLeast" w:line="200" w:before="0" w:after="0"/>
        <w:ind w:left="720" w:right="0" w:hanging="720"/>
        <w:jc w:val="left"/>
        <w:rPr>
          <w:rFonts w:ascii="Times New Roman;Times;serif" w:hAnsi="Times New Roman;Times;serif"/>
          <w:sz w:val="20"/>
        </w:rPr>
      </w:pPr>
      <w:r>
        <w:rPr>
          <w:rFonts w:ascii="Times New Roman;Times;serif" w:hAnsi="Times New Roman;Times;serif"/>
          <w:sz w:val="20"/>
        </w:rPr>
        <w:t>2021: Robert D. Graham, Andrew B. Nace, Michael S. Simmons, Amy E. Ruf, Amy A. Samford</w:t>
      </w:r>
    </w:p>
    <w:p>
      <w:pPr>
        <w:pStyle w:val="TextBody"/>
        <w:pBdr/>
        <w:bidi w:val="0"/>
        <w:spacing w:lineRule="atLeast" w:line="200" w:before="0" w:after="0"/>
        <w:ind w:left="720" w:right="0" w:hanging="720"/>
        <w:jc w:val="left"/>
        <w:rPr>
          <w:rFonts w:ascii="Times New Roman;Times;serif" w:hAnsi="Times New Roman;Times;serif"/>
          <w:sz w:val="20"/>
        </w:rPr>
      </w:pPr>
      <w:r>
        <w:rPr>
          <w:rFonts w:ascii="Times New Roman;Times;serif" w:hAnsi="Times New Roman;Times;serif"/>
          <w:sz w:val="20"/>
        </w:rPr>
        <w:t>2020: Robert D. Graham, Andrew B. Nace, Amy A. Samford, Amy E. Ruf</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tLeast" w:line="200"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(TSR) amounts show the value at December 31 of each year, assuming an original investment of $100 at December 31, 2019 and reinvestment of cash dividends and other distributions to stockholders. For the peer group TSR, the peer group is comprised of the same companies as in our performance graph in Part II, Item 5 of our annual report on Form 10-K for the fiscal year ended December 31, 2024, namely The Eastern Company and Strattec Security Corporation.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chart shows the relationship between the amounts in columns (c) and (c-2) and in column (e) of the Pay Versus Performance Table, and the total shareholder return (TSR) amounts in columns (f) and (g) of the Pay Versus Performance Table. It also shows the relationship between our TSR and the peer group TSR</w:t>
      </w:r>
      <w:r>
        <w:rPr>
          <w:rFonts w:ascii="Times New Roman;Times;serif" w:hAnsi="Times New Roman;Times;serif"/>
          <w:b/>
          <w:sz w:val="20"/>
        </w:rPr>
        <w:t>.</w:t>
      </w:r>
    </w:p>
    <w:p>
      <w:pPr>
        <w:pStyle w:val="TextBody"/>
        <w:bidi w:val="0"/>
        <w:spacing w:before="0" w:after="240"/>
        <w:ind w:left="0" w:right="0" w:hanging="0"/>
        <w:jc w:val="center"/>
        <w:rPr/>
      </w:pPr>
      <w:r>
        <w:rPr/>
        <w:drawing>
          <wp:inline distT="0" distB="0" distL="0" distR="0">
            <wp:extent cx="4077970" cy="2541905"/>
            <wp:effectExtent l="0" t="0" r="0" b="0"/>
            <wp:docPr id="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 descr=""/>
                    <pic:cNvPicPr>
                      <a:picLocks noChangeAspect="1" noChangeArrowheads="1"/>
                    </pic:cNvPicPr>
                  </pic:nvPicPr>
                  <pic:blipFill>
                    <a:blip r:embed="rId6"/>
                    <a:stretch>
                      <a:fillRect/>
                    </a:stretch>
                  </pic:blipFill>
                  <pic:spPr bwMode="auto">
                    <a:xfrm>
                      <a:off x="0" y="0"/>
                      <a:ext cx="4077970" cy="2541905"/>
                    </a:xfrm>
                    <a:prstGeom prst="rect">
                      <a:avLst/>
                    </a:prstGeom>
                  </pic:spPr>
                </pic:pic>
              </a:graphicData>
            </a:graphic>
          </wp:inline>
        </w:drawing>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chart shows the relationship between the amounts in columns (c) and (c-2) and in column (e) of the Pay Versus Performance Table, and our net income as shown in column (h) of the Pay Versus Performance Table. </w:t>
      </w:r>
    </w:p>
    <w:p>
      <w:pPr>
        <w:pStyle w:val="TextBody"/>
        <w:bidi w:val="0"/>
        <w:spacing w:before="0" w:after="240"/>
        <w:ind w:left="0" w:right="0" w:hanging="0"/>
        <w:jc w:val="center"/>
        <w:rPr/>
      </w:pPr>
      <w:r>
        <w:rPr/>
        <w:drawing>
          <wp:inline distT="0" distB="0" distL="0" distR="0">
            <wp:extent cx="4077970" cy="2578735"/>
            <wp:effectExtent l="0" t="0" r="0" b="0"/>
            <wp:docPr id="8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 descr=""/>
                    <pic:cNvPicPr>
                      <a:picLocks noChangeAspect="1" noChangeArrowheads="1"/>
                    </pic:cNvPicPr>
                  </pic:nvPicPr>
                  <pic:blipFill>
                    <a:blip r:embed="rId7"/>
                    <a:stretch>
                      <a:fillRect/>
                    </a:stretch>
                  </pic:blipFill>
                  <pic:spPr bwMode="auto">
                    <a:xfrm>
                      <a:off x="0" y="0"/>
                      <a:ext cx="4077970" cy="2578735"/>
                    </a:xfrm>
                    <a:prstGeom prst="rect">
                      <a:avLst/>
                    </a:prstGeom>
                  </pic:spPr>
                </pic:pic>
              </a:graphicData>
            </a:graphic>
          </wp:inline>
        </w:drawing>
      </w:r>
    </w:p>
    <w:p>
      <w:pPr>
        <w:pStyle w:val="TextBody"/>
        <w:bidi w:val="0"/>
        <w:spacing w:before="0" w:after="240"/>
        <w:ind w:left="0" w:right="0" w:firstLine="720"/>
        <w:jc w:val="left"/>
        <w:rPr>
          <w:rFonts w:ascii="Times New Roman;Times;serif" w:hAnsi="Times New Roman;Times;serif"/>
          <w:sz w:val="20"/>
        </w:rPr>
      </w:pPr>
      <w:bookmarkStart w:id="116" w:name="COMPENSATIONPOLICIESANDPRACTICES"/>
      <w:bookmarkEnd w:id="116"/>
      <w:r>
        <w:rPr>
          <w:rFonts w:ascii="Times New Roman;Times;serif" w:hAnsi="Times New Roman;Times;serif"/>
          <w:b/>
          <w:i/>
          <w:color w:val="221E1F"/>
          <w:sz w:val="20"/>
        </w:rPr>
        <w:t>Compensation Policies and Practices as They Relate to Risk Management</w:t>
      </w:r>
      <w:r>
        <w:rPr>
          <w:rFonts w:ascii="Times New Roman;Times;serif" w:hAnsi="Times New Roman;Times;serif"/>
          <w:sz w:val="20"/>
        </w:rPr>
        <w:t xml:space="preserve">. </w:t>
      </w:r>
      <w:r>
        <w:rPr>
          <w:rFonts w:ascii="Times New Roman;Times;serif" w:hAnsi="Times New Roman;Times;serif"/>
          <w:color w:val="221E1F"/>
          <w:sz w:val="20"/>
        </w:rPr>
        <w:t>We believe that the risks arising from our compensation policies and practices are not reasonably likely to have a material adverse effect on us. In reaching this conclusion, we considered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we do not grant equity awards to our employees, officers or other persons who provide services to us under our ISA with Contran, which mitigates taking excessive or inappropriate risk for short-term gain that might be rewarded by equity compensation;</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21E1F"/>
                <w:sz w:val="20"/>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our executive officers, who are responsible for establishing and executing such business plan, are not eligible to receive bonuses based on the business plan, but instead are only eligible for the discretionary-based bonuses described above; and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21E1F"/>
                <w:sz w:val="20"/>
              </w:rPr>
              <w:t>there exist ceilings for our other key employee bonuses (which are not a significant part of their compensation) regardless of the actual level of our financial performance achieved</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21E1F"/>
                <w:sz w:val="20"/>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21E1F"/>
                <w:sz w:val="20"/>
              </w:rPr>
              <w:t>since we are a controlled company, as previously discussed, management has a strong incentive to understand and perform in the long-term interests of our stockholders</w:t>
            </w:r>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experience is that our </w:t>
            </w:r>
            <w:r>
              <w:rPr>
                <w:rFonts w:ascii="Times New Roman;Times;serif" w:hAnsi="Times New Roman;Times;serif"/>
                <w:b w:val="false"/>
                <w:i w:val="false"/>
                <w:caps w:val="false"/>
                <w:smallCaps w:val="false"/>
                <w:color w:val="221E1F"/>
                <w:sz w:val="20"/>
              </w:rPr>
              <w:t xml:space="preserve">employees </w:t>
            </w:r>
            <w:r>
              <w:rPr>
                <w:rFonts w:ascii="Times New Roman;Times;serif" w:hAnsi="Times New Roman;Times;serif"/>
                <w:b w:val="false"/>
                <w:i w:val="false"/>
                <w:caps w:val="false"/>
                <w:smallCaps w:val="false"/>
                <w:sz w:val="20"/>
              </w:rPr>
              <w:t>are appropriately motivated by our compensation policies and practices to achieve profits and other business objectives in compliance with our oversight of material short and long-term risks.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discussion of our compensation policies and practices for our executive officers, please see the Compensation Discussion and Analysis section of this proxy statement.</w:t>
      </w:r>
    </w:p>
    <w:p>
      <w:pPr>
        <w:pStyle w:val="TextBody"/>
        <w:bidi w:val="0"/>
        <w:spacing w:before="0" w:after="0"/>
        <w:ind w:left="0" w:right="0" w:firstLine="720"/>
        <w:jc w:val="left"/>
        <w:rPr>
          <w:rFonts w:ascii="Times New Roman;Times;serif" w:hAnsi="Times New Roman;Times;serif"/>
          <w:sz w:val="20"/>
        </w:rPr>
      </w:pPr>
      <w:bookmarkStart w:id="117" w:name="COMPENSATIONCONSULTANTS"/>
      <w:bookmarkEnd w:id="117"/>
      <w:r>
        <w:rPr>
          <w:rFonts w:ascii="Times New Roman;Times;serif" w:hAnsi="Times New Roman;Times;serif"/>
          <w:b/>
          <w:i/>
          <w:sz w:val="20"/>
        </w:rPr>
        <w:t>Compensation Consultants</w:t>
      </w:r>
      <w:r>
        <w:rPr>
          <w:rFonts w:ascii="Times New Roman;Times;serif" w:hAnsi="Times New Roman;Times;serif"/>
          <w:sz w:val="20"/>
        </w:rPr>
        <w:t>. Neither our board of directors, management development and compensation committee nor management has engaged any compensation consultants.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8" w:name="SECTION16aBENEFICIALOWNERSHIPREPORTINGCO"/>
      <w:bookmarkStart w:id="119" w:name="_13940dc8_fac5_40d8_970b_b017c3b70cc9"/>
      <w:bookmarkEnd w:id="118"/>
      <w:bookmarkEnd w:id="119"/>
      <w:r>
        <w:rPr>
          <w:rFonts w:ascii="Times New Roman;Times;serif" w:hAnsi="Times New Roman;Times;serif"/>
          <w:b/>
          <w:sz w:val="20"/>
        </w:rPr>
        <w:t>SECTION 16(a) BENEFICIAL OWNERSHIP REPORTING COMPLIANCE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2024 our executive officers, directors and 10% stockholders complied with all applicable filing requirements under section 16(a).</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120" w:name="_910cb040_4764_4bf2_9d54_0dbe22c50759"/>
      <w:bookmarkEnd w:id="120"/>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1" w:name="CERTAINRELATIONSHIPSANDTRANSACTIONS_7176"/>
      <w:bookmarkEnd w:id="121"/>
      <w:r>
        <w:rPr>
          <w:rFonts w:ascii="Times New Roman;Times;serif" w:hAnsi="Times New Roman;Times;serif"/>
          <w:b/>
          <w:sz w:val="20"/>
        </w:rPr>
        <w:t>CERTAIN RELATIONSHIPS AND TRANSACTIONS</w:t>
      </w:r>
    </w:p>
    <w:p>
      <w:pPr>
        <w:pStyle w:val="TextBody"/>
        <w:bidi w:val="0"/>
        <w:spacing w:before="240" w:after="240"/>
        <w:ind w:left="0" w:right="0" w:firstLine="720"/>
        <w:jc w:val="left"/>
        <w:rPr>
          <w:rFonts w:ascii="Times New Roman;Times;serif" w:hAnsi="Times New Roman;Times;serif"/>
          <w:sz w:val="20"/>
        </w:rPr>
      </w:pPr>
      <w:bookmarkStart w:id="122" w:name="RELATEDPARTYTRANSACTIONPOLICY"/>
      <w:bookmarkEnd w:id="122"/>
      <w:r>
        <w:rPr>
          <w:rFonts w:ascii="Times New Roman;Times;serif" w:hAnsi="Times New Roman;Times;serif"/>
          <w:b/>
          <w:i/>
          <w:sz w:val="20"/>
        </w:rPr>
        <w:t>Related Party Transaction Policy</w:t>
      </w:r>
      <w:r>
        <w:rPr>
          <w:rFonts w:ascii="Times New Roman;Times;serif" w:hAnsi="Times New Roman;Times;serif"/>
          <w:sz w:val="20"/>
        </w:rPr>
        <w:t xml:space="preserve">. From time to time, we engage in transactions with affiliated companies. Pursuant to our Policy Regarding Related Party Transactions, or RPT Policy, all related party transactions (as defined in the RPT Policy) to which we are or are proposed to be a party are approved or (where permitted) ratified by our audit committee (unless another committee of our board of directors composed solely of independent directors, or all of the independent directors of our board, shall have approved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Times New Roman;Times;serif" w:hAnsi="Times New Roman;Times;serif"/>
          <w:b/>
          <w:i/>
          <w:sz w:val="20"/>
        </w:rPr>
        <w:t>www.compxinternational.com</w:t>
      </w:r>
      <w:r>
        <w:rPr>
          <w:rFonts w:ascii="Times New Roman;Times;serif" w:hAnsi="Times New Roman;Times;serif"/>
          <w:sz w:val="20"/>
        </w:rPr>
        <w:t xml:space="preserve"> under the governance section.</w:t>
      </w:r>
    </w:p>
    <w:p>
      <w:pPr>
        <w:pStyle w:val="TextBody"/>
        <w:bidi w:val="0"/>
        <w:spacing w:before="240" w:after="0"/>
        <w:ind w:left="0" w:right="0" w:firstLine="556"/>
        <w:jc w:val="left"/>
        <w:rPr>
          <w:rFonts w:ascii="Times New Roman;Times;serif" w:hAnsi="Times New Roman;Times;serif"/>
          <w:sz w:val="20"/>
        </w:rPr>
      </w:pPr>
      <w:bookmarkStart w:id="123" w:name="_Hlk94016840"/>
      <w:bookmarkEnd w:id="123"/>
      <w:r>
        <w:rPr>
          <w:rFonts w:ascii="Times New Roman;Times;serif" w:hAnsi="Times New Roman;Times;serif"/>
          <w:sz w:val="20"/>
        </w:rPr>
        <w:t>During 2024, our audit committee reviewed and approved the following ordinary course of business related party transactions to which we are a party in accordance with the terms of such RPT Policy, each of which was part of an ongoing program or agreement that had been previously approved: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 loans – our unsecured revolving credit facility with Valhi, which in 2024 provided for loans by us to Valhi of up to $25 million.</w:t>
            </w:r>
          </w:p>
        </w:tc>
      </w:tr>
    </w:tbl>
    <w:p>
      <w:pPr>
        <w:pStyle w:val="TextBody"/>
        <w:bidi w:val="0"/>
        <w:spacing w:before="240" w:after="240"/>
        <w:ind w:left="0" w:right="0" w:firstLine="562"/>
        <w:jc w:val="left"/>
        <w:rPr>
          <w:rFonts w:ascii="Times New Roman;Times;serif" w:hAnsi="Times New Roman;Times;serif"/>
          <w:sz w:val="20"/>
        </w:rPr>
      </w:pPr>
      <w:r>
        <w:rPr>
          <w:rFonts w:ascii="Times New Roman;Times;serif" w:hAnsi="Times New Roman;Times;serif"/>
          <w:sz w:val="20"/>
        </w:rPr>
        <w:t>Each of these ordinary course of business related party transactions, and the actions taken by the audit committee in fulfilling its duties and responsibilities under the RPT Policy, are more fully described below.  Our audit committee was not required to approve the fee we paid to Contran in 2024 under our intercorporate services agreement with Contran, because such intercorporate services fee is approved by all of the independent directors of our board, as more fully described below. During 2024, we were not a party to any other related party transactions (ordinary course of business related party transactions or otherwise) requiring approval or ratification under the RPT Policy.</w:t>
      </w:r>
    </w:p>
    <w:p>
      <w:pPr>
        <w:pStyle w:val="TextBody"/>
        <w:bidi w:val="0"/>
        <w:spacing w:before="0" w:after="240"/>
        <w:ind w:left="0" w:right="0" w:firstLine="720"/>
        <w:jc w:val="left"/>
        <w:rPr>
          <w:rFonts w:ascii="Times New Roman;Times;serif" w:hAnsi="Times New Roman;Times;serif"/>
          <w:sz w:val="20"/>
        </w:rPr>
      </w:pPr>
      <w:bookmarkStart w:id="124" w:name="RELATIONSHIPSWITHRELATEDPARTIES"/>
      <w:bookmarkEnd w:id="124"/>
      <w:r>
        <w:rPr>
          <w:rFonts w:ascii="Times New Roman;Times;serif" w:hAnsi="Times New Roman;Times;serif"/>
          <w:b/>
          <w:i/>
          <w:sz w:val="20"/>
        </w:rPr>
        <w:t>Relationships with Related Parties</w:t>
      </w:r>
      <w:r>
        <w:rPr>
          <w:rFonts w:ascii="Times New Roman;Times;serif" w:hAnsi="Times New Roman;Times;serif"/>
          <w:sz w:val="20"/>
        </w:rPr>
        <w:t>. As set forth under the Security Ownership section of this proxy statement, Lisa K. Simmons and the Family Trust may be deemed to control us. We and other entities that may be deemed to be controlled by or related to Ms. Simmons and the Family Trust sometimes engage in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directors or executive officers of Contran, NL, Kronos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pStyle w:val="TextBody"/>
        <w:bidi w:val="0"/>
        <w:spacing w:before="0" w:after="240"/>
        <w:ind w:left="0" w:right="0" w:firstLine="720"/>
        <w:jc w:val="left"/>
        <w:rPr>
          <w:rFonts w:ascii="Times New Roman;Times;serif" w:hAnsi="Times New Roman;Times;serif"/>
          <w:sz w:val="20"/>
        </w:rPr>
      </w:pPr>
      <w:bookmarkStart w:id="125" w:name="OLE_LINK4"/>
      <w:bookmarkStart w:id="126" w:name="INTERCORPORATESERVICESAGREEMENT"/>
      <w:bookmarkEnd w:id="125"/>
      <w:bookmarkEnd w:id="126"/>
      <w:r>
        <w:rPr>
          <w:rFonts w:ascii="Times New Roman;Times;serif" w:hAnsi="Times New Roman;Times;serif"/>
          <w:b/>
          <w:i/>
          <w:sz w:val="20"/>
        </w:rPr>
        <w:t>Intercorporate Services Agreements</w:t>
      </w:r>
      <w:r>
        <w:rPr>
          <w:rFonts w:ascii="Times New Roman;Times;serif" w:hAnsi="Times New Roman;Times;serif"/>
          <w:sz w:val="20"/>
        </w:rPr>
        <w:t>. As discussed elsewhere in this proxy statement, we and certain related companies have entered into ISAs. Under the ISAs, employees of one company provide certain services, including executive officer services, to the other company on an annual fixed fee basis. The services rendered under the ISAs may include executive, management, financial, internal audit, accounting, tax, legal, insurance, insurance claims management, risk management, real estate management, environmental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2024 fee charged to us under our ISA with Contran.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2024, we paid Contran fees of approximately $3.2 million for its services under our ISA with Contran, including amounts for the services of certain of our named executive officers that are employees of Contran, as disclosed in the 2024 Summary Compensation Table in this proxy statement. In 2025, we expect to pay Contran fees of approximately $3.4 million for its services under this ISA, including the services of certain of our named executive officers that are employees of Contran.</w:t>
      </w:r>
    </w:p>
    <w:p>
      <w:pPr>
        <w:pStyle w:val="TextBody"/>
        <w:bidi w:val="0"/>
        <w:spacing w:before="0" w:after="240"/>
        <w:ind w:left="0" w:right="0" w:firstLine="720"/>
        <w:jc w:val="left"/>
        <w:rPr>
          <w:rFonts w:ascii="Times New Roman;Times;serif" w:hAnsi="Times New Roman;Times;serif"/>
          <w:sz w:val="20"/>
        </w:rPr>
      </w:pPr>
      <w:bookmarkStart w:id="127" w:name="RISKMANAGEMENTPROGRAM"/>
      <w:bookmarkEnd w:id="127"/>
      <w:r>
        <w:rPr>
          <w:rFonts w:ascii="Times New Roman;Times;serif" w:hAnsi="Times New Roman;Times;serif"/>
          <w:b/>
          <w:i/>
          <w:sz w:val="20"/>
        </w:rPr>
        <w:t>Risk Management Program</w:t>
      </w:r>
      <w:r>
        <w:rPr>
          <w:rFonts w:ascii="Times New Roman;Times;serif" w:hAnsi="Times New Roman;Times;serif"/>
          <w:sz w:val="20"/>
        </w:rPr>
        <w:t xml:space="preserve">. We and Contran participate in a combined risk management program. Pursuant to the program, Contran and certain of its subsidiaries and related entities, including us and certain of our subsidiaries and related entities, as a group purchase insurance coverage and risk management services. The program apportions its costs among the participating companies.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Tall Pines is a captive insurance company wholly owned by Valhi that underwrites certain insurance policies to Contran and certain of its subsidiaries and related entities,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 or equivalent rating.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 </w:t>
      </w:r>
    </w:p>
    <w:p>
      <w:pPr>
        <w:pStyle w:val="TextBody"/>
        <w:bidi w:val="0"/>
        <w:spacing w:before="0" w:after="0"/>
        <w:ind w:left="0" w:right="0" w:firstLine="720"/>
        <w:jc w:val="left"/>
        <w:rPr>
          <w:rFonts w:ascii="Times New Roman;Times;serif" w:hAnsi="Times New Roman;Times;serif"/>
          <w:sz w:val="20"/>
        </w:rPr>
      </w:pPr>
      <w:bookmarkStart w:id="128" w:name="_Hlk125565238"/>
      <w:bookmarkEnd w:id="128"/>
      <w:r>
        <w:rPr>
          <w:rFonts w:ascii="Times New Roman;Times;serif" w:hAnsi="Times New Roman;Times;serif"/>
          <w:sz w:val="20"/>
        </w:rPr>
        <w:t xml:space="preserve">During 2024, we paid approximately $3.4 million under the combined risk management program. This amount principally represents premiums and fees for insurance, including approximately $1.1 million for policies underwritten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by Tall Pines. The full amount also includes reimbursements to insurers or reinsurers of claims within our applicable deductible or retention ranges that such insurers and reinsurers paid to third parties on our behalf, as well as amounts for risk management services and various other third-party fees and expenses incurred by the program. We expect that these relationships will continue in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our management made a presentation to our audit committee regarding our participation in the combined risk management program. Among other things during such presentation, the committee was informed of the following (in addition to the matters described above):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Times New Roman;Times;serif" w:hAnsi="Times New Roman;Times;serif"/>
                <w:b w:val="false"/>
                <w:i/>
                <w:sz w:val="20"/>
              </w:rPr>
              <w:t>i.e</w:t>
            </w:r>
            <w:r>
              <w:rPr>
                <w:rFonts w:ascii="Times New Roman;Times;serif" w:hAnsi="Times New Roman;Times;serif"/>
                <w:b w:val="false"/>
                <w:i w:val="false"/>
                <w:caps w:val="false"/>
                <w:smallCaps w:val="false"/>
                <w:sz w:val="20"/>
              </w:rPr>
              <w:t>. the dominant premium factor, which is the factor that has the greatest impact on the premium, such as revenues, payroll or employee headcount);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received by Tall Pines from the reinsurance underwriters and the fees assessed by Tall Pines for certain policies it so underwrites are in amounts equal to the commissions or fees which would be received by third-party underwriters;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coverages provided to us by the risk management program are sufficient and adequate for our purposes;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She then provided the committee with her recommendation that the committee reapprove, adopt and ratify our participation in the risk management program in all respects.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reapproved, adopted and ratified our participation in the risk management program in all respects. </w:t>
      </w:r>
    </w:p>
    <w:p>
      <w:pPr>
        <w:pStyle w:val="TextBody"/>
        <w:bidi w:val="0"/>
        <w:spacing w:before="0" w:after="0"/>
        <w:ind w:left="0" w:right="0" w:firstLine="720"/>
        <w:jc w:val="left"/>
        <w:rPr>
          <w:rFonts w:ascii="Times New Roman;Times;serif" w:hAnsi="Times New Roman;Times;serif"/>
          <w:sz w:val="20"/>
        </w:rPr>
      </w:pPr>
      <w:bookmarkStart w:id="129" w:name="OLE_LINK6"/>
      <w:bookmarkStart w:id="130" w:name="OLE_LINK7"/>
      <w:bookmarkStart w:id="131" w:name="TAXMATTERS"/>
      <w:bookmarkEnd w:id="129"/>
      <w:bookmarkEnd w:id="130"/>
      <w:bookmarkEnd w:id="131"/>
      <w:r>
        <w:rPr>
          <w:rFonts w:ascii="Times New Roman;Times;serif" w:hAnsi="Times New Roman;Times;serif"/>
          <w:b/>
          <w:i/>
          <w:sz w:val="20"/>
        </w:rPr>
        <w:t>Tax Matters</w:t>
      </w:r>
      <w:r>
        <w:rPr>
          <w:rFonts w:ascii="Times New Roman;Times;serif" w:hAnsi="Times New Roman;Times;serif"/>
          <w:sz w:val="20"/>
        </w:rPr>
        <w:t xml:space="preserve">. We and our qualifying subsidiaries are members of the consolidated U.S. federal tax return of which Contran is the parent company, 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also a part of consolidated tax returns filed by Contran in certain U.S. state jurisdictions, and the terms of the tax sharing agreement also apply to state payments to these jurisdictions.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2024, pursuant to our tax sharing agreement, we made net cash payments for income taxes to NL of approximately $6.2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2024, our management made a presentation to our audit committee regarding our tax sharing agreement with Contran and NL. Among other things during such presentation, the committee was informed of the following (in addition to the matters described above):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sharing agreement is consistent with accounting principles generally accepted in the United States of America, and consistent with applicable law and regulations;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accounts are included in the scope of the annual audit of our consolidated financial statements performed by PwC, and PwC makes periodic reports to the committee regarding income tax matters related to us.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such presentation, our chief financial officer and our vice president, tax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considering the information contained in the presentations, including the recommendation of our chief financial officer and vice president, tax,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pStyle w:val="TextBody"/>
        <w:bidi w:val="0"/>
        <w:spacing w:before="0" w:after="0"/>
        <w:ind w:left="0" w:right="0" w:firstLine="720"/>
        <w:jc w:val="left"/>
        <w:rPr>
          <w:rFonts w:ascii="Times New Roman;Times;serif" w:hAnsi="Times New Roman;Times;serif"/>
          <w:sz w:val="20"/>
        </w:rPr>
      </w:pPr>
      <w:bookmarkStart w:id="132" w:name="RELATEDPARTYLOANS"/>
      <w:bookmarkEnd w:id="132"/>
      <w:r>
        <w:rPr>
          <w:rFonts w:ascii="Times New Roman;Times;serif" w:hAnsi="Times New Roman;Times;serif"/>
          <w:b/>
          <w:i/>
          <w:sz w:val="20"/>
        </w:rPr>
        <w:t>Related Party Loans for Cash Management Purposes</w:t>
      </w:r>
      <w:r>
        <w:rPr>
          <w:rFonts w:ascii="Times New Roman;Times;serif" w:hAnsi="Times New Roman;Times;serif"/>
          <w:sz w:val="20"/>
        </w:rPr>
        <w:t>. From time to time, loans and advances are made between us and various related parties 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bookmarkStart w:id="133" w:name="_Hlk124341316"/>
      <w:bookmarkEnd w:id="133"/>
      <w:r>
        <w:rPr>
          <w:rFonts w:ascii="Times New Roman;Times;serif" w:hAnsi="Times New Roman;Times;serif"/>
          <w:sz w:val="20"/>
        </w:rPr>
        <w:t xml:space="preserve">During 2024, we had an unsecured revolving promissory note with Valhi whereby we agreed to loan Valhi up to $25 million, bearing interest at the prime rate plus 1.00% (8.5% at December 31, 2024), payable quarterly, with all principal and unpaid interest due on demand, but in any event no earlier than December 31, 2025. At December 31, 2024, this unsecured revolving promissory note was amended, per prior general authorization from our audit committee, to extend the demand period to no earlier than December 31, 2026. The agreement contains no financial covenants or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financial restrictions. Loans made to Valhi at any time under the agreement are at our discretion. During our fiscal year ended January 1, 2025, we made aggregate loans to Valhi of $25.0 million, Valhi repaid an aggregate of $26.3 million, and the largest amount of principal outstanding under the loan was $11.6 million. At December 31, 2024, the outstanding balance of such loan to Valhi was $9.3 million. During 2024, we earned aggregate interest under this note (including unused commitment fees) of approximately $1.0 million.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2024, our management made a presentation to our audit committee regarding our loan to Valhi. Among other things during such presentation, the committee was informed of the following (in addition to the matters described above):</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outstanding indebtedness;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an unused commitment fee of 50 basis points per annum, payable quarterly;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we would earn on any outstanding borrowings by Valhi would be higher than the rate of return we would earn on any of our funds available for investment;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we would earn on any outstanding borrowings by Valhi would be an interest rate no less than (and generally greater than) the interest rate which a lender would be earning under certain debt facilities of three of our competitors.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such presentation, our chief financial officer, after consultation with our treasurer and other members of our management, advised the committee of her belief that the terms of our loan to Valhi are fair and reasonable to us, and are on terms no less favorable than we could otherwise obtain from unrelated parties, and provided the committee with his recommendation that the committee approve, adopt and ratify our loan to Valhi, as most recently amended, in all respects.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 </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40"/>
        <w:ind w:left="0" w:right="0" w:hanging="0"/>
        <w:jc w:val="center"/>
        <w:rPr>
          <w:rFonts w:ascii="Times New Roman;Times;serif" w:hAnsi="Times New Roman;Times;serif"/>
          <w:b/>
          <w:sz w:val="20"/>
        </w:rPr>
      </w:pPr>
      <w:bookmarkStart w:id="134" w:name="AUDITCOMMITTEEREPORT_26118"/>
      <w:bookmarkStart w:id="135" w:name="_06db7c88_13db_4b18_bc7c_e7bbcd553df7"/>
      <w:bookmarkEnd w:id="134"/>
      <w:bookmarkEnd w:id="135"/>
      <w:r>
        <w:rPr>
          <w:rFonts w:ascii="Times New Roman;Times;serif" w:hAnsi="Times New Roman;Times;serif"/>
          <w:b/>
          <w:sz w:val="20"/>
        </w:rPr>
        <w:t>AUDIT COMMITTEE REPORT</w:t>
      </w:r>
    </w:p>
    <w:p>
      <w:pPr>
        <w:pStyle w:val="TextBody"/>
        <w:bidi w:val="0"/>
        <w:spacing w:lineRule="atLeast" w:line="220"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 the audit committee financial expert requirements under the applicable SEC rules. The audit committee charter is available on our website at </w:t>
      </w:r>
      <w:r>
        <w:rPr>
          <w:rFonts w:ascii="Times New Roman;Times;serif" w:hAnsi="Times New Roman;Times;serif"/>
          <w:b/>
          <w:i/>
          <w:sz w:val="20"/>
        </w:rPr>
        <w:t>www.compxinternational.com</w:t>
      </w:r>
      <w:r>
        <w:rPr>
          <w:rFonts w:ascii="Times New Roman;Times;serif" w:hAnsi="Times New Roman;Times;serif"/>
          <w:sz w:val="20"/>
        </w:rPr>
        <w:t xml:space="preserve"> under the governance section.</w:t>
      </w:r>
    </w:p>
    <w:p>
      <w:pPr>
        <w:pStyle w:val="TextBody"/>
        <w:bidi w:val="0"/>
        <w:spacing w:lineRule="atLeast" w:line="220"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 </w:t>
      </w:r>
    </w:p>
    <w:p>
      <w:pPr>
        <w:pStyle w:val="TextBody"/>
        <w:bidi w:val="0"/>
        <w:spacing w:lineRule="atLeast" w:line="220"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oversight of the performance of internal audit and the approval or ratification of certain related party transactions in accordance with the terms of our RPT Policy, as discussed above in the Certain Relationships and Transactions section in this proxy statement.</w:t>
      </w:r>
    </w:p>
    <w:p>
      <w:pPr>
        <w:pStyle w:val="TextBody"/>
        <w:bidi w:val="0"/>
        <w:spacing w:lineRule="atLeast" w:line="220" w:before="0" w:after="240"/>
        <w:ind w:left="0" w:right="0" w:firstLine="360"/>
        <w:jc w:val="left"/>
        <w:rPr>
          <w:rFonts w:ascii="Times New Roman;Times;serif" w:hAnsi="Times New Roman;Times;serif"/>
          <w:sz w:val="20"/>
        </w:rPr>
      </w:pPr>
      <w:r>
        <w:rPr>
          <w:rFonts w:ascii="Times New Roman;Times;serif" w:hAnsi="Times New Roman;Times;serif"/>
          <w:sz w:val="20"/>
        </w:rPr>
        <w:t>In its oversight role, our audit committee reviewed and discussed our audited consolidated financial statements with management and with PwC, our independent registered public accounting firm for 2024. Our audit committee also reviewed and discussed our internal control over financial reporting with management and with PwC. Management and PwC indicated that our consolidated financial statements as of and for the year ended December 31, 2024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pStyle w:val="TextBody"/>
        <w:bidi w:val="0"/>
        <w:spacing w:lineRule="atLeast" w:line="220" w:before="0" w:after="240"/>
        <w:ind w:left="0" w:right="0" w:firstLine="360"/>
        <w:jc w:val="left"/>
        <w:rPr>
          <w:rFonts w:ascii="Times New Roman;Times;serif" w:hAnsi="Times New Roman;Times;serif"/>
          <w:sz w:val="20"/>
        </w:rPr>
      </w:pPr>
      <w:r>
        <w:rPr>
          <w:rFonts w:ascii="Times New Roman;Times;serif" w:hAnsi="Times New Roman;Times;serif"/>
          <w:sz w:val="20"/>
        </w:rPr>
        <w:t>Based upon the foregoing considerations, our audit committee recommended to the board of directors that our audited consolidated financial statements be included in our 2024 Annual Report on Form 10-K for filing with the SEC.</w:t>
      </w:r>
    </w:p>
    <w:p>
      <w:pPr>
        <w:pStyle w:val="TextBody"/>
        <w:bidi w:val="0"/>
        <w:spacing w:lineRule="atLeast" w:line="200" w:before="0" w:after="0"/>
        <w:ind w:left="0" w:right="0" w:firstLine="360"/>
        <w:jc w:val="left"/>
        <w:rPr>
          <w:rFonts w:ascii="Times New Roman;Times;serif" w:hAnsi="Times New Roman;Times;serif"/>
          <w:sz w:val="20"/>
        </w:rPr>
      </w:pPr>
      <w:r>
        <w:rPr>
          <w:rFonts w:ascii="Times New Roman;Times;serif" w:hAnsi="Times New Roman;Times;serif"/>
          <w:sz w:val="20"/>
        </w:rPr>
        <w:t>The members of our audit committee respectfully submit the foregoing report as of March 5, 2025.</w:t>
      </w:r>
    </w:p>
    <w:p>
      <w:pPr>
        <w:pStyle w:val="TextBody"/>
        <w:bidi w:val="0"/>
        <w:spacing w:lineRule="atLeast" w:line="200" w:before="0" w:after="0"/>
        <w:ind w:left="0" w:right="0" w:firstLine="360"/>
        <w:jc w:val="left"/>
        <w:rPr/>
      </w:pPr>
      <w:r>
        <w:rPr/>
        <w:t>​</w:t>
      </w:r>
    </w:p>
    <w:tbl>
      <w:tblPr>
        <w:tblW w:w="5766" w:type="dxa"/>
        <w:jc w:val="left"/>
        <w:tblInd w:w="0" w:type="dxa"/>
        <w:tblLayout w:type="fixed"/>
        <w:tblCellMar>
          <w:top w:w="0" w:type="dxa"/>
          <w:left w:w="0" w:type="dxa"/>
          <w:bottom w:w="0" w:type="dxa"/>
          <w:right w:w="0" w:type="dxa"/>
        </w:tblCellMar>
      </w:tblPr>
      <w:tblGrid>
        <w:gridCol w:w="2896"/>
        <w:gridCol w:w="109"/>
        <w:gridCol w:w="2761"/>
      </w:tblGrid>
      <w:tr>
        <w:trPr/>
        <w:tc>
          <w:tcPr>
            <w:tcW w:w="2896" w:type="dxa"/>
            <w:tcBorders/>
            <w:vAlign w:val="center"/>
          </w:tcPr>
          <w:p>
            <w:pPr>
              <w:pStyle w:val="TableContents"/>
              <w:bidi w:val="0"/>
              <w:spacing w:lineRule="atLeast" w:line="200"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pPr>
            <w:r>
              <w:rPr/>
              <w:t>​</w:t>
            </w:r>
          </w:p>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Thomas E. Barry</w:t>
            </w:r>
          </w:p>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Chairman of our Audit Committee</w:t>
            </w:r>
          </w:p>
        </w:tc>
        <w:tc>
          <w:tcPr>
            <w:tcW w:w="109" w:type="dxa"/>
            <w:tcBorders/>
            <w:vAlign w:val="center"/>
          </w:tcPr>
          <w:p>
            <w:pPr>
              <w:pStyle w:val="TableContents"/>
              <w:bidi w:val="0"/>
              <w:spacing w:lineRule="atLeast" w:line="200"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Gina A. Norris</w:t>
            </w:r>
          </w:p>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Member of our Audit Committee</w:t>
            </w:r>
          </w:p>
        </w:tc>
      </w:tr>
      <w:tr>
        <w:trPr/>
        <w:tc>
          <w:tcPr>
            <w:tcW w:w="2896"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pPr>
            <w:r>
              <w:rPr/>
              <w:t>​</w:t>
            </w:r>
          </w:p>
        </w:tc>
      </w:tr>
      <w:tr>
        <w:trPr/>
        <w:tc>
          <w:tcPr>
            <w:tcW w:w="2896"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Terri L. Herrington</w:t>
            </w:r>
          </w:p>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Member of our Audit Committee</w:t>
            </w:r>
          </w:p>
        </w:tc>
        <w:tc>
          <w:tcPr>
            <w:tcW w:w="109" w:type="dxa"/>
            <w:tcBorders/>
            <w:vAlign w:val="center"/>
          </w:tcPr>
          <w:p>
            <w:pPr>
              <w:pStyle w:val="TableContents"/>
              <w:bidi w:val="0"/>
              <w:spacing w:lineRule="atLeast" w:line="200"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Mary A. Tidlund</w:t>
            </w:r>
          </w:p>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Member of our Audit Committee</w:t>
            </w:r>
          </w:p>
        </w:tc>
      </w:tr>
      <w:tr>
        <w:trPr/>
        <w:tc>
          <w:tcPr>
            <w:tcW w:w="2896"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pPr>
            <w:r>
              <w:rPr/>
              <w:t>​</w:t>
            </w:r>
          </w:p>
        </w:tc>
      </w:tr>
      <w:tr>
        <w:trPr/>
        <w:tc>
          <w:tcPr>
            <w:tcW w:w="2896"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Ann Manix</w:t>
            </w:r>
          </w:p>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i/>
                <w:sz w:val="20"/>
              </w:rPr>
              <w:t>Member of our Audit Committee</w:t>
            </w:r>
            <w:r>
              <w:rPr>
                <w:rFonts w:ascii="Times New Roman;Times;serif" w:hAnsi="Times New Roman;Times;serif"/>
                <w:sz w:val="20"/>
              </w:rPr>
              <w:t xml:space="preserve"> </w:t>
            </w:r>
          </w:p>
        </w:tc>
        <w:tc>
          <w:tcPr>
            <w:tcW w:w="109" w:type="dxa"/>
            <w:tcBorders/>
            <w:vAlign w:val="center"/>
          </w:tcPr>
          <w:p>
            <w:pPr>
              <w:pStyle w:val="TableContents"/>
              <w:bidi w:val="0"/>
              <w:spacing w:lineRule="atLeast" w:line="200" w:before="0" w:after="0"/>
              <w:ind w:left="0" w:right="0" w:hanging="0"/>
              <w:jc w:val="left"/>
              <w:rPr/>
            </w:pPr>
            <w:r>
              <w:rPr/>
              <w:t>​</w:t>
            </w:r>
          </w:p>
        </w:tc>
        <w:tc>
          <w:tcPr>
            <w:tcW w:w="2761" w:type="dxa"/>
            <w:tcBorders/>
            <w:vAlign w:val="center"/>
          </w:tcPr>
          <w:p>
            <w:pPr>
              <w:pStyle w:val="TableContents"/>
              <w:bidi w:val="0"/>
              <w:spacing w:lineRule="atLeast" w:line="200"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 w:name="INDEPENDENTREGISTEREDPUBLICACCOUNTINGFIR"/>
      <w:bookmarkStart w:id="137" w:name="_910e1856_480d_49ad_bf56_465cf47a9d76"/>
      <w:bookmarkEnd w:id="136"/>
      <w:bookmarkEnd w:id="137"/>
      <w:r>
        <w:rPr>
          <w:rFonts w:ascii="Times New Roman;Times;serif" w:hAnsi="Times New Roman;Times;serif"/>
          <w:b/>
          <w:sz w:val="20"/>
        </w:rPr>
        <w:t>INDEPENDENT REGISTERED PUBLIC ACCOUNTING FIRM MATTERS</w:t>
      </w:r>
    </w:p>
    <w:p>
      <w:pPr>
        <w:pStyle w:val="TextBody"/>
        <w:bidi w:val="0"/>
        <w:spacing w:before="0" w:after="240"/>
        <w:ind w:left="0" w:right="0" w:firstLine="720"/>
        <w:jc w:val="left"/>
        <w:rPr>
          <w:rFonts w:ascii="Times New Roman;Times;serif" w:hAnsi="Times New Roman;Times;serif"/>
          <w:sz w:val="20"/>
        </w:rPr>
      </w:pPr>
      <w:bookmarkStart w:id="138" w:name="INDEPENDENTREGPUBLICACCOUNTINGFIRM"/>
      <w:bookmarkEnd w:id="138"/>
      <w:r>
        <w:rPr>
          <w:rFonts w:ascii="Times New Roman;Times;serif" w:hAnsi="Times New Roman;Times;serif"/>
          <w:b/>
          <w:i/>
          <w:sz w:val="20"/>
        </w:rPr>
        <w:t>Independent Registered Public Accounting Firm</w:t>
      </w:r>
      <w:r>
        <w:rPr>
          <w:rFonts w:ascii="Times New Roman;Times;serif" w:hAnsi="Times New Roman;Times;serif"/>
          <w:sz w:val="20"/>
        </w:rPr>
        <w:t>. PwC served as our independent registered public accounting firm for the year ended December 31, 2024. Our audit committee has appointed PwC to review our quarterly unaudited condensed consolidated financial statements to be included in our Quarterly Report on Form 10-Q for the first quarter of 2025. We expect PwC will be considered for appointment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our quarterly unaudited condensed consolidated financial statements to be included in our Quarterly Reports on Form 10-Q for the second and third quarters of 2025 and the first quarter of 2026;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our annual consolidated financial statements for the year ending December 31, 2025.</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Representatives of PwC are not expected to attend our 2025 annual stockholder meeting.</w:t>
      </w:r>
    </w:p>
    <w:p>
      <w:pPr>
        <w:pStyle w:val="TextBody"/>
        <w:bidi w:val="0"/>
        <w:spacing w:before="0" w:after="240"/>
        <w:ind w:left="0" w:right="0" w:firstLine="720"/>
        <w:jc w:val="left"/>
        <w:rPr>
          <w:rFonts w:ascii="Times New Roman;Times;serif" w:hAnsi="Times New Roman;Times;serif"/>
          <w:sz w:val="20"/>
        </w:rPr>
      </w:pPr>
      <w:bookmarkStart w:id="139" w:name="FEESPAIDTOPWCLLP"/>
      <w:bookmarkEnd w:id="139"/>
      <w:r>
        <w:rPr>
          <w:rFonts w:ascii="Times New Roman;Times;serif" w:hAnsi="Times New Roman;Times;serif"/>
          <w:b/>
          <w:i/>
          <w:sz w:val="20"/>
        </w:rPr>
        <w:t>Fees Paid to PricewaterhouseCoopers LLP.</w:t>
      </w:r>
      <w:r>
        <w:rPr>
          <w:rFonts w:ascii="Times New Roman;Times;serif" w:hAnsi="Times New Roman;Times;serif"/>
          <w:sz w:val="20"/>
        </w:rPr>
        <w:t xml:space="preserve"> The following table shows the aggregate fees that our audit committee has authorized and PwC has billed or is expected to bill to us for services rendered for 2023 and 2024. Additional fees for 2024 may subsequently be authorized and paid to PwC, in which case the amounts disclosed below for fees paid to PwC for 2024 would be adjusted to reflect such additional payments in our proxy statement relating to next year’s annual stockholder meeting. In this regard, we have similarly adjusted the audit fees shown for 2023 from the amounts disclosed in our 2024 proxy statement. </w:t>
      </w:r>
    </w:p>
    <w:tbl>
      <w:tblPr>
        <w:tblW w:w="4272" w:type="dxa"/>
        <w:jc w:val="left"/>
        <w:tblInd w:w="0" w:type="dxa"/>
        <w:tblLayout w:type="fixed"/>
        <w:tblCellMar>
          <w:top w:w="0" w:type="dxa"/>
          <w:left w:w="0" w:type="dxa"/>
          <w:bottom w:w="0" w:type="dxa"/>
          <w:right w:w="0" w:type="dxa"/>
        </w:tblCellMar>
      </w:tblPr>
      <w:tblGrid>
        <w:gridCol w:w="1951"/>
        <w:gridCol w:w="326"/>
        <w:gridCol w:w="211"/>
        <w:gridCol w:w="571"/>
        <w:gridCol w:w="326"/>
        <w:gridCol w:w="211"/>
        <w:gridCol w:w="6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38885" cy="175260"/>
                      <wp:effectExtent l="0" t="0" r="0" b="0"/>
                      <wp:wrapNone/>
                      <wp:docPr id="89" name="Frame8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0"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1"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62585" cy="175260"/>
                      <wp:effectExtent l="0" t="0" r="0" b="0"/>
                      <wp:wrapNone/>
                      <wp:docPr id="92" name="Frame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3"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4"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95"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Type of Fees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r>
      <w:tr>
        <w:trPr/>
        <w:tc>
          <w:tcPr>
            <w:tcW w:w="19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 Fees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Audit-Related Fees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9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 Fees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9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1,143</w:t>
            </w:r>
          </w:p>
        </w:tc>
      </w:tr>
    </w:tbl>
    <w:tbl>
      <w:tblPr>
        <w:tblW w:w="3017" w:type="dxa"/>
        <w:jc w:val="left"/>
        <w:tblInd w:w="0" w:type="dxa"/>
        <w:tblLayout w:type="fixed"/>
        <w:tblCellMar>
          <w:top w:w="0" w:type="dxa"/>
          <w:left w:w="0" w:type="dxa"/>
          <w:bottom w:w="0" w:type="dxa"/>
          <w:right w:w="0" w:type="dxa"/>
        </w:tblCellMar>
      </w:tblPr>
      <w:tblGrid>
        <w:gridCol w:w="346"/>
        <w:gridCol w:w="26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following services:</w:t>
            </w:r>
          </w:p>
        </w:tc>
      </w:tr>
    </w:tbl>
    <w:tbl>
      <w:tblPr>
        <w:tblW w:w="5946" w:type="dxa"/>
        <w:jc w:val="left"/>
        <w:tblInd w:w="0" w:type="dxa"/>
        <w:tblLayout w:type="fixed"/>
        <w:tblCellMar>
          <w:top w:w="28" w:type="dxa"/>
          <w:left w:w="28" w:type="dxa"/>
          <w:bottom w:w="28" w:type="dxa"/>
          <w:right w:w="28" w:type="dxa"/>
        </w:tblCellMar>
      </w:tblPr>
      <w:tblGrid>
        <w:gridCol w:w="124"/>
        <w:gridCol w:w="31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audits of consolidated year-end financial statements for each year;</w:t>
            </w:r>
          </w:p>
        </w:tc>
      </w:tr>
    </w:tbl>
    <w:tbl>
      <w:tblPr>
        <w:tblW w:w="10205" w:type="dxa"/>
        <w:jc w:val="left"/>
        <w:tblInd w:w="0" w:type="dxa"/>
        <w:tblLayout w:type="fixed"/>
        <w:tblCellMar>
          <w:top w:w="28" w:type="dxa"/>
          <w:left w:w="28" w:type="dxa"/>
          <w:bottom w:w="28" w:type="dxa"/>
          <w:right w:w="28" w:type="dxa"/>
        </w:tblCellMar>
      </w:tblPr>
      <w:tblGrid>
        <w:gridCol w:w="124"/>
        <w:gridCol w:w="326"/>
        <w:gridCol w:w="9755"/>
      </w:tblGrid>
      <w:tr>
        <w:trPr/>
        <w:tc>
          <w:tcPr>
            <w:tcW w:w="124"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of the unaudited quarterly financial statements appearing in Forms 10-Q for each of the first three quarters of each year;</w:t>
            </w:r>
          </w:p>
        </w:tc>
      </w:tr>
    </w:tbl>
    <w:tbl>
      <w:tblPr>
        <w:tblW w:w="6591" w:type="dxa"/>
        <w:jc w:val="left"/>
        <w:tblInd w:w="0" w:type="dxa"/>
        <w:tblLayout w:type="fixed"/>
        <w:tblCellMar>
          <w:top w:w="28" w:type="dxa"/>
          <w:left w:w="28" w:type="dxa"/>
          <w:bottom w:w="28" w:type="dxa"/>
          <w:right w:w="28" w:type="dxa"/>
        </w:tblCellMar>
      </w:tblPr>
      <w:tblGrid>
        <w:gridCol w:w="124"/>
        <w:gridCol w:w="31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consents and/or assistance with registration statements filed with the SEC;</w:t>
            </w:r>
          </w:p>
        </w:tc>
      </w:tr>
    </w:tbl>
    <w:tbl>
      <w:tblPr>
        <w:tblW w:w="7356" w:type="dxa"/>
        <w:jc w:val="left"/>
        <w:tblInd w:w="0" w:type="dxa"/>
        <w:tblLayout w:type="fixed"/>
        <w:tblCellMar>
          <w:top w:w="28" w:type="dxa"/>
          <w:left w:w="28" w:type="dxa"/>
          <w:bottom w:w="28" w:type="dxa"/>
          <w:right w:w="28" w:type="dxa"/>
        </w:tblCellMar>
      </w:tblPr>
      <w:tblGrid>
        <w:gridCol w:w="124"/>
        <w:gridCol w:w="33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normally provided statutory or regulatory filings or engagements for each year; and</w:t>
            </w:r>
          </w:p>
        </w:tc>
      </w:tr>
    </w:tbl>
    <w:tbl>
      <w:tblPr>
        <w:tblW w:w="9501" w:type="dxa"/>
        <w:jc w:val="left"/>
        <w:tblInd w:w="0" w:type="dxa"/>
        <w:tblLayout w:type="fixed"/>
        <w:tblCellMar>
          <w:top w:w="28" w:type="dxa"/>
          <w:left w:w="28" w:type="dxa"/>
          <w:bottom w:w="28" w:type="dxa"/>
          <w:right w:w="28" w:type="dxa"/>
        </w:tblCellMar>
      </w:tblPr>
      <w:tblGrid>
        <w:gridCol w:w="124"/>
        <w:gridCol w:w="31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out-of-pocket costs PwC incurred in providing all of such services, for which PwC is reimbursed.</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tc>
      </w:tr>
    </w:tbl>
    <w:tbl>
      <w:tblPr>
        <w:tblW w:w="6287" w:type="dxa"/>
        <w:jc w:val="left"/>
        <w:tblInd w:w="0" w:type="dxa"/>
        <w:tblLayout w:type="fixed"/>
        <w:tblCellMar>
          <w:top w:w="0" w:type="dxa"/>
          <w:left w:w="0" w:type="dxa"/>
          <w:bottom w:w="0" w:type="dxa"/>
          <w:right w:w="0" w:type="dxa"/>
        </w:tblCellMar>
      </w:tblPr>
      <w:tblGrid>
        <w:gridCol w:w="346"/>
        <w:gridCol w:w="59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fees for tax compliance, tax advice and tax planning services.</w:t>
            </w:r>
          </w:p>
        </w:tc>
      </w:tr>
    </w:tbl>
    <w:p>
      <w:pPr>
        <w:pStyle w:val="TextBody"/>
        <w:bidi w:val="0"/>
        <w:spacing w:before="0" w:after="240"/>
        <w:ind w:left="0" w:right="0" w:firstLine="720"/>
        <w:jc w:val="left"/>
        <w:rPr>
          <w:rFonts w:ascii="Times New Roman;Times;serif" w:hAnsi="Times New Roman;Times;serif"/>
          <w:sz w:val="20"/>
        </w:rPr>
      </w:pPr>
      <w:bookmarkStart w:id="140" w:name="PREAPPROVEDPOLICIESANDPROCEDURES"/>
      <w:bookmarkEnd w:id="140"/>
      <w:r>
        <w:rPr>
          <w:rFonts w:ascii="Times New Roman;Times;serif" w:hAnsi="Times New Roman;Times;serif"/>
          <w:b/>
          <w:i/>
          <w:sz w:val="20"/>
        </w:rPr>
        <w:t>Preapproval Policies and Procedures</w:t>
      </w:r>
      <w:r>
        <w:rPr>
          <w:rFonts w:ascii="Times New Roman;Times;serif" w:hAnsi="Times New Roman;Times;serif"/>
          <w:sz w:val="20"/>
        </w:rPr>
        <w:t>. For the purpose of maintaining the independence of our independent registered public accounting firm, our 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categories of other permitted services provided by our independent registered public accounting firm, the committee may preapprove limits on the aggregate fees in any calendar year without specific approval of the service.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other permitted services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services, such as certain consultations regarding accounting treatments or interpretations and assistance in responding to certain SEC comment letters;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services, such as certain other consultations regarding accounting treatments or interpretations, employee benefit plan audits, due diligence and control reviews;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services, such as tax compliance and consulting, transfer pricing, customs and duties and expatriate tax services;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assistance with corporate governance matters and filing documents in foreign jurisdictions not involving the practice of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policy also lists certain services for which the independent auditor is always prohibited from providing us under applicable requirements of the SEC or the PCAOB.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2024, our audit committee preapproved all of PwC’s services provided to us or any of our subsidiaries in compliance with our preapproval policy without the use of the SEC’s </w:t>
      </w:r>
      <w:r>
        <w:rPr>
          <w:rFonts w:ascii="Times New Roman;Times;serif" w:hAnsi="Times New Roman;Times;serif"/>
          <w:i/>
          <w:sz w:val="20"/>
        </w:rPr>
        <w:t xml:space="preserve">de minimis </w:t>
      </w:r>
      <w:r>
        <w:rPr>
          <w:rFonts w:ascii="Times New Roman;Times;serif" w:hAnsi="Times New Roman;Times;serif"/>
          <w:sz w:val="20"/>
        </w:rPr>
        <w:t>exception to such preapproval requirement.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1" w:name="PROPOSAL2_104685"/>
      <w:bookmarkStart w:id="142" w:name="_763106a1_c88d_463e_b119_622d6e4a0d52"/>
      <w:bookmarkEnd w:id="141"/>
      <w:bookmarkEnd w:id="142"/>
      <w:r>
        <w:rPr>
          <w:rFonts w:ascii="Times New Roman;Times;serif" w:hAnsi="Times New Roman;Times;serif"/>
          <w:b/>
          <w:sz w:val="20"/>
        </w:rPr>
        <w:t>PROPOSAL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NONBINDING ADVISORY RESOLUTION ON NAMED EXECUTIVE OFFICER COMPENSATION</w:t>
      </w:r>
    </w:p>
    <w:p>
      <w:pPr>
        <w:pStyle w:val="TextBody"/>
        <w:bidi w:val="0"/>
        <w:spacing w:before="0" w:after="240"/>
        <w:ind w:left="0" w:right="0" w:firstLine="720"/>
        <w:jc w:val="left"/>
        <w:rPr>
          <w:rFonts w:ascii="Times New Roman;Times;serif" w:hAnsi="Times New Roman;Times;serif"/>
          <w:sz w:val="20"/>
        </w:rPr>
      </w:pPr>
      <w:bookmarkStart w:id="143" w:name="BACKGROUND"/>
      <w:bookmarkEnd w:id="143"/>
      <w:r>
        <w:rPr>
          <w:rFonts w:ascii="Times New Roman;Times;serif" w:hAnsi="Times New Roman;Times;serif"/>
          <w:b/>
          <w:i/>
          <w:sz w:val="20"/>
        </w:rPr>
        <w:t>Background</w:t>
      </w:r>
      <w:r>
        <w:rPr>
          <w:rFonts w:ascii="Times New Roman;Times;serif" w:hAnsi="Times New Roman;Times;serif"/>
          <w:sz w:val="20"/>
        </w:rPr>
        <w:t>. Pursuant to Section 14A of the Securities Exchange Act, a publicly held company is required to submit to its stockholders a nonbinding advisory vote to approve the compensation of its named executive officers, commonly known as a “Say-on-Pay” proposal. At our 2024 annual meeting our stockholders approved, on a nonbinding advisory basis, an annual frequency for this Say-on-Pay proposal. After the 2025 annual meeting of stockholders, the next nonbinding stockholder advisory vote on a Say-on-Pay proposal will be at our 2026 annual meeting of stockholders. The next nonbinding stockholder advisory vote on the frequency of a Say-on-Pay proposal will be at our 2029 annual meeting of stockholders.</w:t>
      </w:r>
    </w:p>
    <w:p>
      <w:pPr>
        <w:pStyle w:val="TextBody"/>
        <w:bidi w:val="0"/>
        <w:spacing w:before="0" w:after="240"/>
        <w:ind w:left="0" w:right="0" w:firstLine="720"/>
        <w:jc w:val="left"/>
        <w:rPr>
          <w:rFonts w:ascii="Times New Roman;Times;serif" w:hAnsi="Times New Roman;Times;serif"/>
          <w:sz w:val="20"/>
        </w:rPr>
      </w:pPr>
      <w:bookmarkStart w:id="144" w:name="SAYONPAYPROPOSAL"/>
      <w:bookmarkEnd w:id="144"/>
      <w:r>
        <w:rPr>
          <w:rFonts w:ascii="Times New Roman;Times;serif" w:hAnsi="Times New Roman;Times;serif"/>
          <w:b/>
          <w:i/>
          <w:sz w:val="20"/>
        </w:rPr>
        <w:t>Say-on-Pay Proposal</w:t>
      </w:r>
      <w:r>
        <w:rPr>
          <w:rFonts w:ascii="Times New Roman;Times;serif" w:hAnsi="Times New Roman;Times;serif"/>
          <w:sz w:val="20"/>
        </w:rPr>
        <w:t>. This proposal affords our stockholders the opportunity to submit a nonbinding advisory vote on our named executive officer 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b/>
          <w:sz w:val="20"/>
        </w:rPr>
        <w:t>RESOLVED</w:t>
      </w:r>
      <w:r>
        <w:rPr>
          <w:rFonts w:ascii="Times New Roman;Times;serif" w:hAnsi="Times New Roman;Times;serif"/>
          <w:sz w:val="20"/>
        </w:rPr>
        <w:t>, that, by the affirmative vote of the holders of the majority of the class A shares of common stock present in person or represented by proxy at the 2025 annual stockholder meeting and entitled to vote on the subject matter, the stockholders of CompX International Inc. approve, on a nonbinding advisory basis, the compensation of its executive officers named in the 2024 Summary Compensation Table in the 2025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pStyle w:val="TextBody"/>
        <w:bidi w:val="0"/>
        <w:spacing w:before="0" w:after="240"/>
        <w:ind w:left="0" w:right="0" w:firstLine="720"/>
        <w:jc w:val="left"/>
        <w:rPr>
          <w:rFonts w:ascii="Times New Roman;Times;serif" w:hAnsi="Times New Roman;Times;serif"/>
          <w:sz w:val="20"/>
        </w:rPr>
      </w:pPr>
      <w:bookmarkStart w:id="145" w:name="EFFECTOFTHEPROPOSAL"/>
      <w:bookmarkEnd w:id="145"/>
      <w:r>
        <w:rPr>
          <w:rFonts w:ascii="Times New Roman;Times;serif" w:hAnsi="Times New Roman;Times;serif"/>
          <w:b/>
          <w:i/>
          <w:sz w:val="20"/>
        </w:rPr>
        <w:t>Effect of the Proposal</w:t>
      </w:r>
      <w:r>
        <w:rPr>
          <w:rFonts w:ascii="Times New Roman;Times;serif" w:hAnsi="Times New Roman;Times;serif"/>
          <w:sz w:val="20"/>
        </w:rPr>
        <w:t>. The Say-on-Pay proposal is nonbinding and advisory. Our stockholders’ approval or disapproval of this proposal will not require our board of directors, its management development and compensation committee or our management to take any action regarding our executive compensation practices.</w:t>
      </w:r>
    </w:p>
    <w:p>
      <w:pPr>
        <w:pStyle w:val="TextBody"/>
        <w:bidi w:val="0"/>
        <w:spacing w:before="0" w:after="240"/>
        <w:ind w:left="0" w:right="0" w:firstLine="720"/>
        <w:jc w:val="left"/>
        <w:rPr>
          <w:rFonts w:ascii="Times New Roman;Times;serif" w:hAnsi="Times New Roman;Times;serif"/>
          <w:sz w:val="20"/>
        </w:rPr>
      </w:pPr>
      <w:bookmarkStart w:id="146" w:name="VOTEREQUIRED"/>
      <w:bookmarkEnd w:id="146"/>
      <w:r>
        <w:rPr>
          <w:rFonts w:ascii="Times New Roman;Times;serif" w:hAnsi="Times New Roman;Times;serif"/>
          <w:b/>
          <w:i/>
          <w:sz w:val="20"/>
        </w:rPr>
        <w:t>Vote Required</w:t>
      </w:r>
      <w:r>
        <w:rPr>
          <w:rFonts w:ascii="Times New Roman;Times;serif" w:hAnsi="Times New Roman;Times;serif"/>
          <w:sz w:val="20"/>
        </w:rPr>
        <w:t>. Because this proposal is a nonbinding advisory vote, there is no minimum requisite vote to approve the Say-on-Pay proposal. The proposed resolution provides that the nonbinding affirmative vote of the holders of the majority of the class A shares of common stock present in person or represented by proxy at the 2025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RECOMMENDS A VOTE </w:t>
      </w:r>
      <w:r>
        <w:rPr>
          <w:rFonts w:ascii="Times New Roman;Times;serif" w:hAnsi="Times New Roman;Times;serif"/>
          <w:b/>
          <w:sz w:val="20"/>
        </w:rPr>
        <w:t>FOR</w:t>
      </w:r>
      <w:r>
        <w:rPr>
          <w:rFonts w:ascii="Times New Roman;Times;serif" w:hAnsi="Times New Roman;Times;serif"/>
          <w:sz w:val="20"/>
        </w:rPr>
        <w:t xml:space="preserve"> THE SAY-ON-PAY PROPOSAL AS SET FORTH IN THE NONBINDING ADVISORY RESOLUTION APPROVING OUR NAMED EXECUTIVE OFFICER COMPENSATION AS DISCLOSED IN THIS PROXY STATEMENT.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7" w:name="OTHERMATTERS_293372"/>
      <w:bookmarkStart w:id="148" w:name="_8fa65c79_b29f_4caa_9449_c0c79a18558c"/>
      <w:bookmarkEnd w:id="147"/>
      <w:bookmarkEnd w:id="148"/>
      <w:r>
        <w:rPr>
          <w:rFonts w:ascii="Times New Roman;Times;serif" w:hAnsi="Times New Roman;Times;serif"/>
          <w:b/>
          <w:sz w:val="20"/>
        </w:rPr>
        <w:t>OTHER MATTERS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9" w:name="a2022ANNUALREPORTONFORM10K_215261"/>
      <w:bookmarkStart w:id="150" w:name="_47f454af_b4d9_418b_b272_68f4d58334d3"/>
      <w:bookmarkEnd w:id="149"/>
      <w:bookmarkEnd w:id="150"/>
      <w:r>
        <w:rPr>
          <w:rFonts w:ascii="Times New Roman;Times;serif" w:hAnsi="Times New Roman;Times;serif"/>
          <w:b/>
          <w:sz w:val="20"/>
        </w:rPr>
        <w:t>2024 ANNUAL REPORT ON FORM 10-K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copy of our Annual Report on Form 10-K for the fiscal year ended December 31, 2024 is included as part of the annual report mailed to our stockholders with this proxy statement and may also be accessed on our website at </w:t>
      </w:r>
      <w:r>
        <w:rPr>
          <w:rFonts w:ascii="Times New Roman;Times;serif" w:hAnsi="Times New Roman;Times;serif"/>
          <w:b/>
          <w:i/>
          <w:sz w:val="20"/>
        </w:rPr>
        <w:t>www.compxinternational.com</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bookmarkStart w:id="151" w:name="STOCKHOLDERSSHARINGTHESAMEADDRESS_127892"/>
      <w:bookmarkStart w:id="152" w:name="_2db4ac76_8fcb_4255_99fc_a8d1b18337a9"/>
      <w:bookmarkEnd w:id="151"/>
      <w:bookmarkEnd w:id="152"/>
      <w:r>
        <w:rPr>
          <w:rFonts w:ascii="Times New Roman;Times;serif" w:hAnsi="Times New Roman;Times;serif"/>
          <w:b/>
          <w:sz w:val="20"/>
        </w:rPr>
        <w:t>STOCKHOLDERS SHARING THE SAME ADDRESS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no longer wish to participate in householding and would prefer to receive separate proxy materials;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receive multiple copies of the proxy materials at your address and would like to request householding of our communications.</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53" w:name="REQUESTCOPIESOFTHE2022ANNUALREPORTANDTHI"/>
      <w:bookmarkStart w:id="154" w:name="_6bff1dc9_cfa5_4ece_97ff_ca71454ddd01"/>
      <w:bookmarkEnd w:id="153"/>
      <w:bookmarkEnd w:id="154"/>
      <w:r>
        <w:rPr>
          <w:rFonts w:ascii="Times New Roman;Times;serif" w:hAnsi="Times New Roman;Times;serif"/>
          <w:b/>
          <w:sz w:val="20"/>
        </w:rPr>
        <w:t>REQUEST COPIES OF THE 2024 ANNUAL REPORT AND THIS PROXY STATEMENT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obtain copies of our 2024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tbl>
      <w:tblPr>
        <w:tblW w:w="3125" w:type="dxa"/>
        <w:jc w:val="left"/>
        <w:tblInd w:w="0" w:type="dxa"/>
        <w:tblLayout w:type="fixed"/>
        <w:tblCellMar>
          <w:top w:w="0" w:type="dxa"/>
          <w:left w:w="0" w:type="dxa"/>
          <w:bottom w:w="0" w:type="dxa"/>
          <w:right w:w="0" w:type="dxa"/>
        </w:tblCellMar>
      </w:tblPr>
      <w:tblGrid>
        <w:gridCol w:w="124"/>
        <w:gridCol w:w="300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8740" cy="175260"/>
                      <wp:effectExtent l="0" t="0" r="0" b="0"/>
                      <wp:wrapNone/>
                      <wp:docPr id="96" name="Frame9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05635" cy="29210"/>
                      <wp:effectExtent l="0" t="0" r="0" b="0"/>
                      <wp:wrapNone/>
                      <wp:docPr id="97" name="Frame91"/>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24"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tc>
      </w:tr>
      <w:tr>
        <w:trPr/>
        <w:tc>
          <w:tcPr>
            <w:tcW w:w="124"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8,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155" w:name="_a403a382_1f2b_43b8_aa0e_eaede5089623"/>
      <w:bookmarkEnd w:id="155"/>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Lincoln Centre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Dallas, Texas 75240-2620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pPr>
      <w:bookmarkStart w:id="156" w:name="_ce9856a8_6337_4f43_a6e8_4861aaa702c8"/>
      <w:bookmarkEnd w:id="156"/>
      <w:r>
        <w:rPr/>
        <w:drawing>
          <wp:inline distT="0" distB="0" distL="0" distR="0">
            <wp:extent cx="1295400" cy="361950"/>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8"/>
                    <a:stretch>
                      <a:fillRect/>
                    </a:stretch>
                  </pic:blipFill>
                  <pic:spPr bwMode="auto">
                    <a:xfrm>
                      <a:off x="0" y="0"/>
                      <a:ext cx="1295400" cy="3619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CompX International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PROXY SOLICITED ON BEHALF OF THE BOARD OF DIRECTORS OF COMPX INTERNATIONAL INC. </w:t>
        <w:br/>
        <w:t>FOR THE ANNUAL MEETING OF STOCKHOLDERS TO BE HELD MAY 21, 2025</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hereby appoints Scott C. James, Jane R. Grimm and Amy A. Samford, and each of them, proxy for the undersigned, with full power of substitution, to vote on behalf of the undersigned at the 2025 Annual Meeting of Stockholders (the “Meeting”) of CompX International Inc., a Delaware corporation (“CompX”), to be held at Three Lincoln Centre Conference Center, 5430 LBJ Freeway, Suite 350, Dallas, Texas 75240-2620 on Wednesday, May 21, 2025,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THIS PROXY AUTHORIZATION MAY BE REVOKED AS SET FORTH IN THE PROXY STATEMENT</w:t>
        <w:br/>
        <w:t>THAT ACCOMPANIED THIS PROXY CARD.</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The agents named on this proxy card, if this card is properly executed, will vote in the manner directed on this card.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If this card is properly executed but no direction is given with respect to the election of one or more nominees named on the reverse side of this card or proposal 2, the agents will vote “FOR” each such nominee for election as a director and “FOR” proposal 2. To the extent allowed by applicable law, the agents will vote in their discretion on any substitute director nominee and other matter that may properly come before the Meeting and any adjournment or postponement thereof.</w:t>
      </w:r>
    </w:p>
    <w:p>
      <w:pPr>
        <w:pStyle w:val="TextBody"/>
        <w:bidi w:val="0"/>
        <w:spacing w:before="0" w:after="0"/>
        <w:ind w:left="0" w:right="0" w:hanging="0"/>
        <w:jc w:val="both"/>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PLEASE SIGN, DATE AND MAIL THIS PROXY CARD PROMPTLY IN THE ENCLOSED ENVELOPE. </w:t>
        <w:br/>
        <w:t>SEE REVERSE SIDE.</w:t>
      </w:r>
    </w:p>
    <w:p>
      <w:pPr>
        <w:pStyle w:val="TextBody"/>
        <w:pBdr/>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PLEASE DETACH ALONG PERFORATED LINE AND MAIL IN THE ENVELOPE PROVIDED.</w:t>
      </w:r>
    </w:p>
    <w:p>
      <w:pPr>
        <w:pStyle w:val="TextBody"/>
        <w:bidi w:val="0"/>
        <w:spacing w:before="0" w:after="60"/>
        <w:ind w:left="0" w:right="0" w:hanging="0"/>
        <w:jc w:val="center"/>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 Annual Stockholder</w:t>
        <w:br/>
        <w:t>Meeting to Be Held on May 21, 2025.</w:t>
      </w:r>
    </w:p>
    <w:p>
      <w:pPr>
        <w:pStyle w:val="TextBody"/>
        <w:bidi w:val="0"/>
        <w:spacing w:before="0" w:after="60"/>
        <w:ind w:left="0" w:right="0" w:hanging="0"/>
        <w:jc w:val="center"/>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The proxy statement and annual report to stockholders (including CompX’s Annual Report on</w:t>
        <w:br/>
        <w:t>Form 10-K for the fiscal year ended December 31, 2024) are available at</w:t>
        <w:br/>
        <w:t>https://web.viewproxy.com/CompX/2025.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102" w:type="dxa"/>
        <w:jc w:val="left"/>
        <w:tblInd w:w="0" w:type="dxa"/>
        <w:tblLayout w:type="fixed"/>
        <w:tblCellMar>
          <w:top w:w="0" w:type="dxa"/>
          <w:left w:w="0" w:type="dxa"/>
          <w:bottom w:w="0" w:type="dxa"/>
          <w:right w:w="0" w:type="dxa"/>
        </w:tblCellMar>
      </w:tblPr>
      <w:tblGrid>
        <w:gridCol w:w="161"/>
        <w:gridCol w:w="294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94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Please mark your votes like this </w:t>
            </w: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Board of Directors recommends a vote FOR</w:t>
      </w:r>
      <w:r>
        <w:rPr>
          <w:rFonts w:ascii="Times New Roman;Times;serif" w:hAnsi="Times New Roman;Times;serif"/>
          <w:sz w:val="20"/>
        </w:rPr>
        <w:t> </w:t>
      </w:r>
      <w:r>
        <w:rPr>
          <w:rFonts w:ascii="Times New Roman;Times;serif" w:hAnsi="Times New Roman;Times;serif"/>
          <w:b/>
          <w:sz w:val="20"/>
        </w:rPr>
        <w:t>all the nominees listed and FOR</w:t>
      </w:r>
      <w:r>
        <w:rPr>
          <w:rFonts w:ascii="Times New Roman;Times;serif" w:hAnsi="Times New Roman;Times;serif"/>
          <w:sz w:val="20"/>
        </w:rPr>
        <w:t> </w:t>
      </w:r>
      <w:r>
        <w:rPr>
          <w:rFonts w:ascii="Times New Roman;Times;serif" w:hAnsi="Times New Roman;Times;serif"/>
          <w:b/>
          <w:sz w:val="20"/>
        </w:rPr>
        <w:t>Proposal 2.</w:t>
      </w:r>
    </w:p>
    <w:p>
      <w:pPr>
        <w:pStyle w:val="TextBody"/>
        <w:bidi w:val="0"/>
        <w:spacing w:lineRule="auto" w:line="199"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28"/>
        <w:gridCol w:w="1098"/>
        <w:gridCol w:w="207"/>
        <w:gridCol w:w="699"/>
        <w:gridCol w:w="225"/>
        <w:gridCol w:w="1029"/>
        <w:gridCol w:w="109"/>
        <w:gridCol w:w="6321"/>
        <w:gridCol w:w="109"/>
        <w:gridCol w:w="23"/>
        <w:gridCol w:w="157"/>
      </w:tblGrid>
      <w:tr>
        <w:trPr/>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Nominees:</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vMerge w:val="restart"/>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Say-on-Pay, nonbinding advisory vote approving executive compensation</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01.</w:t>
            </w:r>
            <w:r>
              <w:rPr>
                <w:rFonts w:ascii="Times New Roman;Times;serif" w:hAnsi="Times New Roman;Times;serif"/>
                <w:sz w:val="20"/>
              </w:rPr>
              <w:t>   Thomas E. Barry</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pBdr/>
              <w:bidi w:val="0"/>
              <w:spacing w:before="0" w:after="0"/>
              <w:ind w:left="0" w:right="0" w:hanging="0"/>
              <w:jc w:val="center"/>
              <w:rPr/>
            </w:pPr>
            <w:r>
              <w:rPr>
                <w:color w:val="231F20"/>
              </w:rPr>
              <w:t xml:space="preserve">☐ </w:t>
            </w:r>
            <w:r>
              <w:rPr>
                <w:rFonts w:ascii="Times New Roman;Times;serif" w:hAnsi="Times New Roman;Times;serif"/>
                <w:b/>
                <w:color w:val="231F20"/>
                <w:sz w:val="20"/>
              </w:rPr>
              <w:t>FOR   </w:t>
            </w:r>
            <w:r>
              <w:rPr>
                <w:rFonts w:ascii="Times New Roman;Times;serif" w:hAnsi="Times New Roman;Times;serif"/>
                <w:color w:val="231F20"/>
                <w:sz w:val="20"/>
              </w:rPr>
              <w:t xml:space="preserve">☐ </w:t>
            </w:r>
            <w:r>
              <w:rPr>
                <w:rFonts w:ascii="Times New Roman;Times;serif" w:hAnsi="Times New Roman;Times;serif"/>
                <w:b/>
                <w:color w:val="231F20"/>
                <w:sz w:val="20"/>
              </w:rPr>
              <w:t>AGAINST   </w:t>
            </w:r>
            <w:r>
              <w:rPr>
                <w:rFonts w:ascii="Times New Roman;Times;serif" w:hAnsi="Times New Roman;Times;serif"/>
                <w:color w:val="231F20"/>
                <w:sz w:val="20"/>
              </w:rPr>
              <w:t xml:space="preserve">☐ </w:t>
            </w:r>
            <w:r>
              <w:rPr>
                <w:rFonts w:ascii="Times New Roman;Times;serif" w:hAnsi="Times New Roman;Times;serif"/>
                <w:b/>
                <w:color w:val="231F20"/>
                <w:sz w:val="20"/>
              </w:rPr>
              <w:t>ABSTAIN</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02.</w:t>
            </w:r>
            <w:r>
              <w:rPr>
                <w:rFonts w:ascii="Times New Roman;Times;serif" w:hAnsi="Times New Roman;Times;serif"/>
                <w:sz w:val="20"/>
              </w:rPr>
              <w:t>   Loretta J. Feehan</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tcBorders/>
            <w:vAlign w:val="center"/>
          </w:tcPr>
          <w:p>
            <w:pPr>
              <w:pStyle w:val="TableContents"/>
              <w:bidi w:val="0"/>
              <w:spacing w:before="0" w:after="0"/>
              <w:ind w:left="0" w:right="0" w:hanging="0"/>
              <w:jc w:val="center"/>
              <w:rPr>
                <w:color w:val="231F20"/>
              </w:rPr>
            </w:pPr>
            <w:r>
              <w:rPr>
                <w:color w:val="231F20"/>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03.</w:t>
            </w:r>
            <w:r>
              <w:rPr>
                <w:rFonts w:ascii="Times New Roman;Times;serif" w:hAnsi="Times New Roman;Times;serif"/>
                <w:sz w:val="20"/>
              </w:rPr>
              <w:t>   Terri L. Herrington</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pPr>
            <w:r>
              <w:rPr/>
              <w:t>​</w:t>
            </w:r>
          </w:p>
        </w:tc>
        <w:tc>
          <w:tcPr>
            <w:tcW w:w="6321" w:type="dxa"/>
            <w:vMerge w:val="restart"/>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In their discretion, the proxies are authorized to vote upon such other business as may properly come before the Meeting and any adjournment or postponement thereof.</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04.</w:t>
            </w:r>
            <w:r>
              <w:rPr>
                <w:rFonts w:ascii="Times New Roman;Times;serif" w:hAnsi="Times New Roman;Times;serif"/>
                <w:sz w:val="20"/>
              </w:rPr>
              <w:t>   Scott C. James</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right"/>
              <w:rPr>
                <w:color w:val="231F20"/>
              </w:rPr>
            </w:pPr>
            <w:r>
              <w:rPr>
                <w:color w:val="231F20"/>
              </w:rPr>
              <w:t>​</w:t>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05.</w:t>
            </w:r>
            <w:r>
              <w:rPr>
                <w:rFonts w:ascii="Times New Roman;Times;serif" w:hAnsi="Times New Roman;Times;serif"/>
                <w:sz w:val="20"/>
              </w:rPr>
              <w:t>   Ann Manix</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vMerge w:val="continue"/>
            <w:tcBorders/>
            <w:vAlign w:val="center"/>
          </w:tcPr>
          <w:p>
            <w:pPr>
              <w:pStyle w:val="Normal"/>
              <w:bidi w:val="0"/>
              <w:jc w:val="left"/>
              <w:rPr/>
            </w:pPr>
            <w:r>
              <w:rPr/>
            </w:r>
          </w:p>
        </w:tc>
        <w:tc>
          <w:tcPr>
            <w:tcW w:w="109" w:type="dxa"/>
            <w:tcBorders/>
            <w:vAlign w:val="center"/>
          </w:tcPr>
          <w:p>
            <w:pPr>
              <w:pStyle w:val="TableContents"/>
              <w:pBdr/>
              <w:bidi w:val="0"/>
              <w:spacing w:before="0" w:after="0"/>
              <w:ind w:left="0" w:right="0" w:hanging="0"/>
              <w:jc w:val="left"/>
              <w:rPr>
                <w:color w:val="231F20"/>
              </w:rPr>
            </w:pPr>
            <w:r>
              <w:rPr>
                <w:color w:val="231F20"/>
              </w:rPr>
              <w:t>​</w:t>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06.   </w:t>
            </w:r>
            <w:r>
              <w:rPr>
                <w:rFonts w:ascii="Times New Roman;Times;serif" w:hAnsi="Times New Roman;Times;serif"/>
                <w:sz w:val="20"/>
              </w:rPr>
              <w:t>Gina A. Norris</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vMerge w:val="restart"/>
            <w:tcBorders/>
            <w:vAlign w:val="center"/>
          </w:tcPr>
          <w:p>
            <w:pPr>
              <w:pStyle w:val="TableContents"/>
              <w:pBdr/>
              <w:bidi w:val="0"/>
              <w:spacing w:before="0" w:after="0"/>
              <w:ind w:left="0" w:right="0" w:hanging="0"/>
              <w:jc w:val="left"/>
              <w:rPr>
                <w:color w:val="231F20"/>
              </w:rPr>
            </w:pPr>
            <w:r>
              <w:rPr>
                <w:color w:val="231F20"/>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07.   </w:t>
            </w:r>
            <w:r>
              <w:rPr>
                <w:rFonts w:ascii="Times New Roman;Times;serif" w:hAnsi="Times New Roman;Times;serif"/>
                <w:sz w:val="20"/>
              </w:rPr>
              <w:t>Michael S. Simmons</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pPr>
            <w:r>
              <w:rPr/>
              <w:t>​</w:t>
            </w:r>
          </w:p>
        </w:tc>
        <w:tc>
          <w:tcPr>
            <w:tcW w:w="632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right"/>
              <w:rPr/>
            </w:pPr>
            <w:r>
              <w:rPr/>
              <w:t>​</w:t>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08.</w:t>
            </w:r>
            <w:r>
              <w:rPr>
                <w:rFonts w:ascii="Times New Roman;Times;serif" w:hAnsi="Times New Roman;Times;serif"/>
                <w:sz w:val="20"/>
              </w:rPr>
              <w:t>   Mary A. Tidlund</w:t>
            </w:r>
          </w:p>
        </w:tc>
        <w:tc>
          <w:tcPr>
            <w:tcW w:w="699" w:type="dxa"/>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FOR</w:t>
            </w:r>
          </w:p>
        </w:tc>
        <w:tc>
          <w:tcPr>
            <w:tcW w:w="1254" w:type="dxa"/>
            <w:gridSpan w:val="2"/>
            <w:tcBorders/>
            <w:vAlign w:val="center"/>
          </w:tcPr>
          <w:p>
            <w:pPr>
              <w:pStyle w:val="TableContents"/>
              <w:bidi w:val="0"/>
              <w:spacing w:before="0" w:after="0"/>
              <w:ind w:left="0" w:right="0" w:hanging="0"/>
              <w:jc w:val="left"/>
              <w:rPr/>
            </w:pPr>
            <w:r>
              <w:rPr>
                <w:color w:val="231F20"/>
              </w:rPr>
              <w:t xml:space="preserve">☐ </w:t>
            </w:r>
            <w:r>
              <w:rPr>
                <w:rFonts w:ascii="Times New Roman;Times;serif" w:hAnsi="Times New Roman;Times;serif"/>
                <w:b/>
                <w:color w:val="231F20"/>
                <w:sz w:val="20"/>
              </w:rPr>
              <w:t>WITHHOLD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right"/>
              <w:rPr>
                <w:color w:val="231F20"/>
              </w:rPr>
            </w:pPr>
            <w:r>
              <w:rPr>
                <w:color w:val="231F20"/>
              </w:rPr>
              <w:t>​</w:t>
            </w:r>
          </w:p>
        </w:tc>
        <w:tc>
          <w:tcPr>
            <w:tcW w:w="180" w:type="dxa"/>
            <w:gridSpan w:val="2"/>
            <w:tcBorders/>
            <w:vAlign w:val="center"/>
          </w:tcPr>
          <w:p>
            <w:pPr>
              <w:pStyle w:val="TableContents"/>
              <w:bidi w:val="0"/>
              <w:spacing w:before="0" w:after="0"/>
              <w:ind w:left="0" w:right="0" w:hanging="0"/>
              <w:jc w:val="left"/>
              <w:rPr/>
            </w:pPr>
            <w:r>
              <w:rPr/>
              <w:t>​</w:t>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WILL ATTEND THE MEETING ☐</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color w:val="231F20"/>
              </w:rPr>
            </w:pPr>
            <w:r>
              <w:rPr>
                <w:color w:val="231F20"/>
              </w:rPr>
              <w:t>​</w:t>
            </w:r>
          </w:p>
        </w:tc>
        <w:tc>
          <w:tcPr>
            <w:tcW w:w="699" w:type="dxa"/>
            <w:tcBorders/>
            <w:vAlign w:val="center"/>
          </w:tcPr>
          <w:p>
            <w:pPr>
              <w:pStyle w:val="TableContents"/>
              <w:bidi w:val="0"/>
              <w:spacing w:before="0" w:after="0"/>
              <w:ind w:left="0" w:right="0" w:hanging="0"/>
              <w:jc w:val="left"/>
              <w:rPr>
                <w:color w:val="231F20"/>
              </w:rPr>
            </w:pPr>
            <w:r>
              <w:rPr>
                <w:color w:val="231F20"/>
              </w:rPr>
              <w:t>​</w:t>
            </w:r>
          </w:p>
        </w:tc>
        <w:tc>
          <w:tcPr>
            <w:tcW w:w="1254" w:type="dxa"/>
            <w:gridSpan w:val="2"/>
            <w:tcBorders/>
            <w:vAlign w:val="center"/>
          </w:tcPr>
          <w:p>
            <w:pPr>
              <w:pStyle w:val="TableContents"/>
              <w:bidi w:val="0"/>
              <w:spacing w:before="0" w:after="0"/>
              <w:ind w:left="0" w:right="0" w:hanging="0"/>
              <w:jc w:val="left"/>
              <w:rPr>
                <w:color w:val="231F20"/>
              </w:rPr>
            </w:pPr>
            <w:r>
              <w:rPr>
                <w:color w:val="231F20"/>
              </w:rPr>
              <w:t>​</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Date                                                                                              , 2025</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Signature                                                                                                    </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both"/>
              <w:rPr/>
            </w:pPr>
            <w:r>
              <w:rPr/>
              <w:t>​</w:t>
            </w:r>
          </w:p>
        </w:tc>
        <w:tc>
          <w:tcPr>
            <w:tcW w:w="699" w:type="dxa"/>
            <w:tcBorders/>
            <w:vAlign w:val="center"/>
          </w:tcPr>
          <w:p>
            <w:pPr>
              <w:pStyle w:val="TableContents"/>
              <w:bidi w:val="0"/>
              <w:spacing w:before="0" w:after="0"/>
              <w:ind w:left="0" w:right="0" w:hanging="0"/>
              <w:jc w:val="both"/>
              <w:rPr/>
            </w:pPr>
            <w:r>
              <w:rPr/>
              <w:t>​</w:t>
            </w:r>
          </w:p>
        </w:tc>
        <w:tc>
          <w:tcPr>
            <w:tcW w:w="1254" w:type="dxa"/>
            <w:gridSpan w:val="2"/>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321" w:type="dxa"/>
            <w:tcBorders/>
            <w:vAlign w:val="center"/>
          </w:tcPr>
          <w:p>
            <w:pPr>
              <w:pStyle w:val="TableContents"/>
              <w:bidi w:val="0"/>
              <w:spacing w:before="0" w:after="0"/>
              <w:ind w:left="0" w:right="0" w:hanging="0"/>
              <w:jc w:val="both"/>
              <w:rPr>
                <w:color w:val="231F20"/>
              </w:rPr>
            </w:pPr>
            <w:r>
              <w:rPr>
                <w:color w:val="231F20"/>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color w:val="231F20"/>
              </w:rPr>
            </w:pPr>
            <w:r>
              <w:rPr>
                <w:color w:val="231F20"/>
              </w:rPr>
              <w:t>​</w:t>
            </w:r>
          </w:p>
        </w:tc>
        <w:tc>
          <w:tcPr>
            <w:tcW w:w="1254" w:type="dxa"/>
            <w:gridSpan w:val="2"/>
            <w:tcBorders/>
            <w:vAlign w:val="center"/>
          </w:tcPr>
          <w:p>
            <w:pPr>
              <w:pStyle w:val="TableContents"/>
              <w:bidi w:val="0"/>
              <w:spacing w:before="0" w:after="0"/>
              <w:ind w:left="0" w:right="0" w:hanging="0"/>
              <w:jc w:val="left"/>
              <w:rPr>
                <w:color w:val="231F20"/>
              </w:rPr>
            </w:pPr>
            <w:r>
              <w:rPr>
                <w:color w:val="231F20"/>
              </w:rPr>
              <w:t>​</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632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Signature                                                                                                    </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lineRule="atLeast" w:line="240" w:before="0" w:after="0"/>
              <w:ind w:left="0" w:right="0" w:hanging="0"/>
              <w:jc w:val="left"/>
              <w:rPr/>
            </w:pPr>
            <w:r>
              <w:rPr/>
              <w:t>​</w:t>
            </w:r>
          </w:p>
        </w:tc>
        <w:tc>
          <w:tcPr>
            <w:tcW w:w="699" w:type="dxa"/>
            <w:tcBorders/>
            <w:vAlign w:val="center"/>
          </w:tcPr>
          <w:p>
            <w:pPr>
              <w:pStyle w:val="TableContents"/>
              <w:bidi w:val="0"/>
              <w:spacing w:lineRule="atLeast" w:line="240" w:before="0" w:after="0"/>
              <w:ind w:left="0" w:right="0" w:hanging="0"/>
              <w:jc w:val="left"/>
              <w:rPr/>
            </w:pPr>
            <w:r>
              <w:rPr/>
              <w:t>​</w:t>
            </w:r>
          </w:p>
        </w:tc>
        <w:tc>
          <w:tcPr>
            <w:tcW w:w="1254" w:type="dxa"/>
            <w:gridSpan w:val="2"/>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6321" w:type="dxa"/>
            <w:tcBorders>
              <w:bottom w:val="single" w:sz="2" w:space="0" w:color="000000"/>
            </w:tcBorders>
            <w:tcMar>
              <w:bottom w:w="28" w:type="dxa"/>
            </w:tcMar>
            <w:vAlign w:val="center"/>
          </w:tcPr>
          <w:p>
            <w:pPr>
              <w:pStyle w:val="TableContents"/>
              <w:bidi w:val="0"/>
              <w:spacing w:lineRule="atLeast" w:line="240" w:before="0" w:after="0"/>
              <w:ind w:left="0" w:right="0" w:hanging="0"/>
              <w:jc w:val="left"/>
              <w:rPr>
                <w:color w:val="231F20"/>
              </w:rPr>
            </w:pPr>
            <w:r>
              <w:rPr>
                <w:color w:val="231F20"/>
              </w:rPr>
              <w:t>​</w:t>
            </w:r>
          </w:p>
          <w:p>
            <w:pPr>
              <w:pStyle w:val="TableContents"/>
              <w:bidi w:val="0"/>
              <w:spacing w:lineRule="atLeast" w:line="240"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of Address - Please print new address below.</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11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 NUMBER</w:t>
            </w:r>
          </w:p>
        </w:tc>
        <w:tc>
          <w:tcPr>
            <w:tcW w:w="1029" w:type="dxa"/>
            <w:tcBorders/>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32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ind w:left="0" w:right="0" w:hanging="0"/>
              <w:jc w:val="left"/>
              <w:rPr/>
            </w:pPr>
            <w:r>
              <w:rPr/>
              <w:t>​</w:t>
            </w:r>
          </w:p>
        </w:tc>
        <w:tc>
          <w:tcPr>
            <w:tcW w:w="1098" w:type="dxa"/>
            <w:tcBorders>
              <w:right w:val="single" w:sz="2" w:space="0" w:color="000000"/>
            </w:tcBorders>
            <w:tcMar>
              <w:right w:w="28" w:type="dxa"/>
            </w:tcMar>
            <w:vAlign w:val="center"/>
          </w:tcPr>
          <w:p>
            <w:pPr>
              <w:pStyle w:val="TableContents"/>
              <w:bidi w:val="0"/>
              <w:spacing w:before="0" w:after="0"/>
              <w:ind w:left="0" w:right="0" w:hanging="0"/>
              <w:jc w:val="left"/>
              <w:rPr/>
            </w:pPr>
            <w:r>
              <w:rPr/>
              <w:drawing>
                <wp:inline distT="0" distB="0" distL="0" distR="0">
                  <wp:extent cx="609600" cy="152400"/>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9"/>
                          <a:stretch>
                            <a:fillRect/>
                          </a:stretch>
                        </pic:blipFill>
                        <pic:spPr bwMode="auto">
                          <a:xfrm>
                            <a:off x="0" y="0"/>
                            <a:ext cx="609600" cy="152400"/>
                          </a:xfrm>
                          <a:prstGeom prst="rect">
                            <a:avLst/>
                          </a:prstGeom>
                        </pic:spPr>
                      </pic:pic>
                    </a:graphicData>
                  </a:graphic>
                </wp:inline>
              </w:drawing>
            </w:r>
          </w:p>
        </w:tc>
        <w:tc>
          <w:tcPr>
            <w:tcW w:w="207"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pPr>
            <w:r>
              <w:rPr/>
              <w:t>​</w:t>
            </w:r>
          </w:p>
        </w:tc>
        <w:tc>
          <w:tcPr>
            <w:tcW w:w="924" w:type="dxa"/>
            <w:gridSpan w:val="2"/>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02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32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8" w:type="dxa"/>
            <w:gridSpan w:val="10"/>
            <w:tcBorders/>
            <w:vAlign w:val="center"/>
          </w:tcPr>
          <w:p>
            <w:pPr>
              <w:pStyle w:val="TableContents"/>
              <w:bidi w:val="0"/>
              <w:spacing w:before="0" w:after="283"/>
              <w:ind w:left="0" w:right="0" w:hanging="0"/>
              <w:jc w:val="left"/>
              <w:rPr>
                <w:sz w:val="4"/>
                <w:szCs w:val="4"/>
              </w:rPr>
            </w:pPr>
            <w:r>
              <w:rPr>
                <w:sz w:val="4"/>
                <w:szCs w:val="4"/>
              </w:rPr>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32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0"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1" w:type="dxa"/>
            <w:tcBorders/>
            <w:vAlign w:val="center"/>
          </w:tcPr>
          <w:p>
            <w:pPr>
              <w:pStyle w:val="TableContents"/>
              <w:bidi w:val="0"/>
              <w:spacing w:before="0" w:after="0"/>
              <w:ind w:left="0" w:right="0" w:hanging="0"/>
              <w:jc w:val="left"/>
              <w:rPr/>
            </w:pPr>
            <w:r>
              <w:rPr/>
              <w:t>​</w:t>
            </w:r>
          </w:p>
        </w:tc>
        <w:tc>
          <w:tcPr>
            <w:tcW w:w="289"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FOLD AND DETACH HERE AND READ THE REVERSE SIDE.</w:t>
      </w:r>
    </w:p>
    <w:p>
      <w:pPr>
        <w:pStyle w:val="TextBody"/>
        <w:bidi w:val="0"/>
        <w:spacing w:lineRule="auto" w:line="199" w:before="0" w:after="0"/>
        <w:ind w:left="0" w:right="0" w:hanging="0"/>
        <w:jc w:val="left"/>
        <w:rPr/>
      </w:pPr>
      <w:r>
        <w:rPr/>
        <w:t>​</w:t>
      </w:r>
    </w:p>
    <w:p>
      <w:pPr>
        <w:pStyle w:val="TextBody"/>
        <w:bidi w:val="0"/>
        <w:spacing w:before="0" w:after="0"/>
        <w:ind w:left="0" w:right="0" w:hanging="0"/>
        <w:jc w:val="center"/>
        <w:rPr/>
      </w:pPr>
      <w:r>
        <w:rPr/>
        <w:t>​</w:t>
      </w:r>
    </w:p>
    <w:tbl>
      <w:tblPr>
        <w:tblW w:w="3316" w:type="dxa"/>
        <w:jc w:val="left"/>
        <w:tblInd w:w="0" w:type="dxa"/>
        <w:tblLayout w:type="fixed"/>
        <w:tblCellMar>
          <w:top w:w="0" w:type="dxa"/>
          <w:left w:w="0" w:type="dxa"/>
          <w:bottom w:w="0" w:type="dxa"/>
          <w:right w:w="0" w:type="dxa"/>
        </w:tblCellMar>
      </w:tblPr>
      <w:tblGrid>
        <w:gridCol w:w="1181"/>
        <w:gridCol w:w="1981"/>
        <w:gridCol w:w="154"/>
      </w:tblGrid>
      <w:tr>
        <w:trPr/>
        <w:tc>
          <w:tcPr>
            <w:tcW w:w="1181" w:type="dxa"/>
            <w:tcBorders/>
            <w:vAlign w:val="center"/>
          </w:tcPr>
          <w:p>
            <w:pPr>
              <w:pStyle w:val="TableContents"/>
              <w:bidi w:val="0"/>
              <w:spacing w:before="0" w:after="0"/>
              <w:ind w:left="0" w:right="0" w:hanging="0"/>
              <w:jc w:val="center"/>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 NUMBER</w:t>
            </w:r>
          </w:p>
        </w:tc>
        <w:tc>
          <w:tcPr>
            <w:tcW w:w="154" w:type="dxa"/>
            <w:tcBorders/>
            <w:vAlign w:val="center"/>
          </w:tcPr>
          <w:p>
            <w:pPr>
              <w:pStyle w:val="TableContents"/>
              <w:bidi w:val="0"/>
              <w:spacing w:before="0" w:after="0"/>
              <w:ind w:left="0" w:right="0" w:hanging="0"/>
              <w:jc w:val="center"/>
              <w:rPr/>
            </w:pPr>
            <w:r>
              <w:rPr/>
              <w:t>​</w:t>
            </w:r>
          </w:p>
        </w:tc>
      </w:tr>
      <w:tr>
        <w:trPr/>
        <w:tc>
          <w:tcPr>
            <w:tcW w:w="1181" w:type="dxa"/>
            <w:tcBorders>
              <w:right w:val="single" w:sz="2" w:space="0" w:color="000000"/>
            </w:tcBorders>
            <w:tcMar>
              <w:right w:w="28" w:type="dxa"/>
            </w:tcMar>
            <w:vAlign w:val="center"/>
          </w:tcPr>
          <w:p>
            <w:pPr>
              <w:pStyle w:val="TableContents"/>
              <w:bidi w:val="0"/>
              <w:spacing w:before="0" w:after="0"/>
              <w:ind w:left="0" w:right="0" w:hanging="0"/>
              <w:jc w:val="right"/>
              <w:rPr/>
            </w:pPr>
            <w:r>
              <w:rPr/>
              <w:drawing>
                <wp:inline distT="0" distB="0" distL="0" distR="0">
                  <wp:extent cx="609600" cy="152400"/>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10"/>
                          <a:stretch>
                            <a:fillRect/>
                          </a:stretch>
                        </pic:blipFill>
                        <pic:spPr bwMode="auto">
                          <a:xfrm>
                            <a:off x="0" y="0"/>
                            <a:ext cx="609600" cy="152400"/>
                          </a:xfrm>
                          <a:prstGeom prst="rect">
                            <a:avLst/>
                          </a:prstGeom>
                        </pic:spPr>
                      </pic:pic>
                    </a:graphicData>
                  </a:graphic>
                </wp:inline>
              </w:drawing>
            </w:r>
            <w:r>
              <w:rPr/>
              <w:t>  </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4"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color w:val="231F20"/>
          <w:sz w:val="28"/>
        </w:rPr>
      </w:pPr>
      <w:r>
        <w:rPr>
          <w:rFonts w:ascii="Times New Roman;Times;serif" w:hAnsi="Times New Roman;Times;serif"/>
          <w:b/>
          <w:color w:val="231F20"/>
          <w:sz w:val="28"/>
        </w:rPr>
        <w:t>PROXY VOTING INSTRUCTIONS</w:t>
      </w:r>
    </w:p>
    <w:p>
      <w:pPr>
        <w:pStyle w:val="TextBody"/>
        <w:bidi w:val="0"/>
        <w:spacing w:before="0" w:after="60"/>
        <w:ind w:left="0" w:right="0" w:hanging="0"/>
        <w:jc w:val="center"/>
        <w:rPr>
          <w:rFonts w:ascii="Times New Roman;Times;serif" w:hAnsi="Times New Roman;Times;serif"/>
          <w:color w:val="231F20"/>
          <w:sz w:val="20"/>
        </w:rPr>
      </w:pPr>
      <w:r>
        <w:rPr>
          <w:rFonts w:ascii="Times New Roman;Times;serif" w:hAnsi="Times New Roman;Times;serif"/>
          <w:color w:val="231F20"/>
          <w:sz w:val="20"/>
        </w:rPr>
        <w:t>Please have your 11-digit control number ready when voting by Internet or Telephone</w:t>
      </w:r>
    </w:p>
    <w:p>
      <w:pPr>
        <w:pStyle w:val="TextBody"/>
        <w:bidi w:val="0"/>
        <w:spacing w:before="0" w:after="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958"/>
        <w:gridCol w:w="326"/>
        <w:gridCol w:w="3495"/>
        <w:gridCol w:w="326"/>
        <w:gridCol w:w="3100"/>
      </w:tblGrid>
      <w:tr>
        <w:trPr/>
        <w:tc>
          <w:tcPr>
            <w:tcW w:w="2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78330" cy="29210"/>
                      <wp:effectExtent l="0" t="0" r="0" b="0"/>
                      <wp:wrapNone/>
                      <wp:docPr id="101" name="Frame92"/>
                      <a:graphic xmlns:a="http://schemas.openxmlformats.org/drawingml/2006/main">
                        <a:graphicData uri="http://schemas.microsoft.com/office/word/2010/wordprocessingShape">
                          <wps:wsp>
                            <wps:cNvSpPr txBox="1"/>
                            <wps:spPr>
                              <a:xfrm>
                                <a:off x="0" y="0"/>
                                <a:ext cx="18783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29210"/>
                      <wp:effectExtent l="0" t="0" r="0" b="0"/>
                      <wp:wrapNone/>
                      <wp:docPr id="102" name="Frame93"/>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19325" cy="29210"/>
                      <wp:effectExtent l="0" t="0" r="0" b="0"/>
                      <wp:wrapNone/>
                      <wp:docPr id="103" name="Frame94"/>
                      <a:graphic xmlns:a="http://schemas.openxmlformats.org/drawingml/2006/main">
                        <a:graphicData uri="http://schemas.microsoft.com/office/word/2010/wordprocessingShape">
                          <wps:wsp>
                            <wps:cNvSpPr txBox="1"/>
                            <wps:spPr>
                              <a:xfrm>
                                <a:off x="0" y="0"/>
                                <a:ext cx="2219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29210"/>
                      <wp:effectExtent l="0" t="0" r="0" b="0"/>
                      <wp:wrapNone/>
                      <wp:docPr id="104" name="Frame9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968500" cy="29210"/>
                      <wp:effectExtent l="0" t="0" r="0" b="0"/>
                      <wp:wrapNone/>
                      <wp:docPr id="105" name="Frame96"/>
                      <a:graphic xmlns:a="http://schemas.openxmlformats.org/drawingml/2006/main">
                        <a:graphicData uri="http://schemas.microsoft.com/office/word/2010/wordprocessingShape">
                          <wps:wsp>
                            <wps:cNvSpPr txBox="1"/>
                            <wps:spPr>
                              <a:xfrm>
                                <a:off x="0" y="0"/>
                                <a:ext cx="1968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58"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160" w:after="0"/>
              <w:ind w:left="0" w:right="0" w:hanging="0"/>
              <w:jc w:val="center"/>
              <w:rPr/>
            </w:pPr>
            <w:r>
              <w:rPr/>
              <w:drawing>
                <wp:inline distT="0" distB="0" distL="0" distR="0">
                  <wp:extent cx="713105" cy="666115"/>
                  <wp:effectExtent l="0" t="0" r="0" b="0"/>
                  <wp:docPr id="10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 descr=""/>
                          <pic:cNvPicPr>
                            <a:picLocks noChangeAspect="1" noChangeArrowheads="1"/>
                          </pic:cNvPicPr>
                        </pic:nvPicPr>
                        <pic:blipFill>
                          <a:blip r:embed="rId11"/>
                          <a:stretch>
                            <a:fillRect/>
                          </a:stretch>
                        </pic:blipFill>
                        <pic:spPr bwMode="auto">
                          <a:xfrm>
                            <a:off x="0" y="0"/>
                            <a:ext cx="713105" cy="666115"/>
                          </a:xfrm>
                          <a:prstGeom prst="rect">
                            <a:avLst/>
                          </a:prstGeom>
                        </pic:spPr>
                      </pic:pic>
                    </a:graphicData>
                  </a:graphic>
                </wp:inline>
              </w:drawing>
            </w:r>
          </w:p>
        </w:tc>
        <w:tc>
          <w:tcPr>
            <w:tcW w:w="326" w:type="dxa"/>
            <w:tcBorders/>
            <w:vAlign w:val="center"/>
          </w:tcPr>
          <w:p>
            <w:pPr>
              <w:pStyle w:val="TableContents"/>
              <w:bidi w:val="0"/>
              <w:spacing w:before="160" w:after="0"/>
              <w:ind w:left="0" w:right="0" w:hanging="0"/>
              <w:jc w:val="left"/>
              <w:rPr/>
            </w:pPr>
            <w:r>
              <w:rPr/>
              <w:t>    </w:t>
            </w:r>
          </w:p>
        </w:tc>
        <w:tc>
          <w:tcPr>
            <w:tcW w:w="3495"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160" w:after="0"/>
              <w:ind w:left="0" w:right="0" w:hanging="0"/>
              <w:jc w:val="center"/>
              <w:rPr/>
            </w:pPr>
            <w:r>
              <w:rPr/>
              <w:drawing>
                <wp:inline distT="0" distB="0" distL="0" distR="0">
                  <wp:extent cx="830580" cy="713105"/>
                  <wp:effectExtent l="0" t="0" r="0" b="0"/>
                  <wp:docPr id="10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1" descr=""/>
                          <pic:cNvPicPr>
                            <a:picLocks noChangeAspect="1" noChangeArrowheads="1"/>
                          </pic:cNvPicPr>
                        </pic:nvPicPr>
                        <pic:blipFill>
                          <a:blip r:embed="rId12"/>
                          <a:stretch>
                            <a:fillRect/>
                          </a:stretch>
                        </pic:blipFill>
                        <pic:spPr bwMode="auto">
                          <a:xfrm>
                            <a:off x="0" y="0"/>
                            <a:ext cx="830580" cy="713105"/>
                          </a:xfrm>
                          <a:prstGeom prst="rect">
                            <a:avLst/>
                          </a:prstGeom>
                        </pic:spPr>
                      </pic:pic>
                    </a:graphicData>
                  </a:graphic>
                </wp:inline>
              </w:drawing>
            </w:r>
          </w:p>
        </w:tc>
        <w:tc>
          <w:tcPr>
            <w:tcW w:w="326" w:type="dxa"/>
            <w:tcBorders/>
            <w:vAlign w:val="center"/>
          </w:tcPr>
          <w:p>
            <w:pPr>
              <w:pStyle w:val="TableContents"/>
              <w:bidi w:val="0"/>
              <w:spacing w:before="160" w:after="0"/>
              <w:ind w:left="0" w:right="0" w:hanging="0"/>
              <w:jc w:val="left"/>
              <w:rPr/>
            </w:pPr>
            <w:r>
              <w:rPr/>
              <w:t>    </w:t>
            </w:r>
          </w:p>
        </w:tc>
        <w:tc>
          <w:tcPr>
            <w:tcW w:w="3100"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160" w:after="0"/>
              <w:ind w:left="0" w:right="0" w:hanging="0"/>
              <w:jc w:val="center"/>
              <w:rPr/>
            </w:pPr>
            <w:r>
              <w:rPr/>
              <w:drawing>
                <wp:inline distT="0" distB="0" distL="0" distR="0">
                  <wp:extent cx="842645" cy="713105"/>
                  <wp:effectExtent l="0" t="0" r="0" b="0"/>
                  <wp:docPr id="10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2" descr=""/>
                          <pic:cNvPicPr>
                            <a:picLocks noChangeAspect="1" noChangeArrowheads="1"/>
                          </pic:cNvPicPr>
                        </pic:nvPicPr>
                        <pic:blipFill>
                          <a:blip r:embed="rId13"/>
                          <a:stretch>
                            <a:fillRect/>
                          </a:stretch>
                        </pic:blipFill>
                        <pic:spPr bwMode="auto">
                          <a:xfrm>
                            <a:off x="0" y="0"/>
                            <a:ext cx="842645" cy="713105"/>
                          </a:xfrm>
                          <a:prstGeom prst="rect">
                            <a:avLst/>
                          </a:prstGeom>
                        </pic:spPr>
                      </pic:pic>
                    </a:graphicData>
                  </a:graphic>
                </wp:inline>
              </w:drawing>
            </w:r>
          </w:p>
        </w:tc>
      </w:tr>
      <w:tr>
        <w:trPr/>
        <w:tc>
          <w:tcPr>
            <w:tcW w:w="2958"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INTERNET</w:t>
            </w:r>
          </w:p>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Vote Your Proxy on the Internet:</w:t>
            </w:r>
          </w:p>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 xml:space="preserve">Go to </w:t>
            </w:r>
          </w:p>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www.AALvote.com/CIX</w:t>
            </w:r>
          </w:p>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Have your proxy card available</w:t>
              <w:br/>
              <w:t>when you access the above website.</w:t>
              <w:br/>
              <w:t>Follow the prompts to vote your</w:t>
              <w:br/>
              <w:t>shares.</w:t>
            </w:r>
          </w:p>
        </w:tc>
        <w:tc>
          <w:tcPr>
            <w:tcW w:w="326" w:type="dxa"/>
            <w:tcBorders/>
            <w:vAlign w:val="center"/>
          </w:tcPr>
          <w:p>
            <w:pPr>
              <w:pStyle w:val="TableContents"/>
              <w:bidi w:val="0"/>
              <w:spacing w:before="0" w:after="0"/>
              <w:ind w:left="0" w:right="0" w:hanging="0"/>
              <w:jc w:val="left"/>
              <w:rPr/>
            </w:pPr>
            <w:r>
              <w:rPr/>
              <w:t> </w:t>
            </w:r>
          </w:p>
        </w:tc>
        <w:tc>
          <w:tcPr>
            <w:tcW w:w="349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TELEPHONE</w:t>
            </w:r>
          </w:p>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Vote Your Proxy by</w:t>
              <w:br/>
              <w:t>Phone: Call 1 (866) 804-9616</w:t>
            </w:r>
          </w:p>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Use any touch-tone telephone to</w:t>
              <w:br/>
              <w:t>vote your proxy. Have your proxy card</w:t>
              <w:br/>
              <w:t>available when you call.</w:t>
              <w:br/>
              <w:t>Follow the voting instructions to vote your</w:t>
              <w:br/>
              <w:t>shares.</w:t>
            </w:r>
          </w:p>
        </w:tc>
        <w:tc>
          <w:tcPr>
            <w:tcW w:w="326" w:type="dxa"/>
            <w:tcBorders/>
            <w:vAlign w:val="center"/>
          </w:tcPr>
          <w:p>
            <w:pPr>
              <w:pStyle w:val="TableContents"/>
              <w:bidi w:val="0"/>
              <w:spacing w:before="0" w:after="0"/>
              <w:ind w:left="0" w:right="0" w:hanging="0"/>
              <w:jc w:val="left"/>
              <w:rPr/>
            </w:pPr>
            <w:r>
              <w:rPr/>
              <w:t> </w:t>
            </w:r>
          </w:p>
        </w:tc>
        <w:tc>
          <w:tcPr>
            <w:tcW w:w="310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MAIL</w:t>
            </w:r>
          </w:p>
          <w:p>
            <w:pPr>
              <w:pStyle w:val="TableContents"/>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Vote Your Proxy by Mail:</w:t>
            </w:r>
          </w:p>
          <w:p>
            <w:pPr>
              <w:pStyle w:val="TableContents"/>
              <w:bidi w:val="0"/>
              <w:spacing w:before="0" w:after="0"/>
              <w:ind w:left="0" w:right="0" w:hanging="0"/>
              <w:jc w:val="left"/>
              <w:rPr/>
            </w:pPr>
            <w:r>
              <w:rPr/>
              <w:t>​</w:t>
            </w:r>
          </w:p>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Mark, sign, and date your proxy card,</w:t>
              <w:br/>
              <w:t>then detach it, and return it in the</w:t>
              <w:br/>
              <w:t>postage-paid envelope provided.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23464</Words>
  <Characters>124496</Characters>
  <CharactersWithSpaces>148295</CharactersWithSpaces>
  <Paragraphs>2726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