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May 26, 2021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04" w:lineRule="exact"/>
        <w:rPr>
          <w:sz w:val="24"/>
          <w:szCs w:val="24"/>
          <w:color w:val="auto"/>
        </w:rPr>
      </w:pPr>
    </w:p>
    <w:tbl>
      <w:tblPr>
        <w:tblLayout w:type="fixed"/>
        <w:tblInd w:w="300" w:type="dxa"/>
        <w:tblCellMar>
          <w:top w:w="0" w:type="dxa"/>
          <w:left w:w="0" w:type="dxa"/>
          <w:bottom w:w="0" w:type="dxa"/>
          <w:right w:w="0" w:type="dxa"/>
        </w:tblCellMar>
      </w:tblPr>
      <w:tr>
        <w:trPr>
          <w:trHeight w:val="256"/>
        </w:trPr>
        <w:tc>
          <w:tcPr>
            <w:tcW w:w="4000" w:type="dxa"/>
            <w:vAlign w:val="bottom"/>
          </w:tcPr>
          <w:p>
            <w:pPr>
              <w:jc w:val="center"/>
              <w:ind w:right="741"/>
              <w:spacing w:after="0"/>
              <w:rPr>
                <w:sz w:val="20"/>
                <w:szCs w:val="20"/>
                <w:color w:val="auto"/>
              </w:rPr>
            </w:pPr>
            <w:r>
              <w:rPr>
                <w:rFonts w:ascii="Arial" w:cs="Arial" w:eastAsia="Arial" w:hAnsi="Arial"/>
                <w:sz w:val="22"/>
                <w:szCs w:val="22"/>
                <w:b w:val="1"/>
                <w:bCs w:val="1"/>
                <w:color w:val="auto"/>
                <w:w w:val="91"/>
              </w:rPr>
              <w:t>Delaware</w:t>
            </w:r>
          </w:p>
        </w:tc>
        <w:tc>
          <w:tcPr>
            <w:tcW w:w="3100" w:type="dxa"/>
            <w:vAlign w:val="bottom"/>
          </w:tcPr>
          <w:p>
            <w:pPr>
              <w:jc w:val="center"/>
              <w:ind w:right="364"/>
              <w:spacing w:after="0"/>
              <w:rPr>
                <w:sz w:val="20"/>
                <w:szCs w:val="20"/>
                <w:color w:val="auto"/>
              </w:rPr>
            </w:pPr>
            <w:r>
              <w:rPr>
                <w:rFonts w:ascii="Arial" w:cs="Arial" w:eastAsia="Arial" w:hAnsi="Arial"/>
                <w:sz w:val="22"/>
                <w:szCs w:val="22"/>
                <w:b w:val="1"/>
                <w:bCs w:val="1"/>
                <w:color w:val="auto"/>
                <w:w w:val="89"/>
              </w:rPr>
              <w:t>1-13905</w:t>
            </w:r>
          </w:p>
        </w:tc>
        <w:tc>
          <w:tcPr>
            <w:tcW w:w="2640" w:type="dxa"/>
            <w:vAlign w:val="bottom"/>
          </w:tcPr>
          <w:p>
            <w:pPr>
              <w:jc w:val="center"/>
              <w:ind w:left="1183"/>
              <w:spacing w:after="0"/>
              <w:rPr>
                <w:sz w:val="20"/>
                <w:szCs w:val="20"/>
                <w:color w:val="auto"/>
              </w:rPr>
            </w:pPr>
            <w:r>
              <w:rPr>
                <w:rFonts w:ascii="Arial" w:cs="Arial" w:eastAsia="Arial" w:hAnsi="Arial"/>
                <w:sz w:val="22"/>
                <w:szCs w:val="22"/>
                <w:b w:val="1"/>
                <w:bCs w:val="1"/>
                <w:color w:val="auto"/>
                <w:w w:val="88"/>
              </w:rPr>
              <w:t>57-0981653</w:t>
            </w:r>
          </w:p>
        </w:tc>
      </w:tr>
      <w:tr>
        <w:trPr>
          <w:trHeight w:val="216"/>
        </w:trPr>
        <w:tc>
          <w:tcPr>
            <w:tcW w:w="4000" w:type="dxa"/>
            <w:vAlign w:val="bottom"/>
          </w:tcPr>
          <w:p>
            <w:pPr>
              <w:jc w:val="center"/>
              <w:ind w:right="741"/>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1"/>
              </w:rPr>
              <w:t>(Commission</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3"/>
              </w:rPr>
              <w:t>(IRS Employer</w:t>
            </w:r>
          </w:p>
        </w:tc>
      </w:tr>
      <w:tr>
        <w:trPr>
          <w:trHeight w:val="230"/>
        </w:trPr>
        <w:tc>
          <w:tcPr>
            <w:tcW w:w="4000" w:type="dxa"/>
            <w:vAlign w:val="bottom"/>
          </w:tcPr>
          <w:p>
            <w:pPr>
              <w:spacing w:after="0"/>
              <w:rPr>
                <w:sz w:val="20"/>
                <w:szCs w:val="20"/>
                <w:color w:val="auto"/>
              </w:rPr>
            </w:pPr>
          </w:p>
        </w:tc>
        <w:tc>
          <w:tcPr>
            <w:tcW w:w="3100" w:type="dxa"/>
            <w:vAlign w:val="bottom"/>
          </w:tcPr>
          <w:p>
            <w:pPr>
              <w:jc w:val="center"/>
              <w:ind w:right="364"/>
              <w:spacing w:after="0"/>
              <w:rPr>
                <w:sz w:val="20"/>
                <w:szCs w:val="20"/>
                <w:color w:val="auto"/>
              </w:rPr>
            </w:pPr>
            <w:r>
              <w:rPr>
                <w:rFonts w:ascii="Arial" w:cs="Arial" w:eastAsia="Arial" w:hAnsi="Arial"/>
                <w:sz w:val="18"/>
                <w:szCs w:val="18"/>
                <w:color w:val="auto"/>
                <w:w w:val="92"/>
              </w:rPr>
              <w:t>File Number)</w:t>
            </w:r>
          </w:p>
        </w:tc>
        <w:tc>
          <w:tcPr>
            <w:tcW w:w="2640" w:type="dxa"/>
            <w:vAlign w:val="bottom"/>
          </w:tcPr>
          <w:p>
            <w:pPr>
              <w:jc w:val="center"/>
              <w:ind w:left="120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100" w:type="dxa"/>
            <w:vAlign w:val="bottom"/>
            <w:gridSpan w:val="2"/>
          </w:tcPr>
          <w:p>
            <w:pPr>
              <w:jc w:val="center"/>
              <w:ind w:right="8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40" w:type="dxa"/>
            <w:vAlign w:val="bottom"/>
          </w:tcPr>
          <w:p>
            <w:pPr>
              <w:jc w:val="center"/>
              <w:ind w:left="1223"/>
              <w:spacing w:after="0"/>
              <w:rPr>
                <w:sz w:val="20"/>
                <w:szCs w:val="20"/>
                <w:color w:val="auto"/>
              </w:rPr>
            </w:pPr>
            <w:r>
              <w:rPr>
                <w:rFonts w:ascii="Arial" w:cs="Arial" w:eastAsia="Arial" w:hAnsi="Arial"/>
                <w:sz w:val="22"/>
                <w:szCs w:val="22"/>
                <w:b w:val="1"/>
                <w:bCs w:val="1"/>
                <w:color w:val="auto"/>
                <w:w w:val="88"/>
              </w:rPr>
              <w:t>75240-2620</w:t>
            </w:r>
          </w:p>
        </w:tc>
      </w:tr>
      <w:tr>
        <w:trPr>
          <w:trHeight w:val="230"/>
        </w:trPr>
        <w:tc>
          <w:tcPr>
            <w:tcW w:w="71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223"/>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1693545</wp:posOffset>
            </wp:positionH>
            <wp:positionV relativeFrom="paragraph">
              <wp:posOffset>201295</wp:posOffset>
            </wp:positionV>
            <wp:extent cx="37458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45865" cy="17145"/>
                    </a:xfrm>
                    <a:prstGeom prst="rect">
                      <a:avLst/>
                    </a:prstGeom>
                    <a:noFill/>
                  </pic:spPr>
                </pic:pic>
              </a:graphicData>
            </a:graphic>
          </wp:anchor>
        </w:drawing>
      </w:r>
    </w:p>
    <w:p>
      <w:pPr>
        <w:spacing w:after="0" w:line="3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240"/>
          </w:cols>
          <w:pgMar w:left="320" w:top="229" w:right="339" w:bottom="1440" w:gutter="0" w:footer="0" w:header="0"/>
        </w:sectPr>
      </w:pPr>
    </w:p>
    <w:p>
      <w:pPr>
        <w:spacing w:after="0" w:line="120" w:lineRule="exact"/>
        <w:rPr>
          <w:sz w:val="24"/>
          <w:szCs w:val="24"/>
          <w:color w:val="auto"/>
        </w:rPr>
      </w:pPr>
    </w:p>
    <w:p>
      <w:pPr>
        <w:ind w:left="28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28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28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28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00" w:space="280"/>
            <w:col w:w="10460"/>
          </w:cols>
          <w:pgMar w:left="320" w:top="229" w:right="339" w:bottom="1440" w:gutter="0" w:footer="0" w:header="0"/>
          <w:type w:val="continuous"/>
        </w:sectPr>
      </w:pP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280" w:type="dxa"/>
            <w:vAlign w:val="bottom"/>
          </w:tcPr>
          <w:p>
            <w:pPr>
              <w:jc w:val="center"/>
              <w:spacing w:after="0" w:line="130" w:lineRule="exact"/>
              <w:rPr>
                <w:sz w:val="20"/>
                <w:szCs w:val="20"/>
                <w:color w:val="auto"/>
              </w:rPr>
            </w:pPr>
            <w:r>
              <w:rPr>
                <w:rFonts w:ascii="Arial" w:cs="Arial" w:eastAsia="Arial" w:hAnsi="Arial"/>
                <w:sz w:val="14"/>
                <w:szCs w:val="14"/>
                <w:color w:val="auto"/>
                <w:w w:val="93"/>
              </w:rPr>
              <w:t>Class Acommon stock</w:t>
            </w: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rPr>
                <w:sz w:val="20"/>
                <w:szCs w:val="20"/>
                <w:color w:val="auto"/>
              </w:rPr>
            </w:pPr>
            <w:r>
              <w:rPr>
                <w:rFonts w:ascii="Arial" w:cs="Arial" w:eastAsia="Arial" w:hAnsi="Arial"/>
                <w:sz w:val="14"/>
                <w:szCs w:val="14"/>
                <w:color w:val="auto"/>
                <w:w w:val="90"/>
              </w:rPr>
              <w:t>($.01 par value per share)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5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73"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9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b w:val="1"/>
          <w:bCs w:val="1"/>
          <w:color w:val="auto"/>
        </w:rPr>
        <w:t>Item 5.07</w:t>
      </w:r>
      <w:r>
        <w:rPr>
          <w:sz w:val="20"/>
          <w:szCs w:val="20"/>
          <w:color w:val="auto"/>
        </w:rPr>
        <w:tab/>
      </w:r>
      <w:r>
        <w:rPr>
          <w:rFonts w:ascii="Arial" w:cs="Arial" w:eastAsia="Arial" w:hAnsi="Arial"/>
          <w:sz w:val="19"/>
          <w:szCs w:val="19"/>
          <w:b w:val="1"/>
          <w:bCs w:val="1"/>
          <w:color w:val="auto"/>
        </w:rPr>
        <w:t>Submission of Matters to a Vote of Security Holders.</w:t>
      </w:r>
    </w:p>
    <w:p>
      <w:pPr>
        <w:spacing w:after="0" w:line="2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registrant held its 2021 annual meeting of stockholders on May 26, 2021. At the 2021 annual meeting, the registrant’s stockholders voted on the two proposals described in detail in the registrant’s definitive proxy statement on Schedule 14A filed with the U.S. Securities and Exchange Commission on April 13, 2021. Stockholders present at the 2021 annual meeting, either in person or by proxy, represented 97.3% of the 12,401,157 shares eligible to vote at the meeting.</w:t>
      </w:r>
    </w:p>
    <w:p>
      <w:pPr>
        <w:spacing w:after="0" w:line="170" w:lineRule="exact"/>
        <w:rPr>
          <w:sz w:val="20"/>
          <w:szCs w:val="20"/>
          <w:color w:val="auto"/>
        </w:rPr>
      </w:pPr>
    </w:p>
    <w:p>
      <w:pPr>
        <w:spacing w:after="0"/>
        <w:tabs>
          <w:tab w:leader="none" w:pos="2960" w:val="left"/>
        </w:tabs>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ROPOSAL</w:t>
      </w:r>
      <w:r>
        <w:rPr>
          <w:rFonts w:ascii="Arial" w:cs="Arial" w:eastAsia="Arial" w:hAnsi="Arial"/>
          <w:sz w:val="22"/>
          <w:szCs w:val="22"/>
          <w:color w:val="auto"/>
        </w:rPr>
        <w:t xml:space="preserve"> 1:</w:t>
      </w:r>
      <w:r>
        <w:rPr>
          <w:sz w:val="20"/>
          <w:szCs w:val="20"/>
          <w:color w:val="auto"/>
        </w:rPr>
        <w:tab/>
      </w:r>
      <w:r>
        <w:rPr>
          <w:rFonts w:ascii="Arial" w:cs="Arial" w:eastAsia="Arial" w:hAnsi="Arial"/>
          <w:sz w:val="20"/>
          <w:szCs w:val="20"/>
          <w:color w:val="auto"/>
        </w:rPr>
        <w:t>E</w:t>
      </w:r>
      <w:r>
        <w:rPr>
          <w:rFonts w:ascii="Arial" w:cs="Arial" w:eastAsia="Arial" w:hAnsi="Arial"/>
          <w:sz w:val="13"/>
          <w:szCs w:val="13"/>
          <w:color w:val="auto"/>
        </w:rPr>
        <w:t>LECTION OF</w:t>
      </w:r>
      <w:r>
        <w:rPr>
          <w:rFonts w:ascii="Arial" w:cs="Arial" w:eastAsia="Arial" w:hAnsi="Arial"/>
          <w:sz w:val="20"/>
          <w:szCs w:val="20"/>
          <w:color w:val="auto"/>
        </w:rPr>
        <w:t xml:space="preserve"> D</w:t>
      </w:r>
      <w:r>
        <w:rPr>
          <w:rFonts w:ascii="Arial" w:cs="Arial" w:eastAsia="Arial" w:hAnsi="Arial"/>
          <w:sz w:val="13"/>
          <w:szCs w:val="13"/>
          <w:color w:val="auto"/>
        </w:rPr>
        <w:t>IRECTORS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registrant’s stockholders elected Thomas E. Barry, Loretta J. Feehan, Robert D. Graham, Terri L. Herrington, Scott C. James, Ann Manix and Mary A. Tidlund as directors. Each director nominee received votes “For” his or her election from at least 92.0% of the shares eligible to vote at the annual meeting.</w:t>
      </w:r>
    </w:p>
    <w:p>
      <w:pPr>
        <w:spacing w:after="0" w:line="213" w:lineRule="exact"/>
        <w:rPr>
          <w:sz w:val="20"/>
          <w:szCs w:val="20"/>
          <w:color w:val="auto"/>
        </w:rPr>
      </w:pPr>
    </w:p>
    <w:p>
      <w:pPr>
        <w:spacing w:after="0"/>
        <w:tabs>
          <w:tab w:leader="none" w:pos="2960" w:val="left"/>
        </w:tabs>
        <w:rPr>
          <w:sz w:val="20"/>
          <w:szCs w:val="20"/>
          <w:color w:val="auto"/>
        </w:rPr>
      </w:pPr>
      <w:r>
        <w:rPr>
          <w:rFonts w:ascii="Arial" w:cs="Arial" w:eastAsia="Arial" w:hAnsi="Arial"/>
          <w:sz w:val="22"/>
          <w:szCs w:val="22"/>
          <w:color w:val="auto"/>
        </w:rPr>
        <w:t>P</w:t>
      </w:r>
      <w:r>
        <w:rPr>
          <w:rFonts w:ascii="Arial" w:cs="Arial" w:eastAsia="Arial" w:hAnsi="Arial"/>
          <w:sz w:val="14"/>
          <w:szCs w:val="14"/>
          <w:color w:val="auto"/>
        </w:rPr>
        <w:t>ROPOSAL</w:t>
      </w:r>
      <w:r>
        <w:rPr>
          <w:rFonts w:ascii="Arial" w:cs="Arial" w:eastAsia="Arial" w:hAnsi="Arial"/>
          <w:sz w:val="22"/>
          <w:szCs w:val="22"/>
          <w:color w:val="auto"/>
        </w:rPr>
        <w:t xml:space="preserve"> 2:</w:t>
      </w:r>
      <w:r>
        <w:rPr>
          <w:sz w:val="20"/>
          <w:szCs w:val="20"/>
          <w:color w:val="auto"/>
        </w:rPr>
        <w:tab/>
      </w:r>
      <w:r>
        <w:rPr>
          <w:rFonts w:ascii="Arial" w:cs="Arial" w:eastAsia="Arial" w:hAnsi="Arial"/>
          <w:sz w:val="22"/>
          <w:szCs w:val="22"/>
          <w:color w:val="auto"/>
        </w:rPr>
        <w:t>S</w:t>
      </w:r>
      <w:r>
        <w:rPr>
          <w:rFonts w:ascii="Arial" w:cs="Arial" w:eastAsia="Arial" w:hAnsi="Arial"/>
          <w:sz w:val="14"/>
          <w:szCs w:val="14"/>
          <w:color w:val="auto"/>
        </w:rPr>
        <w:t>AY</w:t>
      </w:r>
      <w:r>
        <w:rPr>
          <w:rFonts w:ascii="Arial" w:cs="Arial" w:eastAsia="Arial" w:hAnsi="Arial"/>
          <w:sz w:val="22"/>
          <w:szCs w:val="22"/>
          <w:color w:val="auto"/>
        </w:rPr>
        <w:t>-</w:t>
      </w:r>
      <w:r>
        <w:rPr>
          <w:rFonts w:ascii="Arial" w:cs="Arial" w:eastAsia="Arial" w:hAnsi="Arial"/>
          <w:sz w:val="14"/>
          <w:szCs w:val="14"/>
          <w:color w:val="auto"/>
        </w:rPr>
        <w:t>ON</w:t>
      </w:r>
      <w:r>
        <w:rPr>
          <w:rFonts w:ascii="Arial" w:cs="Arial" w:eastAsia="Arial" w:hAnsi="Arial"/>
          <w:sz w:val="22"/>
          <w:szCs w:val="22"/>
          <w:color w:val="auto"/>
        </w:rPr>
        <w:t>-P</w:t>
      </w:r>
      <w:r>
        <w:rPr>
          <w:rFonts w:ascii="Arial" w:cs="Arial" w:eastAsia="Arial" w:hAnsi="Arial"/>
          <w:sz w:val="14"/>
          <w:szCs w:val="14"/>
          <w:color w:val="auto"/>
        </w:rPr>
        <w:t>AY</w:t>
      </w:r>
      <w:r>
        <w:rPr>
          <w:rFonts w:ascii="Arial" w:cs="Arial" w:eastAsia="Arial" w:hAnsi="Arial"/>
          <w:sz w:val="22"/>
          <w:szCs w:val="22"/>
          <w:color w:val="auto"/>
        </w:rPr>
        <w:t>, N</w:t>
      </w:r>
      <w:r>
        <w:rPr>
          <w:rFonts w:ascii="Arial" w:cs="Arial" w:eastAsia="Arial" w:hAnsi="Arial"/>
          <w:sz w:val="14"/>
          <w:szCs w:val="14"/>
          <w:color w:val="auto"/>
        </w:rPr>
        <w:t>ONBINDING</w:t>
      </w:r>
      <w:r>
        <w:rPr>
          <w:rFonts w:ascii="Arial" w:cs="Arial" w:eastAsia="Arial" w:hAnsi="Arial"/>
          <w:sz w:val="22"/>
          <w:szCs w:val="22"/>
          <w:color w:val="auto"/>
        </w:rPr>
        <w:t xml:space="preserve"> A</w:t>
      </w:r>
      <w:r>
        <w:rPr>
          <w:rFonts w:ascii="Arial" w:cs="Arial" w:eastAsia="Arial" w:hAnsi="Arial"/>
          <w:sz w:val="14"/>
          <w:szCs w:val="14"/>
          <w:color w:val="auto"/>
        </w:rPr>
        <w:t>DVISORY</w:t>
      </w:r>
      <w:r>
        <w:rPr>
          <w:rFonts w:ascii="Arial" w:cs="Arial" w:eastAsia="Arial" w:hAnsi="Arial"/>
          <w:sz w:val="22"/>
          <w:szCs w:val="22"/>
          <w:color w:val="auto"/>
        </w:rPr>
        <w:t xml:space="preserve"> V</w:t>
      </w:r>
      <w:r>
        <w:rPr>
          <w:rFonts w:ascii="Arial" w:cs="Arial" w:eastAsia="Arial" w:hAnsi="Arial"/>
          <w:sz w:val="14"/>
          <w:szCs w:val="14"/>
          <w:color w:val="auto"/>
        </w:rPr>
        <w:t>OTE</w:t>
      </w:r>
      <w:r>
        <w:rPr>
          <w:rFonts w:ascii="Arial" w:cs="Arial" w:eastAsia="Arial" w:hAnsi="Arial"/>
          <w:sz w:val="22"/>
          <w:szCs w:val="22"/>
          <w:color w:val="auto"/>
        </w:rPr>
        <w:t xml:space="preserve"> A</w:t>
      </w:r>
      <w:r>
        <w:rPr>
          <w:rFonts w:ascii="Arial" w:cs="Arial" w:eastAsia="Arial" w:hAnsi="Arial"/>
          <w:sz w:val="14"/>
          <w:szCs w:val="14"/>
          <w:color w:val="auto"/>
        </w:rPr>
        <w:t>PPROVING</w:t>
      </w:r>
      <w:r>
        <w:rPr>
          <w:rFonts w:ascii="Arial" w:cs="Arial" w:eastAsia="Arial" w:hAnsi="Arial"/>
          <w:sz w:val="22"/>
          <w:szCs w:val="22"/>
          <w:color w:val="auto"/>
        </w:rPr>
        <w:t xml:space="preserve"> E</w:t>
      </w:r>
      <w:r>
        <w:rPr>
          <w:rFonts w:ascii="Arial" w:cs="Arial" w:eastAsia="Arial" w:hAnsi="Arial"/>
          <w:sz w:val="14"/>
          <w:szCs w:val="14"/>
          <w:color w:val="auto"/>
        </w:rPr>
        <w:t>XECUTIVE</w:t>
      </w:r>
      <w:r>
        <w:rPr>
          <w:rFonts w:ascii="Arial" w:cs="Arial" w:eastAsia="Arial" w:hAnsi="Arial"/>
          <w:sz w:val="22"/>
          <w:szCs w:val="22"/>
          <w:color w:val="auto"/>
        </w:rPr>
        <w:t xml:space="preserve"> C</w:t>
      </w:r>
      <w:r>
        <w:rPr>
          <w:rFonts w:ascii="Arial" w:cs="Arial" w:eastAsia="Arial" w:hAnsi="Arial"/>
          <w:sz w:val="14"/>
          <w:szCs w:val="14"/>
          <w:color w:val="auto"/>
        </w:rPr>
        <w:t>OMPENSATION</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registrant’s stockholders adopted a resolution, on a nonbinding advisory basis, approving the compensation of the registrant’s named executive officers as described in the registrant’s 2021 proxy statement. The resolution received the approval from 89.9% of the shares eligible to vote at the annual meeting.</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registrant hereby furnishes the information set forth in its press release issued on May 26, 2021, a copy of which is attached hereto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gridSpan w:val="2"/>
          </w:tcPr>
          <w:p>
            <w:pPr>
              <w:ind w:left="660"/>
              <w:spacing w:after="0"/>
              <w:rPr>
                <w:sz w:val="20"/>
                <w:szCs w:val="20"/>
                <w:color w:val="auto"/>
              </w:rPr>
            </w:pPr>
            <w:r>
              <w:rPr>
                <w:rFonts w:ascii="Arial" w:cs="Arial" w:eastAsia="Arial" w:hAnsi="Arial"/>
                <w:sz w:val="22"/>
                <w:szCs w:val="22"/>
                <w:b w:val="1"/>
                <w:bCs w:val="1"/>
                <w:color w:val="auto"/>
              </w:rPr>
              <w:t>Item</w:t>
            </w:r>
          </w:p>
        </w:tc>
        <w:tc>
          <w:tcPr>
            <w:tcW w:w="9920" w:type="dxa"/>
            <w:vAlign w:val="bottom"/>
            <w:gridSpan w:val="5"/>
          </w:tcPr>
          <w:p>
            <w:pPr>
              <w:ind w:left="640"/>
              <w:spacing w:after="0"/>
              <w:rPr>
                <w:sz w:val="20"/>
                <w:szCs w:val="20"/>
                <w:color w:val="auto"/>
              </w:rPr>
            </w:pPr>
            <w:r>
              <w:rPr>
                <w:rFonts w:ascii="Arial" w:cs="Arial" w:eastAsia="Arial" w:hAnsi="Arial"/>
                <w:sz w:val="22"/>
                <w:szCs w:val="22"/>
                <w:b w:val="1"/>
                <w:bCs w:val="1"/>
                <w:color w:val="auto"/>
              </w:rPr>
              <w:t>Financial Statements and Exhibits.</w:t>
            </w:r>
          </w:p>
        </w:tc>
        <w:tc>
          <w:tcPr>
            <w:tcW w:w="0" w:type="dxa"/>
            <w:vAlign w:val="bottom"/>
          </w:tcPr>
          <w:p>
            <w:pPr>
              <w:spacing w:after="0"/>
              <w:rPr>
                <w:sz w:val="1"/>
                <w:szCs w:val="1"/>
                <w:color w:val="auto"/>
              </w:rPr>
            </w:pPr>
          </w:p>
        </w:tc>
      </w:tr>
      <w:tr>
        <w:trPr>
          <w:trHeight w:val="280"/>
        </w:trPr>
        <w:tc>
          <w:tcPr>
            <w:tcW w:w="920" w:type="dxa"/>
            <w:vAlign w:val="bottom"/>
          </w:tcPr>
          <w:p>
            <w:pPr>
              <w:jc w:val="right"/>
              <w:ind w:right="432"/>
              <w:spacing w:after="0"/>
              <w:rPr>
                <w:sz w:val="20"/>
                <w:szCs w:val="20"/>
                <w:color w:val="auto"/>
              </w:rPr>
            </w:pPr>
            <w:r>
              <w:rPr>
                <w:rFonts w:ascii="Arial" w:cs="Arial" w:eastAsia="Arial" w:hAnsi="Arial"/>
                <w:sz w:val="22"/>
                <w:szCs w:val="22"/>
                <w:b w:val="1"/>
                <w:bCs w:val="1"/>
                <w:color w:val="auto"/>
                <w:w w:val="83"/>
              </w:rPr>
              <w:t>9.01</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320" w:type="dxa"/>
            <w:vAlign w:val="bottom"/>
            <w:gridSpan w:val="2"/>
          </w:tcPr>
          <w:p>
            <w:pPr>
              <w:ind w:left="660"/>
              <w:spacing w:after="0"/>
              <w:rPr>
                <w:sz w:val="20"/>
                <w:szCs w:val="20"/>
                <w:color w:val="auto"/>
              </w:rPr>
            </w:pPr>
            <w:r>
              <w:rPr>
                <w:rFonts w:ascii="Arial" w:cs="Arial" w:eastAsia="Arial" w:hAnsi="Arial"/>
                <w:sz w:val="22"/>
                <w:szCs w:val="22"/>
                <w:color w:val="auto"/>
              </w:rPr>
              <w:t>(d)</w:t>
            </w:r>
          </w:p>
        </w:tc>
        <w:tc>
          <w:tcPr>
            <w:tcW w:w="1740" w:type="dxa"/>
            <w:vAlign w:val="bottom"/>
          </w:tcPr>
          <w:p>
            <w:pPr>
              <w:ind w:left="240"/>
              <w:spacing w:after="0"/>
              <w:rPr>
                <w:sz w:val="20"/>
                <w:szCs w:val="20"/>
                <w:color w:val="auto"/>
              </w:rPr>
            </w:pPr>
            <w:r>
              <w:rPr>
                <w:rFonts w:ascii="Arial" w:cs="Arial" w:eastAsia="Arial" w:hAnsi="Arial"/>
                <w:sz w:val="22"/>
                <w:szCs w:val="22"/>
                <w:color w:val="auto"/>
              </w:rPr>
              <w:t>Exhibits</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ind w:left="580"/>
              <w:spacing w:after="0"/>
              <w:rPr>
                <w:sz w:val="20"/>
                <w:szCs w:val="20"/>
                <w:color w:val="auto"/>
              </w:rPr>
            </w:pPr>
            <w:r>
              <w:rPr>
                <w:rFonts w:ascii="Arial" w:cs="Arial" w:eastAsia="Arial" w:hAnsi="Arial"/>
                <w:sz w:val="22"/>
                <w:szCs w:val="22"/>
                <w:b w:val="1"/>
                <w:bCs w:val="1"/>
                <w:color w:val="auto"/>
              </w:rPr>
              <w:t>Item No.</w:t>
            </w:r>
          </w:p>
        </w:tc>
        <w:tc>
          <w:tcPr>
            <w:tcW w:w="7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2"/>
          </w:tcPr>
          <w:p>
            <w:pPr>
              <w:ind w:left="280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419"/>
        </w:trPr>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jc w:val="right"/>
              <w:ind w:right="452"/>
              <w:spacing w:after="0"/>
              <w:rPr>
                <w:sz w:val="20"/>
                <w:szCs w:val="20"/>
                <w:color w:val="auto"/>
              </w:rPr>
            </w:pPr>
            <w:r>
              <w:rPr>
                <w:rFonts w:ascii="Arial" w:cs="Arial" w:eastAsia="Arial" w:hAnsi="Arial"/>
                <w:sz w:val="22"/>
                <w:szCs w:val="22"/>
                <w:color w:val="auto"/>
              </w:rPr>
              <w:t>99.1</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40" w:type="dxa"/>
            <w:vAlign w:val="bottom"/>
            <w:gridSpan w:val="2"/>
          </w:tcPr>
          <w:p>
            <w:pPr>
              <w:spacing w:after="0"/>
              <w:rPr>
                <w:rFonts w:ascii="Arial" w:cs="Arial" w:eastAsia="Arial" w:hAnsi="Arial"/>
                <w:sz w:val="22"/>
                <w:szCs w:val="22"/>
                <w:color w:val="0000EE"/>
              </w:rPr>
            </w:pPr>
            <w:hyperlink w:anchor="page4">
              <w:r>
                <w:rPr>
                  <w:rFonts w:ascii="Arial" w:cs="Arial" w:eastAsia="Arial" w:hAnsi="Arial"/>
                  <w:sz w:val="22"/>
                  <w:szCs w:val="22"/>
                  <w:color w:val="0000EE"/>
                </w:rPr>
                <w:t>Press release dated May 26, 2021 issued by the registrant</w:t>
              </w:r>
            </w:hyperlink>
            <w:r>
              <w:rPr>
                <w:rFonts w:ascii="Arial" w:cs="Arial" w:eastAsia="Arial" w:hAnsi="Arial"/>
                <w:sz w:val="22"/>
                <w:szCs w:val="22"/>
                <w:color w:val="000000"/>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vMerge w:val="restart"/>
          </w:tcPr>
          <w:p>
            <w:pPr>
              <w:jc w:val="right"/>
              <w:ind w:right="472"/>
              <w:spacing w:after="0"/>
              <w:rPr>
                <w:sz w:val="20"/>
                <w:szCs w:val="20"/>
                <w:color w:val="auto"/>
              </w:rPr>
            </w:pPr>
            <w:r>
              <w:rPr>
                <w:rFonts w:ascii="Arial" w:cs="Arial" w:eastAsia="Arial" w:hAnsi="Arial"/>
                <w:sz w:val="22"/>
                <w:szCs w:val="22"/>
                <w:color w:val="auto"/>
              </w:rPr>
              <w:t>104</w:t>
            </w: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40" w:type="dxa"/>
            <w:vAlign w:val="bottom"/>
            <w:gridSpan w:val="2"/>
          </w:tcPr>
          <w:p>
            <w:pPr>
              <w:spacing w:after="0" w:line="242" w:lineRule="exact"/>
              <w:rPr>
                <w:sz w:val="20"/>
                <w:szCs w:val="20"/>
                <w:color w:val="auto"/>
              </w:rPr>
            </w:pPr>
            <w:r>
              <w:rPr>
                <w:rFonts w:ascii="Arial" w:cs="Arial" w:eastAsia="Arial" w:hAnsi="Arial"/>
                <w:sz w:val="22"/>
                <w:szCs w:val="22"/>
                <w:color w:val="auto"/>
                <w:w w:val="95"/>
              </w:rPr>
              <w:t>Cover  Page  Interactive  Data  File  (embedded  within  the  Inline  XBRL</w:t>
            </w:r>
          </w:p>
        </w:tc>
        <w:tc>
          <w:tcPr>
            <w:tcW w:w="0" w:type="dxa"/>
            <w:vAlign w:val="bottom"/>
          </w:tcPr>
          <w:p>
            <w:pPr>
              <w:spacing w:after="0"/>
              <w:rPr>
                <w:sz w:val="1"/>
                <w:szCs w:val="1"/>
                <w:color w:val="auto"/>
              </w:rPr>
            </w:pPr>
          </w:p>
        </w:tc>
      </w:tr>
      <w:tr>
        <w:trPr>
          <w:trHeight w:val="274"/>
        </w:trPr>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80" w:type="dxa"/>
            <w:vAlign w:val="bottom"/>
            <w:gridSpan w:val="3"/>
          </w:tcPr>
          <w:p>
            <w:pPr>
              <w:spacing w:after="0"/>
              <w:rPr>
                <w:sz w:val="20"/>
                <w:szCs w:val="20"/>
                <w:color w:val="auto"/>
              </w:rPr>
            </w:pPr>
            <w:r>
              <w:rPr>
                <w:rFonts w:ascii="Arial" w:cs="Arial" w:eastAsia="Arial" w:hAnsi="Arial"/>
                <w:sz w:val="22"/>
                <w:szCs w:val="22"/>
                <w:color w:val="auto"/>
              </w:rPr>
              <w:t>document)</w:t>
            </w:r>
          </w:p>
        </w:tc>
        <w:tc>
          <w:tcPr>
            <w:tcW w:w="0" w:type="dxa"/>
            <w:vAlign w:val="bottom"/>
          </w:tcPr>
          <w:p>
            <w:pPr>
              <w:spacing w:after="0"/>
              <w:rPr>
                <w:sz w:val="1"/>
                <w:szCs w:val="1"/>
                <w:color w:val="auto"/>
              </w:rPr>
            </w:pPr>
          </w:p>
        </w:tc>
      </w:tr>
      <w:tr>
        <w:trPr>
          <w:trHeight w:val="415"/>
        </w:trPr>
        <w:tc>
          <w:tcPr>
            <w:tcW w:w="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8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980" w:type="dxa"/>
            <w:vAlign w:val="bottom"/>
            <w:gridSpan w:val="2"/>
          </w:tcPr>
          <w:p>
            <w:pPr>
              <w:ind w:left="5580"/>
              <w:spacing w:after="0"/>
              <w:rPr>
                <w:sz w:val="20"/>
                <w:szCs w:val="20"/>
                <w:color w:val="auto"/>
              </w:rPr>
            </w:pPr>
            <w:r>
              <w:rPr>
                <w:rFonts w:ascii="Arial" w:cs="Arial" w:eastAsia="Arial" w:hAnsi="Arial"/>
                <w:sz w:val="22"/>
                <w:szCs w:val="22"/>
                <w:color w:val="auto"/>
              </w:rPr>
              <w:t>By:</w:t>
            </w:r>
          </w:p>
        </w:tc>
        <w:tc>
          <w:tcPr>
            <w:tcW w:w="5260" w:type="dxa"/>
            <w:vAlign w:val="bottom"/>
          </w:tcPr>
          <w:p>
            <w:pPr>
              <w:ind w:left="380"/>
              <w:spacing w:after="0"/>
              <w:rPr>
                <w:sz w:val="20"/>
                <w:szCs w:val="20"/>
                <w:color w:val="auto"/>
              </w:rPr>
            </w:pPr>
            <w:r>
              <w:rPr>
                <w:rFonts w:ascii="Arial" w:cs="Arial" w:eastAsia="Arial" w:hAnsi="Arial"/>
                <w:sz w:val="22"/>
                <w:szCs w:val="22"/>
                <w:color w:val="auto"/>
              </w:rPr>
              <w:t>/s/ Jane Grimm</w:t>
            </w:r>
          </w:p>
        </w:tc>
      </w:tr>
      <w:tr>
        <w:trPr>
          <w:trHeight w:val="274"/>
        </w:trPr>
        <w:tc>
          <w:tcPr>
            <w:tcW w:w="5580" w:type="dxa"/>
            <w:vAlign w:val="bottom"/>
          </w:tcPr>
          <w:p>
            <w:pPr>
              <w:spacing w:after="0"/>
              <w:rPr>
                <w:sz w:val="20"/>
                <w:szCs w:val="20"/>
                <w:color w:val="auto"/>
              </w:rPr>
            </w:pPr>
            <w:r>
              <w:rPr>
                <w:rFonts w:ascii="Arial" w:cs="Arial" w:eastAsia="Arial" w:hAnsi="Arial"/>
                <w:sz w:val="22"/>
                <w:szCs w:val="22"/>
                <w:color w:val="auto"/>
              </w:rPr>
              <w:t>Date: May 26, 2021</w:t>
            </w:r>
          </w:p>
        </w:tc>
        <w:tc>
          <w:tcPr>
            <w:tcW w:w="400" w:type="dxa"/>
            <w:vAlign w:val="bottom"/>
            <w:tcBorders>
              <w:top w:val="single" w:sz="8" w:color="auto"/>
            </w:tcBorders>
          </w:tcPr>
          <w:p>
            <w:pPr>
              <w:spacing w:after="0"/>
              <w:rPr>
                <w:sz w:val="23"/>
                <w:szCs w:val="23"/>
                <w:color w:val="auto"/>
              </w:rPr>
            </w:pPr>
          </w:p>
        </w:tc>
        <w:tc>
          <w:tcPr>
            <w:tcW w:w="5260" w:type="dxa"/>
            <w:vAlign w:val="bottom"/>
            <w:tcBorders>
              <w:top w:val="single" w:sz="8" w:color="auto"/>
            </w:tcBorders>
          </w:tcPr>
          <w:p>
            <w:pPr>
              <w:ind w:left="80"/>
              <w:spacing w:after="0"/>
              <w:rPr>
                <w:sz w:val="20"/>
                <w:szCs w:val="20"/>
                <w:color w:val="auto"/>
              </w:rPr>
            </w:pPr>
            <w:r>
              <w:rPr>
                <w:rFonts w:ascii="Arial" w:cs="Arial" w:eastAsia="Arial" w:hAnsi="Arial"/>
                <w:sz w:val="22"/>
                <w:szCs w:val="22"/>
                <w:i w:val="1"/>
                <w:iCs w:val="1"/>
                <w:color w:val="auto"/>
              </w:rPr>
              <w:t>Jane Grimm, Vice President and Secretary</w:t>
            </w: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114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060" w:space="720"/>
            <w:col w:w="4460"/>
          </w:cols>
          <w:pgMar w:left="320" w:top="1440"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060" w:space="720"/>
            <w:col w:w="4460"/>
          </w:cols>
          <w:pgMar w:left="320" w:top="1440" w:right="3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COMPX ANNOUNCES REGULAR QUARTERLY DIVIDEND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RESULTS OF THE ANNUAL STOCKHOLDER MEETING</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DALLAS, TEXAS . . . May 26, 2021 . . . CompX International Inc. (NYSE American: CIX) announced today that its board of directors has declared CompX’s regular quarterly dividend of twenty cents ($0.20) per share on its class A common stock, payable on June 15, 2021 to stockholders of record at the close of business on June 7, 2021.</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also announced that at its annual stockholder meeting held on May 26, 2021, its stockholders:</w:t>
      </w:r>
    </w:p>
    <w:p>
      <w:pPr>
        <w:spacing w:after="0" w:line="233" w:lineRule="exact"/>
        <w:rPr>
          <w:sz w:val="20"/>
          <w:szCs w:val="20"/>
          <w:color w:val="auto"/>
        </w:rPr>
      </w:pPr>
    </w:p>
    <w:p>
      <w:pPr>
        <w:ind w:left="1300" w:hanging="644"/>
        <w:spacing w:after="0" w:line="250" w:lineRule="auto"/>
        <w:tabs>
          <w:tab w:leader="none" w:pos="1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elected each of Thomas E. Barry, Loretta J. Feehan, Robert D. Graham, Terri L. Herrington, Scott C. James, Ann Manix and Mary A. Tidlund as a director for a one year term; and</w:t>
      </w:r>
    </w:p>
    <w:p>
      <w:pPr>
        <w:spacing w:after="0" w:line="201" w:lineRule="exact"/>
        <w:rPr>
          <w:rFonts w:ascii="Arial" w:cs="Arial" w:eastAsia="Arial" w:hAnsi="Arial"/>
          <w:sz w:val="22"/>
          <w:szCs w:val="22"/>
          <w:color w:val="auto"/>
        </w:rPr>
      </w:pPr>
    </w:p>
    <w:p>
      <w:pPr>
        <w:ind w:left="1300" w:right="520" w:hanging="644"/>
        <w:spacing w:after="0" w:line="274" w:lineRule="auto"/>
        <w:tabs>
          <w:tab w:leader="none" w:pos="1300" w:val="left"/>
        </w:tabs>
        <w:numPr>
          <w:ilvl w:val="0"/>
          <w:numId w:val="1"/>
        </w:numPr>
        <w:rPr>
          <w:rFonts w:ascii="Arial" w:cs="Arial" w:eastAsia="Arial" w:hAnsi="Arial"/>
          <w:sz w:val="21"/>
          <w:szCs w:val="21"/>
          <w:color w:val="auto"/>
        </w:rPr>
      </w:pPr>
      <w:r>
        <w:rPr>
          <w:rFonts w:ascii="Arial" w:cs="Arial" w:eastAsia="Arial" w:hAnsi="Arial"/>
          <w:sz w:val="21"/>
          <w:szCs w:val="21"/>
          <w:color w:val="auto"/>
        </w:rPr>
        <w:t>adopted a resolution that approved, on a nonbinding advisory basis, the compensation of its named executive officers as disclosed in the proxy statement for the 2021 annual stockholder meeting.</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2021-05-26T16:58:42Z</dcterms:created>
  <dcterms:modified xsi:type="dcterms:W3CDTF">2021-05-26T16:58:42Z</dcterms:modified>
</cp:coreProperties>
</file>