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pPr>
      <w:bookmarkStart w:id="0" w:name="cix-20261104x8k.htm"/>
      <w:bookmarkStart w:id="1" w:name="kscix20261104x8k"/>
      <w:bookmarkEnd w:id="0"/>
      <w:bookmarkEnd w:id="1"/>
      <w:r>
        <w:t>​</w:t>
      </w:r>
    </w:p>
    <w:p>
      <w:pPr>
        <w:pStyle w:val="TextBody"/>
        <w:bidi w:val="0"/>
        <w:spacing w:before="0" w:after="240"/>
        <w:ind w:left="0" w:right="0" w:hanging="0"/>
        <w:jc w:val="center"/>
      </w:pPr>
      <w:r>
        <w:t>​</w:t>
      </w:r>
    </w:p>
    <w:p>
      <w:pPr>
        <w:pStyle w:val="TextBody"/>
        <w:bidi w:val="0"/>
        <w:spacing w:before="0" w:after="240"/>
        <w:ind w:left="0" w:right="0" w:firstLine="720"/>
        <w:jc w:val="both"/>
      </w:pPr>
      <w:r>
        <w:t>​</w:t>
      </w:r>
    </w:p>
    <w:p>
      <w:pPr>
        <w:pStyle w:val="TextBody"/>
        <w:bidi w:val="0"/>
        <w:spacing w:before="0" w:after="240"/>
        <w:ind w:left="0" w:right="0" w:hanging="0"/>
        <w:jc w:val="center"/>
      </w:pPr>
      <w:r>
        <w:t>​</w:t>
      </w:r>
    </w:p>
    <w:p>
      <w:pPr>
        <w:pStyle w:val="TextBody"/>
        <w:bidi w:val="0"/>
        <w:spacing w:before="0" w:after="0"/>
        <w:ind w:left="0" w:right="0" w:hanging="0"/>
        <w:jc w:val="center"/>
        <w:rPr>
          <w:rFonts w:ascii="Times New Roman;Times;serif" w:hAnsi="Times New Roman;Times;serif"/>
          <w:b/>
          <w:sz w:val="20"/>
        </w:rPr>
      </w:pPr>
      <w:bookmarkStart w:id="2" w:name="_7af9c73a_1559_464e_848b_25be29fbf076"/>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November 4, 2026</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pPr>
      <w:r>
        <w:t>​</w:t>
      </w:r>
    </w:p>
    <w:p>
      <w:pPr>
        <w:pStyle w:val="Normal"/>
        <w:bidi w:val="0"/>
        <w:spacing w:before="0" w:after="0"/>
        <w:jc w:val="left"/>
        <w:rPr>
          <w:sz w:val="4"/>
          <w:szCs w:val="4"/>
        </w:rPr>
      </w:pPr>
      <w:r>
        <w:rPr>
          <w:sz w:val="4"/>
          <w:szCs w:val="4"/>
        </w:rPr>
      </w:r>
      <w:bookmarkStart w:id="3" w:name="Tc_y7jAvj4zLk6tCIAflC_NQg_5_2"/>
      <w:bookmarkStart w:id="4" w:name="Tc_n0lCWR1LS0OATdQQtpLMuA_5_0"/>
      <w:bookmarkStart w:id="5" w:name="Tc_eldpPNV3yUi3DNU5b03nqA_4_0"/>
      <w:bookmarkStart w:id="6" w:name="Tc_I8getfogWUa6pk92FDUB8Q_1_2"/>
      <w:bookmarkStart w:id="7" w:name="Tc_GtzsOk9EGkqYSGm6v-tGmQ_1_1"/>
      <w:bookmarkStart w:id="8" w:name="Tc_JF66iurobEiVhi-cohOyCw_1_0"/>
      <w:bookmarkStart w:id="9" w:name="_b4f68095_e54f_4e44_947a_47c1ed4f140d"/>
      <w:bookmarkStart w:id="10" w:name="Tc_y7jAvj4zLk6tCIAflC_NQg_5_2"/>
      <w:bookmarkStart w:id="11" w:name="Tc_n0lCWR1LS0OATdQQtpLMuA_5_0"/>
      <w:bookmarkStart w:id="12" w:name="Tc_eldpPNV3yUi3DNU5b03nqA_4_0"/>
      <w:bookmarkStart w:id="13" w:name="Tc_I8getfogWUa6pk92FDUB8Q_1_2"/>
      <w:bookmarkStart w:id="14" w:name="Tc_GtzsOk9EGkqYSGm6v-tGmQ_1_1"/>
      <w:bookmarkStart w:id="15" w:name="Tc_JF66iurobEiVhi-cohOyCw_1_0"/>
      <w:bookmarkStart w:id="16" w:name="_b4f68095_e54f_4e44_947a_47c1ed4f140d"/>
      <w:bookmarkEnd w:id="10"/>
      <w:bookmarkEnd w:id="11"/>
      <w:bookmarkEnd w:id="12"/>
      <w:bookmarkEnd w:id="13"/>
      <w:bookmarkEnd w:id="14"/>
      <w:bookmarkEnd w:id="15"/>
      <w:bookmarkEnd w:id="16"/>
    </w:p>
    <w:tbl>
      <w:tblPr>
        <w:tblW w:w="6513" w:type="dxa"/>
        <w:jc w:val="left"/>
        <w:tblInd w:w="0" w:type="dxa"/>
        <w:tblLayout w:type="fixed"/>
        <w:tblCellMar>
          <w:top w:w="0" w:type="dxa"/>
          <w:left w:w="0" w:type="dxa"/>
          <w:bottom w:w="0" w:type="dxa"/>
          <w:right w:w="0" w:type="dxa"/>
        </w:tblCellMar>
      </w:tblPr>
      <w:tblGrid>
        <w:gridCol w:w="3676"/>
        <w:gridCol w:w="1186"/>
        <w:gridCol w:w="1651"/>
      </w:tblGrid>
      <w:t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c>
          <w:tcPr>
            <w:tcW w:w="3676" w:type="dxa"/>
            <w:tcBorders/>
            <w:vAlign w:val="center"/>
          </w:tcPr>
          <w:p>
            <w:pPr>
              <w:pStyle w:val="TableContents"/>
              <w:bidi w:val="0"/>
              <w:spacing w:before="0" w:after="240"/>
              <w:ind w:left="0" w:right="0" w:hanging="0"/>
              <w:jc w:val="center"/>
            </w:pPr>
            <w:r>
              <w:t>​</w:t>
            </w:r>
          </w:p>
        </w:tc>
        <w:tc>
          <w:tcPr>
            <w:tcW w:w="1186" w:type="dxa"/>
            <w:tcBorders/>
            <w:vAlign w:val="center"/>
          </w:tcPr>
          <w:p>
            <w:pPr>
              <w:pStyle w:val="TableContents"/>
              <w:bidi w:val="0"/>
              <w:spacing w:before="0" w:after="240"/>
              <w:ind w:left="0" w:right="0" w:hanging="0"/>
              <w:jc w:val="center"/>
            </w:pPr>
            <w:r>
              <w:t>​</w:t>
            </w:r>
          </w:p>
        </w:tc>
        <w:tc>
          <w:tcPr>
            <w:tcW w:w="1651" w:type="dxa"/>
            <w:tcBorders/>
            <w:vAlign w:val="center"/>
          </w:tcPr>
          <w:p>
            <w:pPr>
              <w:pStyle w:val="TableContents"/>
              <w:bidi w:val="0"/>
              <w:spacing w:before="0" w:after="240"/>
              <w:ind w:left="0" w:right="0" w:hanging="0"/>
              <w:jc w:val="center"/>
            </w:pPr>
            <w:r>
              <w:t>​</w:t>
            </w:r>
          </w:p>
        </w:tc>
      </w:tr>
      <w:tr>
        <w:tc>
          <w:tcPr>
            <w:tcW w:w="3676" w:type="dxa"/>
            <w:tcBorders/>
            <w:vAlign w:val="center"/>
          </w:tcPr>
          <w:p>
            <w:pPr>
              <w:pStyle w:val="TableContents"/>
              <w:bidi w:val="0"/>
              <w:spacing w:before="0" w:after="240"/>
              <w:ind w:left="0" w:right="0" w:hanging="0"/>
              <w:jc w:val="center"/>
            </w:pPr>
            <w:r>
              <w:t>​</w:t>
            </w:r>
          </w:p>
        </w:tc>
        <w:tc>
          <w:tcPr>
            <w:tcW w:w="1186" w:type="dxa"/>
            <w:tcBorders/>
            <w:vAlign w:val="center"/>
          </w:tcPr>
          <w:p>
            <w:pPr>
              <w:pStyle w:val="TableContents"/>
              <w:bidi w:val="0"/>
              <w:spacing w:before="0" w:after="240"/>
              <w:ind w:left="0" w:right="0" w:hanging="0"/>
              <w:jc w:val="center"/>
            </w:pPr>
            <w:r>
              <w:t>​</w:t>
            </w:r>
          </w:p>
        </w:tc>
        <w:tc>
          <w:tcPr>
            <w:tcW w:w="1651" w:type="dxa"/>
            <w:tcBorders/>
            <w:vAlign w:val="center"/>
          </w:tcPr>
          <w:p>
            <w:pPr>
              <w:pStyle w:val="TableContents"/>
              <w:bidi w:val="0"/>
              <w:spacing w:before="0" w:after="240"/>
              <w:ind w:left="0" w:right="0" w:hanging="0"/>
              <w:jc w:val="center"/>
            </w:pPr>
            <w:r>
              <w:t>​</w:t>
            </w:r>
          </w:p>
        </w:tc>
      </w:tr>
      <w:t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bidi w:val="0"/>
        <w:spacing w:before="0" w:after="240"/>
        <w:ind w:left="0" w:right="0" w:hanging="0"/>
        <w:jc w:val="both"/>
      </w:pPr>
      <w:r>
        <w:t>​</w:t>
      </w:r>
    </w:p>
    <w:tbl>
      <w:tblPr>
        <w:tblW w:w="5289" w:type="dxa"/>
        <w:jc w:val="left"/>
        <w:tblInd w:w="0" w:type="dxa"/>
        <w:tblLayout w:type="fixed"/>
        <w:tblCellMar>
          <w:top w:w="0" w:type="dxa"/>
          <w:left w:w="0" w:type="dxa"/>
          <w:bottom w:w="0" w:type="dxa"/>
          <w:right w:w="0" w:type="dxa"/>
        </w:tblCellMar>
      </w:tblPr>
      <w:tblGrid>
        <w:gridCol w:w="124"/>
        <w:gridCol w:w="5011"/>
        <w:gridCol w:w="154"/>
      </w:tblGrid>
      <w:tr>
        <w:tc>
          <w:tcPr>
            <w:tcW w:w="124" w:type="dxa"/>
            <w:tcBorders/>
            <w:vAlign w:val="center"/>
          </w:tcPr>
          <w:p>
            <w:pPr>
              <w:pStyle w:val="TableContents"/>
              <w:bidi w:val="0"/>
              <w:spacing w:before="0" w:after="240"/>
              <w:ind w:left="0" w:right="0" w:hanging="0"/>
              <w:jc w:val="center"/>
            </w:pPr>
            <w:r>
              <w:t>​</w:t>
            </w:r>
          </w:p>
        </w:tc>
        <w:tc>
          <w:tcPr>
            <w:tcW w:w="5011" w:type="dxa"/>
            <w:tcBorders>
              <w:bottom w:val="single" w:sz="2" w:space="0" w:color="000000"/>
            </w:tcBorders>
            <w:tcMar>
              <w:bottom w:w="28" w:type="dxa"/>
            </w:tcMar>
            <w:vAlign w:val="center"/>
          </w:tcPr>
          <w:p>
            <w:pPr>
              <w:pStyle w:val="TableContents"/>
              <w:bidi w:val="0"/>
              <w:spacing w:before="0" w:after="240"/>
              <w:ind w:left="0" w:right="0" w:hanging="0"/>
              <w:jc w:val="center"/>
            </w:pPr>
            <w:r>
              <w:t>​</w:t>
            </w:r>
          </w:p>
        </w:tc>
        <w:tc>
          <w:tcPr>
            <w:tcW w:w="154" w:type="dxa"/>
            <w:tcBorders/>
            <w:vAlign w:val="center"/>
          </w:tcPr>
          <w:p>
            <w:pPr>
              <w:pStyle w:val="TableContents"/>
              <w:bidi w:val="0"/>
              <w:spacing w:before="0" w:after="240"/>
              <w:ind w:left="0" w:right="0" w:hanging="0"/>
              <w:jc w:val="center"/>
            </w:pPr>
            <w:r>
              <w:t>​</w:t>
            </w:r>
          </w:p>
        </w:tc>
      </w:tr>
      <w:tr>
        <w:tc>
          <w:tcPr>
            <w:tcW w:w="124" w:type="dxa"/>
            <w:tcBorders/>
            <w:vAlign w:val="center"/>
          </w:tcPr>
          <w:p>
            <w:pPr>
              <w:pStyle w:val="TableContents"/>
              <w:bidi w:val="0"/>
              <w:spacing w:before="0" w:after="240"/>
              <w:ind w:left="0" w:right="0" w:hanging="0"/>
              <w:jc w:val="center"/>
            </w:pPr>
            <w: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center"/>
            </w:pPr>
            <w:r>
              <w:t>​</w:t>
            </w:r>
          </w:p>
        </w:tc>
      </w:tr>
    </w:tbl>
    <w:p>
      <w:pPr>
        <w:pStyle w:val="TextBody"/>
        <w:bidi w:val="0"/>
        <w:spacing w:before="0" w:after="0"/>
        <w:ind w:left="0" w:right="0" w:hanging="0"/>
        <w:jc w:val="left"/>
      </w:pPr>
      <w: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240"/>
        <w:ind w:left="0" w:right="0" w:hanging="0"/>
        <w:jc w:val="both"/>
      </w:pPr>
      <w:r>
        <w:t>​</w:t>
      </w:r>
    </w:p>
    <w:p>
      <w:pPr>
        <w:pStyle w:val="Normal"/>
        <w:bidi w:val="0"/>
        <w:spacing w:before="0" w:after="0"/>
        <w:jc w:val="left"/>
        <w:rPr>
          <w:sz w:val="4"/>
          <w:szCs w:val="4"/>
        </w:rPr>
      </w:pPr>
      <w:r>
        <w:rPr>
          <w:sz w:val="4"/>
          <w:szCs w:val="4"/>
        </w:rPr>
      </w:r>
      <w:bookmarkStart w:id="17" w:name="Tc_lgKgaLG4_keuiIlDnueTDA_6_1"/>
      <w:bookmarkStart w:id="18" w:name="Tc_gtbpX9IsSkKh8a8gv13YeQ_4_1"/>
      <w:bookmarkStart w:id="19" w:name="Tc_tB2kwejgnUO_0mNIiRpWkA_2_1"/>
      <w:bookmarkStart w:id="20" w:name="Tc_WvLOHMBCZkCmVwXCwDSirw_0_1"/>
      <w:bookmarkStart w:id="21" w:name="_03f466d9_c487_4fb9_bacb_2fc3efc44005"/>
      <w:bookmarkStart w:id="22" w:name="Tc_lgKgaLG4_keuiIlDnueTDA_6_1"/>
      <w:bookmarkStart w:id="23" w:name="Tc_gtbpX9IsSkKh8a8gv13YeQ_4_1"/>
      <w:bookmarkStart w:id="24" w:name="Tc_tB2kwejgnUO_0mNIiRpWkA_2_1"/>
      <w:bookmarkStart w:id="25" w:name="Tc_WvLOHMBCZkCmVwXCwDSirw_0_1"/>
      <w:bookmarkStart w:id="26" w:name="_03f466d9_c487_4fb9_bacb_2fc3efc44005"/>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c>
          <w:tcPr>
            <w:tcW w:w="331" w:type="dxa"/>
            <w:tcBorders/>
            <w:vAlign w:val="center"/>
          </w:tcPr>
          <w:p>
            <w:pPr>
              <w:pStyle w:val="TableContents"/>
              <w:bidi w:val="0"/>
              <w:spacing w:before="0" w:after="0"/>
              <w:ind w:left="0" w:right="0" w:hanging="0"/>
              <w:jc w:val="center"/>
            </w:pPr>
            <w: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c>
          <w:tcPr>
            <w:tcW w:w="331" w:type="dxa"/>
            <w:tcBorders/>
            <w:vAlign w:val="center"/>
          </w:tcPr>
          <w:p>
            <w:pPr>
              <w:pStyle w:val="TableContents"/>
              <w:bidi w:val="0"/>
              <w:spacing w:before="0" w:after="240"/>
              <w:ind w:left="0" w:right="0" w:hanging="0"/>
              <w:jc w:val="center"/>
            </w:pPr>
            <w:r>
              <w:t>​</w:t>
            </w:r>
          </w:p>
        </w:tc>
        <w:tc>
          <w:tcPr>
            <w:tcW w:w="9181" w:type="dxa"/>
            <w:tcBorders/>
            <w:vAlign w:val="center"/>
          </w:tcPr>
          <w:p>
            <w:pPr>
              <w:pStyle w:val="TableContents"/>
              <w:bidi w:val="0"/>
              <w:spacing w:before="0" w:after="240"/>
              <w:ind w:left="0" w:right="0" w:hanging="0"/>
              <w:jc w:val="both"/>
            </w:pPr>
            <w:r>
              <w:t>​</w:t>
            </w:r>
          </w:p>
        </w:tc>
      </w:tr>
      <w:tr>
        <w:tc>
          <w:tcPr>
            <w:tcW w:w="331" w:type="dxa"/>
            <w:tcBorders/>
            <w:vAlign w:val="center"/>
          </w:tcPr>
          <w:p>
            <w:pPr>
              <w:pStyle w:val="TableContents"/>
              <w:bidi w:val="0"/>
              <w:spacing w:before="0" w:after="0"/>
              <w:ind w:left="0" w:right="0" w:hanging="0"/>
              <w:jc w:val="center"/>
            </w:pPr>
            <w: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c>
          <w:tcPr>
            <w:tcW w:w="331" w:type="dxa"/>
            <w:tcBorders/>
            <w:vAlign w:val="center"/>
          </w:tcPr>
          <w:p>
            <w:pPr>
              <w:pStyle w:val="TableContents"/>
              <w:bidi w:val="0"/>
              <w:spacing w:before="0" w:after="240"/>
              <w:ind w:left="0" w:right="0" w:hanging="0"/>
              <w:jc w:val="center"/>
            </w:pPr>
            <w:r>
              <w:t>​</w:t>
            </w:r>
          </w:p>
        </w:tc>
        <w:tc>
          <w:tcPr>
            <w:tcW w:w="9181" w:type="dxa"/>
            <w:tcBorders/>
            <w:vAlign w:val="center"/>
          </w:tcPr>
          <w:p>
            <w:pPr>
              <w:pStyle w:val="TableContents"/>
              <w:bidi w:val="0"/>
              <w:spacing w:before="0" w:after="240"/>
              <w:ind w:left="0" w:right="0" w:hanging="0"/>
              <w:jc w:val="both"/>
            </w:pPr>
            <w:r>
              <w:t>​</w:t>
            </w:r>
          </w:p>
        </w:tc>
      </w:tr>
      <w:tr>
        <w:tc>
          <w:tcPr>
            <w:tcW w:w="331" w:type="dxa"/>
            <w:tcBorders/>
            <w:vAlign w:val="center"/>
          </w:tcPr>
          <w:p>
            <w:pPr>
              <w:pStyle w:val="TableContents"/>
              <w:bidi w:val="0"/>
              <w:spacing w:before="0" w:after="0"/>
              <w:ind w:left="0" w:right="0" w:hanging="0"/>
              <w:jc w:val="center"/>
            </w:pPr>
            <w: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c>
          <w:tcPr>
            <w:tcW w:w="331" w:type="dxa"/>
            <w:tcBorders/>
            <w:vAlign w:val="center"/>
          </w:tcPr>
          <w:p>
            <w:pPr>
              <w:pStyle w:val="TableContents"/>
              <w:bidi w:val="0"/>
              <w:spacing w:before="0" w:after="240"/>
              <w:ind w:left="0" w:right="0" w:hanging="0"/>
              <w:jc w:val="center"/>
            </w:pPr>
            <w:r>
              <w:t>​</w:t>
            </w:r>
          </w:p>
        </w:tc>
        <w:tc>
          <w:tcPr>
            <w:tcW w:w="9181" w:type="dxa"/>
            <w:tcBorders/>
            <w:vAlign w:val="center"/>
          </w:tcPr>
          <w:p>
            <w:pPr>
              <w:pStyle w:val="TableContents"/>
              <w:bidi w:val="0"/>
              <w:spacing w:before="0" w:after="240"/>
              <w:ind w:left="0" w:right="0" w:hanging="0"/>
              <w:jc w:val="both"/>
            </w:pPr>
            <w:r>
              <w:t>​</w:t>
            </w:r>
          </w:p>
        </w:tc>
      </w:tr>
      <w:tr>
        <w:tc>
          <w:tcPr>
            <w:tcW w:w="331" w:type="dxa"/>
            <w:tcBorders/>
            <w:vAlign w:val="center"/>
          </w:tcPr>
          <w:p>
            <w:pPr>
              <w:pStyle w:val="TableContents"/>
              <w:bidi w:val="0"/>
              <w:spacing w:before="0" w:after="0"/>
              <w:ind w:left="0" w:right="0" w:hanging="0"/>
              <w:jc w:val="center"/>
            </w:pPr>
            <w: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pPr>
      <w: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pPr>
      <w:r>
        <w:t>​</w:t>
      </w:r>
    </w:p>
    <w:tbl>
      <w:tblPr>
        <w:tblW w:w="6755" w:type="dxa"/>
        <w:jc w:val="left"/>
        <w:tblInd w:w="0" w:type="dxa"/>
        <w:tblLayout w:type="fixed"/>
        <w:tblCellMar>
          <w:top w:w="0" w:type="dxa"/>
          <w:left w:w="0" w:type="dxa"/>
          <w:bottom w:w="28" w:type="dxa"/>
          <w:right w:w="0" w:type="dxa"/>
        </w:tblCellMar>
      </w:tblPr>
      <w:tblGrid>
        <w:gridCol w:w="1921"/>
        <w:gridCol w:w="346"/>
        <w:gridCol w:w="826"/>
        <w:gridCol w:w="346"/>
        <w:gridCol w:w="3316"/>
      </w:tblGrid>
      <w:tr>
        <w:tc>
          <w:tcPr>
            <w:tcW w:w="19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2" w:space="0" w:color="000000"/>
            </w:tcBorders>
            <w:vAlign w:val="center"/>
          </w:tcPr>
          <w:p>
            <w:pPr>
              <w:pStyle w:val="TableContents"/>
              <w:bidi w:val="0"/>
              <w:spacing w:before="0" w:after="0"/>
              <w:ind w:left="0" w:right="0" w:hanging="0"/>
              <w:jc w:val="center"/>
            </w:pPr>
            <w:r>
              <w:t>  ​ ​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46" w:type="dxa"/>
            <w:tcBorders>
              <w:bottom w:val="single" w:sz="2" w:space="0" w:color="000000"/>
            </w:tcBorders>
            <w:vAlign w:val="center"/>
          </w:tcPr>
          <w:p>
            <w:pPr>
              <w:pStyle w:val="TableContents"/>
              <w:bidi w:val="0"/>
              <w:spacing w:before="0" w:after="0"/>
              <w:ind w:left="0" w:right="0" w:hanging="0"/>
              <w:jc w:val="center"/>
            </w:pPr>
            <w:r>
              <w:t>  ​ ​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c>
          <w:tcPr>
            <w:tcW w:w="19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46" w:type="dxa"/>
            <w:tcBorders/>
            <w:tcMar>
              <w:bottom w:w="0" w:type="dxa"/>
            </w:tcMar>
            <w:vAlign w:val="center"/>
          </w:tcPr>
          <w:p>
            <w:pPr>
              <w:pStyle w:val="TableContents"/>
              <w:bidi w:val="0"/>
              <w:spacing w:before="0" w:after="240"/>
              <w:ind w:left="0" w:right="0" w:hanging="0"/>
              <w:jc w:val="center"/>
            </w:pPr>
            <w: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46" w:type="dxa"/>
            <w:tcBorders/>
            <w:tcMar>
              <w:bottom w:w="0" w:type="dxa"/>
            </w:tcMar>
            <w:vAlign w:val="center"/>
          </w:tcPr>
          <w:p>
            <w:pPr>
              <w:pStyle w:val="TableContents"/>
              <w:bidi w:val="0"/>
              <w:spacing w:before="0" w:after="240"/>
              <w:ind w:left="0" w:right="0" w:hanging="0"/>
              <w:jc w:val="center"/>
            </w:pPr>
            <w: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pPr>
      <w:r>
        <w:t>​</w:t>
      </w:r>
    </w:p>
    <w:p>
      <w:pPr>
        <w:pStyle w:val="TextBody"/>
        <w:pBdr/>
        <w:bidi w:val="0"/>
        <w:spacing w:before="0" w:after="0"/>
        <w:ind w:left="0" w:right="0" w:hanging="1440"/>
        <w:jc w:val="left"/>
      </w:pPr>
      <w:r>
        <w:t>​</w:t>
      </w:r>
    </w:p>
    <w:p>
      <w:pPr>
        <w:pStyle w:val="TextBody"/>
        <w:pBdr/>
        <w:bidi w:val="0"/>
        <w:spacing w:before="0" w:after="0"/>
        <w:ind w:left="0" w:right="0" w:hanging="1440"/>
        <w:jc w:val="left"/>
      </w:pPr>
      <w:r>
        <w:t>​</w:t>
      </w:r>
    </w:p>
    <w:p>
      <w:pPr>
        <w:pStyle w:val="Normal"/>
        <w:bidi w:val="0"/>
        <w:spacing w:before="0" w:after="0"/>
        <w:ind w:left="600" w:right="600" w:hanging="0"/>
        <w:jc w:val="left"/>
        <w:rPr>
          <w:sz w:val="4"/>
          <w:szCs w:val="4"/>
        </w:rPr>
      </w:pPr>
      <w:r>
        <w:rPr>
          <w:sz w:val="4"/>
          <w:szCs w:val="4"/>
        </w:rPr>
      </w:r>
      <w:bookmarkStart w:id="27" w:name="_315cba72_8fea_4e9e_9e08_2f07845718e5"/>
      <w:bookmarkStart w:id="28" w:name="_315cba72_8fea_4e9e_9e08_2f07845718e5"/>
      <w:bookmarkEnd w:id="28"/>
    </w:p>
    <w:tbl>
      <w:tblPr>
        <w:tblW w:w="4889" w:type="dxa"/>
        <w:jc w:val="left"/>
        <w:tblInd w:w="0" w:type="dxa"/>
        <w:tblLayout w:type="fixed"/>
        <w:tblCellMar>
          <w:top w:w="0" w:type="dxa"/>
          <w:left w:w="0" w:type="dxa"/>
          <w:bottom w:w="0" w:type="dxa"/>
          <w:right w:w="0" w:type="dxa"/>
        </w:tblCellMar>
      </w:tblPr>
      <w:tblGrid>
        <w:gridCol w:w="898"/>
        <w:gridCol w:w="3991"/>
      </w:tblGrid>
      <w:t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“CompX Reports Third Quarter 2026 Results” that the registrant issued on November 4, 2026,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firstLine="720"/>
        <w:jc w:val="both"/>
        <w:rPr>
          <w:spacing w:val="-3"/>
        </w:rPr>
      </w:pPr>
      <w:r>
        <w:rPr>
          <w:spacing w:val="-3"/>
        </w:rPr>
        <w:t>​</w:t>
      </w:r>
    </w:p>
    <w:p>
      <w:pPr>
        <w:pStyle w:val="TextBody"/>
        <w:pBdr/>
        <w:bidi w:val="0"/>
        <w:spacing w:before="0" w:after="0"/>
        <w:ind w:left="0" w:right="0" w:hanging="1440"/>
        <w:jc w:val="left"/>
      </w:pPr>
      <w:r>
        <w:t>​</w:t>
      </w:r>
    </w:p>
    <w:p>
      <w:pPr>
        <w:pStyle w:val="TextBody"/>
        <w:pBdr/>
        <w:bidi w:val="0"/>
        <w:spacing w:before="0" w:after="0"/>
        <w:ind w:left="0" w:right="0" w:hanging="1440"/>
        <w:jc w:val="left"/>
      </w:pPr>
      <w:r>
        <w:t>​</w:t>
      </w:r>
    </w:p>
    <w:p>
      <w:pPr>
        <w:pStyle w:val="TextBody"/>
        <w:pBdr/>
        <w:bidi w:val="0"/>
        <w:spacing w:before="0" w:after="0"/>
        <w:ind w:left="0" w:right="0" w:hanging="1440"/>
        <w:jc w:val="left"/>
      </w:pPr>
      <w:r>
        <w:t>​</w:t>
      </w:r>
    </w:p>
    <w:p>
      <w:pPr>
        <w:pStyle w:val="TextBody"/>
        <w:pBdr/>
        <w:bidi w:val="0"/>
        <w:spacing w:before="0" w:after="0"/>
        <w:ind w:left="0" w:right="0" w:hanging="1440"/>
        <w:jc w:val="left"/>
      </w:pPr>
      <w:r>
        <w:t>​</w:t>
      </w:r>
    </w:p>
    <w:p>
      <w:pPr>
        <w:pStyle w:val="TextBody"/>
        <w:pBdr/>
        <w:bidi w:val="0"/>
        <w:spacing w:before="0" w:after="0"/>
        <w:ind w:left="0" w:right="0" w:hanging="1440"/>
        <w:jc w:val="left"/>
      </w:pPr>
      <w:r>
        <w:t>​</w:t>
      </w:r>
    </w:p>
    <w:p>
      <w:pPr>
        <w:pStyle w:val="TextBody"/>
        <w:pBdr/>
        <w:bidi w:val="0"/>
        <w:spacing w:before="0" w:after="0"/>
        <w:ind w:left="0" w:right="0" w:hanging="1440"/>
        <w:jc w:val="left"/>
      </w:pPr>
      <w:r>
        <w:t>​</w:t>
      </w:r>
    </w:p>
    <w:p>
      <w:pPr>
        <w:pStyle w:val="TextBody"/>
        <w:pBdr/>
        <w:bidi w:val="0"/>
        <w:spacing w:before="0" w:after="0"/>
        <w:ind w:left="0" w:right="0" w:hanging="1440"/>
        <w:jc w:val="left"/>
      </w:pPr>
      <w:r>
        <w:t>​</w:t>
      </w:r>
    </w:p>
    <w:p>
      <w:pPr>
        <w:pStyle w:val="Normal"/>
        <w:bidi w:val="0"/>
        <w:spacing w:before="0" w:after="0"/>
        <w:jc w:val="left"/>
        <w:rPr>
          <w:sz w:val="4"/>
          <w:szCs w:val="4"/>
        </w:rPr>
      </w:pPr>
      <w:r>
        <w:rPr>
          <w:sz w:val="4"/>
          <w:szCs w:val="4"/>
        </w:rPr>
      </w:r>
      <w:bookmarkStart w:id="29" w:name="_601692cc_8bd0_4fae_9172_445751e0ac03"/>
      <w:bookmarkStart w:id="30" w:name="_601692cc_8bd0_4fae_9172_445751e0ac03"/>
      <w:bookmarkEnd w:id="30"/>
    </w:p>
    <w:tbl>
      <w:tblPr>
        <w:tblW w:w="3194" w:type="dxa"/>
        <w:jc w:val="left"/>
        <w:tblInd w:w="0" w:type="dxa"/>
        <w:tblLayout w:type="fixed"/>
        <w:tblCellMar>
          <w:top w:w="0" w:type="dxa"/>
          <w:left w:w="0" w:type="dxa"/>
          <w:bottom w:w="0" w:type="dxa"/>
          <w:right w:w="0" w:type="dxa"/>
        </w:tblCellMar>
      </w:tblPr>
      <w:tblGrid>
        <w:gridCol w:w="898"/>
        <w:gridCol w:w="2296"/>
      </w:tblGrid>
      <w:t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2296"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Regulation FD Disclosure.</w:t>
            </w:r>
          </w:p>
        </w:tc>
      </w:tr>
    </w:tbl>
    <w:p>
      <w:pPr>
        <w:pStyle w:val="TextBody"/>
        <w:bidi w:val="0"/>
        <w:spacing w:before="0" w:after="0"/>
        <w:ind w:left="0" w:right="0" w:firstLine="720"/>
        <w:jc w:val="both"/>
      </w:pPr>
      <w: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hereby furnishes the information set forth in its press release entitled “CompX Declares Regular Quarterly Dividend” that the registrant also issued on November 4, 2026, a copy of which is attached hereto as Exhibit 99.2 and incorporated herein by reference.</w:t>
      </w:r>
    </w:p>
    <w:p>
      <w:pPr>
        <w:pStyle w:val="TextBody"/>
        <w:bidi w:val="0"/>
        <w:spacing w:before="0" w:after="0"/>
        <w:ind w:left="0" w:right="0" w:hanging="0"/>
        <w:jc w:val="both"/>
      </w:pPr>
      <w: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firstLine="720"/>
        <w:jc w:val="both"/>
      </w:pPr>
      <w:r>
        <w:t>​</w:t>
      </w:r>
    </w:p>
    <w:p>
      <w:pPr>
        <w:pStyle w:val="TextBody"/>
        <w:pBdr/>
        <w:bidi w:val="0"/>
        <w:spacing w:before="0" w:after="0"/>
        <w:ind w:left="0" w:right="0" w:hanging="1440"/>
        <w:jc w:val="left"/>
      </w:pPr>
      <w:r>
        <w:t>​</w:t>
      </w:r>
    </w:p>
    <w:p>
      <w:pPr>
        <w:pStyle w:val="Normal"/>
        <w:bidi w:val="0"/>
        <w:spacing w:before="0" w:after="0"/>
        <w:jc w:val="left"/>
        <w:rPr>
          <w:sz w:val="4"/>
          <w:szCs w:val="4"/>
        </w:rPr>
      </w:pPr>
      <w:r>
        <w:rPr>
          <w:sz w:val="4"/>
          <w:szCs w:val="4"/>
        </w:rPr>
      </w:r>
      <w:bookmarkStart w:id="31" w:name="_aad66230_85d4_4be2_85c1_ccfc83661967"/>
      <w:bookmarkStart w:id="32" w:name="_aad66230_85d4_4be2_85c1_ccfc83661967"/>
      <w:bookmarkEnd w:id="32"/>
    </w:p>
    <w:tbl>
      <w:tblPr>
        <w:tblW w:w="3893" w:type="dxa"/>
        <w:jc w:val="left"/>
        <w:tblInd w:w="0" w:type="dxa"/>
        <w:tblLayout w:type="fixed"/>
        <w:tblCellMar>
          <w:top w:w="0" w:type="dxa"/>
          <w:left w:w="0" w:type="dxa"/>
          <w:bottom w:w="0" w:type="dxa"/>
          <w:right w:w="0" w:type="dxa"/>
        </w:tblCellMar>
      </w:tblPr>
      <w:tblGrid>
        <w:gridCol w:w="898"/>
        <w:gridCol w:w="2995"/>
      </w:tblGrid>
      <w:t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36"/>
        <w:gridCol w:w="806"/>
        <w:gridCol w:w="109"/>
        <w:gridCol w:w="8954"/>
      </w:tblGrid>
      <w:tr>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pPr>
            <w:r>
              <w:t>​</w:t>
            </w:r>
          </w:p>
        </w:tc>
        <w:tc>
          <w:tcPr>
            <w:tcW w:w="8954" w:type="dxa"/>
            <w:tcBorders/>
            <w:vAlign w:val="center"/>
          </w:tcPr>
          <w:p>
            <w:pPr>
              <w:pStyle w:val="TableContents"/>
              <w:bidi w:val="0"/>
              <w:spacing w:before="0" w:after="0"/>
              <w:ind w:left="0" w:right="0" w:hanging="0"/>
              <w:jc w:val="left"/>
            </w:pPr>
            <w:r>
              <w:t>​</w:t>
            </w:r>
          </w:p>
        </w:tc>
      </w:tr>
      <w:tr>
        <w:tc>
          <w:tcPr>
            <w:tcW w:w="336"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806"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4" w:type="dxa"/>
            <w:tcBorders/>
            <w:vAlign w:val="center"/>
          </w:tcPr>
          <w:p>
            <w:pPr>
              <w:pStyle w:val="TableContents"/>
              <w:bidi w:val="0"/>
              <w:spacing w:before="0" w:after="0"/>
              <w:ind w:left="0" w:right="0" w:hanging="0"/>
              <w:jc w:val="left"/>
              <w:rPr>
                <w:spacing w:val="-3"/>
              </w:rPr>
            </w:pPr>
            <w:r>
              <w:rPr>
                <w:spacing w:val="-3"/>
              </w:rPr>
              <w:t>​</w:t>
            </w:r>
          </w:p>
        </w:tc>
      </w:tr>
      <w:tr>
        <w:tc>
          <w:tcPr>
            <w:tcW w:w="336"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4" w:type="dxa"/>
            <w:tcBorders/>
            <w:vAlign w:val="center"/>
          </w:tcPr>
          <w:p>
            <w:pPr>
              <w:pStyle w:val="TableContents"/>
              <w:bidi w:val="0"/>
              <w:spacing w:before="0" w:after="0"/>
              <w:ind w:left="0" w:right="0" w:hanging="0"/>
              <w:jc w:val="left"/>
              <w:rPr>
                <w:spacing w:val="-3"/>
              </w:rPr>
            </w:pPr>
            <w:r>
              <w:rPr>
                <w:spacing w:val="-3"/>
              </w:rPr>
              <w:t>​</w:t>
            </w:r>
          </w:p>
        </w:tc>
      </w:tr>
      <w:tr>
        <w:tc>
          <w:tcPr>
            <w:tcW w:w="336" w:type="dxa"/>
            <w:tcBorders/>
            <w:vAlign w:val="center"/>
          </w:tcPr>
          <w:p>
            <w:pPr>
              <w:pStyle w:val="TableContents"/>
              <w:bidi w:val="0"/>
              <w:spacing w:before="0" w:after="0"/>
              <w:ind w:left="0" w:right="0" w:hanging="0"/>
              <w:jc w:val="center"/>
              <w:rPr>
                <w:spacing w:val="-3"/>
              </w:rPr>
            </w:pPr>
            <w:r>
              <w:rPr>
                <w:spacing w:val="-3"/>
              </w:rPr>
              <w:t>​</w:t>
            </w:r>
          </w:p>
        </w:tc>
        <w:tc>
          <w:tcPr>
            <w:tcW w:w="80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4"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c>
          <w:tcPr>
            <w:tcW w:w="336"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4" w:type="dxa"/>
            <w:tcBorders/>
            <w:vAlign w:val="center"/>
          </w:tcPr>
          <w:p>
            <w:pPr>
              <w:pStyle w:val="TableContents"/>
              <w:bidi w:val="0"/>
              <w:spacing w:before="0" w:after="0"/>
              <w:ind w:left="0" w:right="0" w:hanging="0"/>
              <w:jc w:val="left"/>
              <w:rPr>
                <w:spacing w:val="-3"/>
              </w:rPr>
            </w:pPr>
            <w:r>
              <w:rPr>
                <w:spacing w:val="-3"/>
              </w:rPr>
              <w:t>​</w:t>
            </w:r>
          </w:p>
        </w:tc>
      </w:tr>
      <w:tr>
        <w:tc>
          <w:tcPr>
            <w:tcW w:w="336"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4" w:type="dxa"/>
            <w:tcBorders/>
            <w:vAlign w:val="center"/>
          </w:tcPr>
          <w:p>
            <w:pPr>
              <w:pStyle w:val="TableContents"/>
              <w:bidi w:val="0"/>
              <w:spacing w:before="0" w:after="0"/>
              <w:ind w:left="0" w:right="0" w:hanging="0"/>
              <w:jc w:val="both"/>
            </w:pPr>
            <w:hyperlink w:anchor="cix-ex99d1.htm">
              <w:r>
                <w:rPr>
                  <w:rStyle w:val="InternetLink"/>
                  <w:rFonts w:ascii="Times New Roman;Times;serif" w:hAnsi="Times New Roman;Times;serif"/>
                  <w:b w:val="false"/>
                  <w:i w:val="false"/>
                  <w:caps w:val="false"/>
                  <w:smallCaps w:val="false"/>
                  <w:sz w:val="20"/>
                </w:rPr>
                <w:t xml:space="preserve">Press release dated November 4, 2026 </w:t>
              </w:r>
            </w:hyperlink>
            <w:hyperlink w:anchor="cix-ex99d1.htm">
              <w:r>
                <w:rPr>
                  <w:rStyle w:val="InternetLink"/>
                  <w:rFonts w:ascii="Times New Roman;Times;serif" w:hAnsi="Times New Roman;Times;serif"/>
                  <w:b w:val="false"/>
                  <w:i w:val="false"/>
                  <w:caps w:val="false"/>
                  <w:smallCaps w:val="false"/>
                  <w:spacing w:val="-3"/>
                  <w:sz w:val="20"/>
                </w:rPr>
                <w:t>entitled “CompX Reports T</w:t>
              </w:r>
            </w:hyperlink>
            <w:hyperlink w:anchor="cix-ex99d1.htm">
              <w:r>
                <w:rPr>
                  <w:rStyle w:val="InternetLink"/>
                  <w:rFonts w:ascii="Times New Roman;Times;serif" w:hAnsi="Times New Roman;Times;serif"/>
                  <w:b w:val="false"/>
                  <w:i w:val="false"/>
                  <w:caps w:val="false"/>
                  <w:smallCaps w:val="false"/>
                  <w:sz w:val="20"/>
                </w:rPr>
                <w:t xml:space="preserve">hird </w:t>
              </w:r>
            </w:hyperlink>
            <w:hyperlink w:anchor="cix-ex99d1.htm">
              <w:r>
                <w:rPr>
                  <w:rStyle w:val="InternetLink"/>
                  <w:rFonts w:ascii="Times New Roman;Times;serif" w:hAnsi="Times New Roman;Times;serif"/>
                  <w:b w:val="false"/>
                  <w:i w:val="false"/>
                  <w:caps w:val="false"/>
                  <w:smallCaps w:val="false"/>
                  <w:spacing w:val="-3"/>
                  <w:sz w:val="20"/>
                </w:rPr>
                <w:t xml:space="preserve">Quarter 2026 Results” and </w:t>
              </w:r>
            </w:hyperlink>
            <w:hyperlink w:anchor="cix-ex99d1.htm">
              <w:r>
                <w:rPr>
                  <w:rStyle w:val="InternetLink"/>
                  <w:rFonts w:ascii="Times New Roman;Times;serif" w:hAnsi="Times New Roman;Times;serif"/>
                  <w:b w:val="false"/>
                  <w:i w:val="false"/>
                  <w:caps w:val="false"/>
                  <w:smallCaps w:val="false"/>
                  <w:sz w:val="20"/>
                </w:rPr>
                <w:t>issued by the registrant.</w:t>
              </w:r>
            </w:hyperlink>
          </w:p>
        </w:tc>
      </w:tr>
      <w:tr>
        <w:tc>
          <w:tcPr>
            <w:tcW w:w="336"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4" w:type="dxa"/>
            <w:tcBorders/>
            <w:vAlign w:val="center"/>
          </w:tcPr>
          <w:p>
            <w:pPr>
              <w:pStyle w:val="TableContents"/>
              <w:bidi w:val="0"/>
              <w:spacing w:before="0" w:after="0"/>
              <w:ind w:left="0" w:right="0" w:hanging="0"/>
              <w:jc w:val="both"/>
            </w:pPr>
            <w:r>
              <w:t>​</w:t>
            </w:r>
          </w:p>
        </w:tc>
      </w:tr>
      <w:tr>
        <w:tc>
          <w:tcPr>
            <w:tcW w:w="336"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99.2</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4" w:type="dxa"/>
            <w:tcBorders/>
            <w:vAlign w:val="center"/>
          </w:tcPr>
          <w:p>
            <w:pPr>
              <w:pStyle w:val="TableContents"/>
              <w:bidi w:val="0"/>
              <w:spacing w:before="0" w:after="0"/>
              <w:ind w:left="0" w:right="0" w:hanging="0"/>
              <w:jc w:val="both"/>
            </w:pPr>
            <w:hyperlink w:anchor="cix-ex99d2.htm">
              <w:r>
                <w:rPr>
                  <w:rStyle w:val="InternetLink"/>
                  <w:rFonts w:ascii="Times New Roman;Times;serif" w:hAnsi="Times New Roman;Times;serif"/>
                  <w:b w:val="false"/>
                  <w:i w:val="false"/>
                  <w:caps w:val="false"/>
                  <w:smallCaps w:val="false"/>
                  <w:sz w:val="20"/>
                </w:rPr>
                <w:t xml:space="preserve">Press release dated November 4, 2026 </w:t>
              </w:r>
            </w:hyperlink>
            <w:hyperlink w:anchor="cix-ex99d2.htm">
              <w:r>
                <w:rPr>
                  <w:rStyle w:val="InternetLink"/>
                  <w:rFonts w:ascii="Times New Roman;Times;serif" w:hAnsi="Times New Roman;Times;serif"/>
                  <w:b w:val="false"/>
                  <w:i w:val="false"/>
                  <w:caps w:val="false"/>
                  <w:smallCaps w:val="false"/>
                  <w:spacing w:val="-3"/>
                  <w:sz w:val="20"/>
                </w:rPr>
                <w:t xml:space="preserve">entitled “CompX Declares Regular Quarterly Dividend” and </w:t>
              </w:r>
            </w:hyperlink>
            <w:hyperlink w:anchor="cix-ex99d2.htm">
              <w:r>
                <w:rPr>
                  <w:rStyle w:val="InternetLink"/>
                  <w:rFonts w:ascii="Times New Roman;Times;serif" w:hAnsi="Times New Roman;Times;serif"/>
                  <w:b w:val="false"/>
                  <w:i w:val="false"/>
                  <w:caps w:val="false"/>
                  <w:smallCaps w:val="false"/>
                  <w:sz w:val="20"/>
                </w:rPr>
                <w:t>issued by the registrant.</w:t>
              </w:r>
            </w:hyperlink>
          </w:p>
        </w:tc>
      </w:tr>
      <w:tr>
        <w:tc>
          <w:tcPr>
            <w:tcW w:w="336"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4" w:type="dxa"/>
            <w:tcBorders/>
            <w:vAlign w:val="center"/>
          </w:tcPr>
          <w:p>
            <w:pPr>
              <w:pStyle w:val="TableContents"/>
              <w:bidi w:val="0"/>
              <w:spacing w:before="0" w:after="0"/>
              <w:ind w:left="0" w:right="0" w:hanging="0"/>
              <w:jc w:val="left"/>
              <w:rPr>
                <w:spacing w:val="-3"/>
              </w:rPr>
            </w:pPr>
            <w:r>
              <w:rPr>
                <w:spacing w:val="-3"/>
              </w:rPr>
              <w:t>​</w:t>
            </w:r>
          </w:p>
        </w:tc>
      </w:tr>
      <w:tr>
        <w:tc>
          <w:tcPr>
            <w:tcW w:w="336" w:type="dxa"/>
            <w:tcBorders/>
            <w:vAlign w:val="center"/>
          </w:tcPr>
          <w:p>
            <w:pPr>
              <w:pStyle w:val="TableContents"/>
              <w:bidi w:val="0"/>
              <w:spacing w:before="0" w:after="0"/>
              <w:ind w:left="0" w:right="0" w:hanging="0"/>
              <w:jc w:val="left"/>
              <w:rPr>
                <w:spacing w:val="-3"/>
              </w:rPr>
            </w:pPr>
            <w:r>
              <w:rPr>
                <w:spacing w:val="-3"/>
              </w:rPr>
              <w:t>​</w:t>
            </w:r>
          </w:p>
        </w:tc>
        <w:tc>
          <w:tcPr>
            <w:tcW w:w="806"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pPr>
      <w:r>
        <w:t>​</w:t>
      </w:r>
    </w:p>
    <w:p>
      <w:pPr>
        <w:pStyle w:val="TextBody"/>
        <w:bidi w:val="0"/>
        <w:spacing w:before="0" w:after="240"/>
        <w:ind w:left="0" w:right="0" w:firstLine="720"/>
        <w:jc w:val="both"/>
      </w:pPr>
      <w:r>
        <w:t>​</w:t>
      </w:r>
    </w:p>
    <w:p>
      <w:pPr>
        <w:pStyle w:val="TextBody"/>
        <w:bidi w:val="0"/>
        <w:spacing w:before="0" w:after="240"/>
        <w:ind w:left="0" w:right="0" w:firstLine="720"/>
        <w:jc w:val="both"/>
      </w:pPr>
      <w:r>
        <w:t>​</w:t>
      </w:r>
    </w:p>
    <w:p>
      <w:pPr>
        <w:pStyle w:val="TextBody"/>
        <w:bidi w:val="0"/>
        <w:spacing w:before="0" w:after="240"/>
        <w:ind w:left="0" w:right="0" w:firstLine="720"/>
        <w:jc w:val="both"/>
      </w:pPr>
      <w:r>
        <w:t>​</w:t>
      </w:r>
    </w:p>
    <w:p>
      <w:pPr>
        <w:pStyle w:val="TextBody"/>
        <w:bidi w:val="0"/>
        <w:spacing w:before="0" w:after="0"/>
        <w:ind w:left="0" w:right="0" w:hanging="0"/>
        <w:jc w:val="left"/>
      </w:pPr>
      <w:r>
        <w:t>​</w:t>
      </w:r>
    </w:p>
    <w:p>
      <w:pPr>
        <w:pStyle w:val="TextBody"/>
        <w:bidi w:val="0"/>
        <w:spacing w:before="0" w:after="240"/>
        <w:ind w:left="0" w:right="0" w:hanging="0"/>
        <w:jc w:val="center"/>
        <w:rPr>
          <w:rFonts w:ascii="Times New Roman;Times;serif" w:hAnsi="Times New Roman;Times;serif"/>
          <w:b/>
          <w:sz w:val="20"/>
        </w:rPr>
      </w:pPr>
      <w:bookmarkStart w:id="33" w:name="_5dacbde8_8e88_4638_a456_7e8685b92489"/>
      <w:bookmarkEnd w:id="33"/>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pPr>
      <w:r>
        <w:t>​</w:t>
      </w:r>
    </w:p>
    <w:tbl>
      <w:tblPr>
        <w:tblW w:w="5508" w:type="dxa"/>
        <w:jc w:val="left"/>
        <w:tblInd w:w="0" w:type="dxa"/>
        <w:tblLayout w:type="fixed"/>
        <w:tblCellMar>
          <w:top w:w="0" w:type="dxa"/>
          <w:left w:w="0" w:type="dxa"/>
          <w:bottom w:w="0" w:type="dxa"/>
          <w:right w:w="0" w:type="dxa"/>
        </w:tblCellMar>
      </w:tblPr>
      <w:tblGrid>
        <w:gridCol w:w="2101"/>
        <w:gridCol w:w="406"/>
        <w:gridCol w:w="3001"/>
      </w:tblGrid>
      <w:tr>
        <w:tc>
          <w:tcPr>
            <w:tcW w:w="210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c>
          <w:tcPr>
            <w:tcW w:w="210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c>
          <w:tcPr>
            <w:tcW w:w="210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3001" w:type="dxa"/>
            <w:tcBorders/>
            <w:vAlign w:val="center"/>
          </w:tcPr>
          <w:p>
            <w:pPr>
              <w:pStyle w:val="TableContents"/>
              <w:bidi w:val="0"/>
              <w:spacing w:before="0" w:after="0"/>
              <w:ind w:left="0" w:right="0" w:hanging="0"/>
              <w:jc w:val="left"/>
            </w:pPr>
            <w:r>
              <w:t>​</w:t>
            </w:r>
          </w:p>
        </w:tc>
      </w:tr>
      <w:tr>
        <w:tc>
          <w:tcPr>
            <w:tcW w:w="210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3001" w:type="dxa"/>
            <w:tcBorders/>
            <w:vAlign w:val="center"/>
          </w:tcPr>
          <w:p>
            <w:pPr>
              <w:pStyle w:val="TableContents"/>
              <w:bidi w:val="0"/>
              <w:spacing w:before="0" w:after="0"/>
              <w:ind w:left="0" w:right="0" w:hanging="0"/>
              <w:jc w:val="left"/>
            </w:pPr>
            <w:r>
              <w:t>​</w:t>
            </w:r>
          </w:p>
        </w:tc>
      </w:tr>
      <w:tr>
        <w:tc>
          <w:tcPr>
            <w:tcW w:w="210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3001" w:type="dxa"/>
            <w:tcBorders/>
            <w:vAlign w:val="center"/>
          </w:tcPr>
          <w:p>
            <w:pPr>
              <w:pStyle w:val="TableContents"/>
              <w:bidi w:val="0"/>
              <w:spacing w:before="0" w:after="0"/>
              <w:ind w:left="0" w:right="0" w:hanging="0"/>
              <w:jc w:val="left"/>
            </w:pPr>
            <w:r>
              <w:t>​</w:t>
            </w:r>
          </w:p>
        </w:tc>
      </w:tr>
      <w:t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c>
          <w:tcPr>
            <w:tcW w:w="210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30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tc>
      </w:tr>
      <w:tr>
        <w:tc>
          <w:tcPr>
            <w:tcW w:w="210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w:t>
            </w:r>
          </w:p>
        </w:tc>
      </w:tr>
      <w:tr>
        <w:tc>
          <w:tcPr>
            <w:tcW w:w="2101"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34" w:name="cix-ex99d1.htm"/>
      <w:bookmarkStart w:id="35" w:name="kscixex99d1"/>
      <w:bookmarkStart w:id="36" w:name="cix-ex99d1.htm"/>
      <w:bookmarkStart w:id="37" w:name="kscixex99d1"/>
      <w:bookmarkEnd w:id="36"/>
      <w:bookmarkEnd w:id="37"/>
      <w:r>
        <w:br w:type="page"/>
      </w:r>
    </w:p>
    <w:tbl>
      <w:tblPr>
        <w:tblW w:w="4420" w:type="dxa"/>
        <w:jc w:val="left"/>
        <w:tblInd w:w="0" w:type="dxa"/>
        <w:tblLayout w:type="fixed"/>
        <w:tblCellMar>
          <w:top w:w="0" w:type="dxa"/>
          <w:left w:w="0" w:type="dxa"/>
          <w:bottom w:w="0" w:type="dxa"/>
          <w:right w:w="0" w:type="dxa"/>
        </w:tblCellMar>
      </w:tblPr>
      <w:tblGrid>
        <w:gridCol w:w="4420"/>
      </w:tblGrid>
      <w:tr>
        <w:tc>
          <w:tcPr>
            <w:tcW w:w="4420" w:type="dxa"/>
            <w:tcBorders/>
            <w:vAlign w:val="center"/>
          </w:tcPr>
          <w:p>
            <w:pPr>
              <w:pStyle w:val="TableContents"/>
              <w:bidi w:val="0"/>
              <w:spacing w:before="0" w:after="0"/>
              <w:ind w:left="0" w:right="0" w:hanging="0"/>
              <w:jc w:val="right"/>
            </w:pPr>
            <w:r>
              <w:t>​</w:t>
            </w:r>
          </w:p>
        </w:tc>
      </w:tr>
      <w:tr>
        <w:tc>
          <w:tcPr>
            <w:tcW w:w="4420" w:type="dxa"/>
            <w:tcBorders/>
            <w:vAlign w:val="center"/>
          </w:tcPr>
          <w:p>
            <w:pPr>
              <w:pStyle w:val="TableContents"/>
              <w:bidi w:val="0"/>
              <w:spacing w:before="0" w:after="0"/>
              <w:ind w:left="0" w:right="0" w:hanging="0"/>
              <w:jc w:val="center"/>
            </w:pPr>
            <w:r>
              <w:drawing>
                <wp:inline distT="0" distB="0" distL="0" distR="0">
                  <wp:extent cx="271399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left"/>
      </w:pPr>
      <w:r>
        <w:t>​</w:t>
      </w:r>
    </w:p>
    <w:p>
      <w:pPr>
        <w:pStyle w:val="TextBody"/>
        <w:bidi w:val="0"/>
        <w:spacing w:before="0" w:after="0"/>
        <w:ind w:left="0" w:right="0" w:hanging="0"/>
        <w:jc w:val="center"/>
      </w:pPr>
      <w:r>
        <w:t>​</w:t>
      </w:r>
    </w:p>
    <w:p>
      <w:pPr>
        <w:pStyle w:val="TextBody"/>
        <w:bidi w:val="0"/>
        <w:spacing w:before="0" w:after="240"/>
        <w:ind w:left="0" w:right="0" w:hanging="0"/>
        <w:jc w:val="center"/>
        <w:rPr>
          <w:rFonts w:ascii="Times New Roman;Times;serif" w:hAnsi="Times New Roman;Times;serif"/>
          <w:b/>
          <w:sz w:val="30"/>
        </w:rPr>
      </w:pPr>
      <w:r>
        <w:rPr>
          <w:rFonts w:ascii="Times New Roman;Times;serif" w:hAnsi="Times New Roman;Times;serif"/>
          <w:b/>
          <w:sz w:val="30"/>
        </w:rPr>
        <w:t>COMPX REPORTS THIRD QUARTER 2026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DALLAS, TEXAS </w:t>
      </w:r>
      <w:r>
        <w:rPr>
          <w:rFonts w:ascii="Times New Roman;Times;serif" w:hAnsi="Times New Roman;Times;serif"/>
          <w:sz w:val="20"/>
        </w:rPr>
        <w:t xml:space="preserve">… </w:t>
      </w:r>
      <w:r>
        <w:rPr>
          <w:rFonts w:ascii="Times New Roman;Times;serif" w:hAnsi="Times New Roman;Times;serif"/>
          <w:sz w:val="24"/>
        </w:rPr>
        <w:t xml:space="preserve">November 4, 2026 </w:t>
      </w:r>
      <w:r>
        <w:rPr>
          <w:rFonts w:ascii="Times New Roman;Times;serif" w:hAnsi="Times New Roman;Times;serif"/>
          <w:sz w:val="20"/>
        </w:rPr>
        <w:t xml:space="preserve">… </w:t>
      </w:r>
      <w:r>
        <w:rPr>
          <w:rFonts w:ascii="Times New Roman;Times;serif" w:hAnsi="Times New Roman;Times;serif"/>
          <w:sz w:val="24"/>
        </w:rPr>
        <w:t xml:space="preserve">CompX International Inc. (NYSE American: CIX) announced today net sales of $44.0 million for the third quarter of 2026 compared to $40.0 million in the same period of 2025. Operating income was $6.4 million in the third quarter of 2026 compared to $4.8 million in the same period of 2025. Net income was $5.4 million, or $.44 per basic and diluted common share, for the third quarter of 2026 compared to $4.2 million, or $.34 per basic and diluted common share, in the same period of 2025. </w:t>
      </w:r>
    </w:p>
    <w:p>
      <w:pPr>
        <w:pStyle w:val="TextBody"/>
        <w:bidi w:val="0"/>
        <w:spacing w:before="0" w:after="0"/>
        <w:ind w:left="0" w:right="0" w:hanging="0"/>
        <w:jc w:val="both"/>
      </w:pPr>
      <w: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For the nine months ended September 30, 2026, net sales were $128.2 million compared to $120.6 million in the previous year. Operating income was $22.4 million for the first nine months of 2026 compared to $17.0 million for the same period in 2025. Net income for the nine months ended September 30, 2026, was $18.5 million, or $1.50 per basic and diluted common share, compared to $14.8 million, or $1.20 per basic and diluted common share, for the same period in 2025.</w:t>
      </w:r>
    </w:p>
    <w:p>
      <w:pPr>
        <w:pStyle w:val="TextBody"/>
        <w:bidi w:val="0"/>
        <w:spacing w:before="0" w:after="0"/>
        <w:ind w:left="0" w:right="0" w:hanging="0"/>
        <w:jc w:val="both"/>
      </w:pPr>
      <w: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Third quarter 2026 net sales increased over the comparable 2025 period primarily due to higher Marine Components sales to the towboat and industrial markets, and to a lesser extent, higher Security Products sales to the healthcare and tool storage markets. Net sales for the first nine months of 2026 increased over the comparable 2025 period due to higher Marine Components sales to the industrial market and higher Security Products sales to various markets including the healthcare, tool storage, transportation and distribution markets. Operating income increased in the third quarter and for the first nine months of 2026 compared to the same periods in 2025 due to higher sales and gross margin at Security Products and Marine Components.</w:t>
      </w:r>
    </w:p>
    <w:p>
      <w:pPr>
        <w:pStyle w:val="TextBody"/>
        <w:bidi w:val="0"/>
        <w:spacing w:before="240" w:after="240"/>
        <w:ind w:left="0" w:right="0" w:hanging="0"/>
        <w:jc w:val="both"/>
        <w:rPr>
          <w:rFonts w:ascii="Times New Roman;Times;serif" w:hAnsi="Times New Roman;Times;serif"/>
          <w:sz w:val="24"/>
        </w:rPr>
      </w:pPr>
      <w:r>
        <w:rPr>
          <w:rFonts w:ascii="Times New Roman;Times;serif" w:hAnsi="Times New Roman;Times;serif"/>
          <w:sz w:val="24"/>
        </w:rPr>
        <w:t>CompX is a leading manufacturer of security products, recreational marine components and custom metal fabricated parts. It operates from three locations in the U.S. and employs approximately 600 people.</w:t>
      </w:r>
    </w:p>
    <w:p>
      <w:pPr>
        <w:pStyle w:val="TextBody"/>
        <w:bidi w:val="0"/>
        <w:spacing w:before="240" w:after="240"/>
        <w:ind w:left="0" w:right="0" w:hanging="0"/>
        <w:jc w:val="left"/>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The statements in this press release relating to matters that are not historical facts are forward-looking statements that represent management</w:t>
      </w:r>
      <w:r>
        <w:rPr>
          <w:rFonts w:ascii="Times New Roman;Times;serif" w:hAnsi="Times New Roman;Times;serif"/>
          <w:sz w:val="20"/>
        </w:rPr>
        <w:t>’</w:t>
      </w:r>
      <w:r>
        <w:rPr>
          <w:rFonts w:ascii="Times New Roman;Times;serif" w:hAnsi="Times New Roman;Times;serif"/>
          <w:sz w:val="24"/>
        </w:rPr>
        <w:t xml:space="preserve">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w:t>
      </w:r>
    </w:p>
    <w:p>
      <w:pPr>
        <w:pStyle w:val="TextBody"/>
        <w:bidi w:val="0"/>
        <w:spacing w:before="0" w:after="0"/>
        <w:ind w:left="0" w:right="0" w:hanging="0"/>
        <w:jc w:val="left"/>
      </w:pPr>
      <w: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The factors that could cause our actual future results to differ materially include, but are not limited to, the following:</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tbl>
      <w:tblPr>
        <w:tblW w:w="4368" w:type="dxa"/>
        <w:jc w:val="left"/>
        <w:tblInd w:w="0" w:type="dxa"/>
        <w:tblLayout w:type="fixed"/>
        <w:tblCellMar>
          <w:top w:w="0" w:type="dxa"/>
          <w:left w:w="0" w:type="dxa"/>
          <w:bottom w:w="0" w:type="dxa"/>
          <w:right w:w="0" w:type="dxa"/>
        </w:tblCellMar>
      </w:tblPr>
      <w:tblGrid>
        <w:gridCol w:w="23"/>
        <w:gridCol w:w="170"/>
        <w:gridCol w:w="417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Future supply and demand for our products;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our raw material and other operating costs (such as zinc, brass, aluminum, steel and energy costs), including as a result of additional or changed tariffs on imported raw materials, and our ability to pass those costs on to our customers or offset them with reductions in other operating costs;</w:t>
            </w:r>
          </w:p>
        </w:tc>
      </w:tr>
    </w:tbl>
    <w:tbl>
      <w:tblPr>
        <w:tblW w:w="8208" w:type="dxa"/>
        <w:jc w:val="left"/>
        <w:tblInd w:w="0" w:type="dxa"/>
        <w:tblLayout w:type="fixed"/>
        <w:tblCellMar>
          <w:top w:w="0" w:type="dxa"/>
          <w:left w:w="0" w:type="dxa"/>
          <w:bottom w:w="0" w:type="dxa"/>
          <w:right w:w="0" w:type="dxa"/>
        </w:tblCellMar>
      </w:tblPr>
      <w:tblGrid>
        <w:gridCol w:w="23"/>
        <w:gridCol w:w="170"/>
        <w:gridCol w:w="801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8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Price and product competition from low-cost manufacturing sources (such as China);</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impact of pricing and production decisions;</w:t>
            </w:r>
          </w:p>
        </w:tc>
      </w:tr>
    </w:tbl>
    <w:tbl>
      <w:tblPr>
        <w:tblW w:w="6348" w:type="dxa"/>
        <w:jc w:val="left"/>
        <w:tblInd w:w="0" w:type="dxa"/>
        <w:tblLayout w:type="fixed"/>
        <w:tblCellMar>
          <w:top w:w="0" w:type="dxa"/>
          <w:left w:w="0" w:type="dxa"/>
          <w:bottom w:w="0" w:type="dxa"/>
          <w:right w:w="0" w:type="dxa"/>
        </w:tblCellMar>
      </w:tblPr>
      <w:tblGrid>
        <w:gridCol w:w="23"/>
        <w:gridCol w:w="170"/>
        <w:gridCol w:w="615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Customer and competitor strategies including substitute products;</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ability to retain key customers;</w:t>
            </w:r>
          </w:p>
        </w:tc>
      </w:tr>
    </w:tbl>
    <w:tbl>
      <w:tblPr>
        <w:tblW w:w="9858" w:type="dxa"/>
        <w:jc w:val="left"/>
        <w:tblInd w:w="0" w:type="dxa"/>
        <w:tblLayout w:type="fixed"/>
        <w:tblCellMar>
          <w:top w:w="0" w:type="dxa"/>
          <w:left w:w="0" w:type="dxa"/>
          <w:bottom w:w="0" w:type="dxa"/>
          <w:right w:w="0" w:type="dxa"/>
        </w:tblCellMar>
      </w:tblPr>
      <w:tblGrid>
        <w:gridCol w:w="23"/>
        <w:gridCol w:w="170"/>
        <w:gridCol w:w="966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Uncertainties associated with new product development and the development of new product features;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Pending or possible future litigation (such as litigation related to our use of certain permitted chemicals in our production process) or other actions;</w:t>
            </w:r>
          </w:p>
        </w:tc>
      </w:tr>
    </w:tbl>
    <w:tbl>
      <w:tblPr>
        <w:tblW w:w="6093" w:type="dxa"/>
        <w:jc w:val="left"/>
        <w:tblInd w:w="0" w:type="dxa"/>
        <w:tblLayout w:type="fixed"/>
        <w:tblCellMar>
          <w:top w:w="0" w:type="dxa"/>
          <w:left w:w="0" w:type="dxa"/>
          <w:bottom w:w="0" w:type="dxa"/>
          <w:right w:w="0" w:type="dxa"/>
        </w:tblCellMar>
      </w:tblPr>
      <w:tblGrid>
        <w:gridCol w:w="23"/>
        <w:gridCol w:w="170"/>
        <w:gridCol w:w="590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ability to protect or defend our intellectual property rights;</w:t>
            </w:r>
          </w:p>
        </w:tc>
      </w:tr>
    </w:tbl>
    <w:tbl>
      <w:tblPr>
        <w:tblW w:w="7593" w:type="dxa"/>
        <w:jc w:val="left"/>
        <w:tblInd w:w="0" w:type="dxa"/>
        <w:tblLayout w:type="fixed"/>
        <w:tblCellMar>
          <w:top w:w="0" w:type="dxa"/>
          <w:left w:w="0" w:type="dxa"/>
          <w:bottom w:w="0" w:type="dxa"/>
          <w:right w:w="0" w:type="dxa"/>
        </w:tblCellMar>
      </w:tblPr>
      <w:tblGrid>
        <w:gridCol w:w="23"/>
        <w:gridCol w:w="170"/>
        <w:gridCol w:w="740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Decisions to sell operating assets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Environmental matters (such as those requiring emission and discharge standards for existing and new facilities);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Possible disruption of our business or increases in the cost of doing business resulting from terrorist activities or global conflicts.</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spacing w:before="0" w:after="240"/>
        <w:ind w:left="360" w:right="0" w:hanging="0"/>
        <w:jc w:val="both"/>
        <w:rPr>
          <w:rFonts w:ascii="Times New Roman;Times;serif" w:hAnsi="Times New Roman;Times;serif"/>
          <w:sz w:val="24"/>
        </w:rPr>
      </w:pPr>
      <w:r>
        <w:rPr>
          <w:rFonts w:ascii="Times New Roman;Times;serif" w:hAnsi="Times New Roman;Times;serif"/>
          <w:sz w:val="24"/>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pPr>
      <w: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SUMMARY OF CONSOLIDATED OPERATIONS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millions, except per share amounts)</w:t>
      </w:r>
    </w:p>
    <w:p>
      <w:pPr>
        <w:pStyle w:val="TextBody"/>
        <w:bidi w:val="0"/>
        <w:spacing w:before="0" w:after="0"/>
        <w:ind w:left="0" w:right="0" w:hanging="0"/>
        <w:jc w:val="center"/>
      </w:pPr>
      <w:r>
        <w:t>​</w:t>
      </w:r>
    </w:p>
    <w:tbl>
      <w:tblPr>
        <w:tblW w:w="10205" w:type="dxa"/>
        <w:jc w:val="left"/>
        <w:tblInd w:w="0" w:type="dxa"/>
        <w:tblLayout w:type="fixed"/>
        <w:tblCellMar>
          <w:top w:w="0" w:type="dxa"/>
          <w:left w:w="0" w:type="dxa"/>
          <w:bottom w:w="0" w:type="dxa"/>
          <w:right w:w="0" w:type="dxa"/>
        </w:tblCellMar>
      </w:tblPr>
      <w:tblGrid>
        <w:gridCol w:w="5178"/>
        <w:gridCol w:w="346"/>
        <w:gridCol w:w="268"/>
        <w:gridCol w:w="625"/>
        <w:gridCol w:w="411"/>
        <w:gridCol w:w="268"/>
        <w:gridCol w:w="625"/>
        <w:gridCol w:w="346"/>
        <w:gridCol w:w="226"/>
        <w:gridCol w:w="646"/>
        <w:gridCol w:w="346"/>
        <w:gridCol w:w="226"/>
        <w:gridCol w:w="694"/>
      </w:tblGrid>
      <w:tr>
        <w:tc>
          <w:tcPr>
            <w:tcW w:w="5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288030" cy="175260"/>
                      <wp:effectExtent l="0" t="0" r="0" b="0"/>
                      <wp:wrapNone/>
                      <wp:docPr id="2" name="Frame1"/>
                      <a:graphic xmlns:a="http://schemas.openxmlformats.org/drawingml/2006/main">
                        <a:graphicData uri="http://schemas.microsoft.com/office/word/2010/wordprocessingShape">
                          <wps:wsp>
                            <wps:cNvSpPr txBox="1"/>
                            <wps:spPr>
                              <a:xfrm>
                                <a:off x="0" y="0"/>
                                <a:ext cx="32880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70180" cy="175260"/>
                      <wp:effectExtent l="0" t="0" r="0" b="0"/>
                      <wp:wrapNone/>
                      <wp:docPr id="4" name="Frame3"/>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96875" cy="175260"/>
                      <wp:effectExtent l="0" t="0" r="0" b="0"/>
                      <wp:wrapNone/>
                      <wp:docPr id="5" name="Frame4"/>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60985" cy="175260"/>
                      <wp:effectExtent l="0" t="0" r="0" b="0"/>
                      <wp:wrapNone/>
                      <wp:docPr id="6" name="Frame5"/>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70180" cy="175260"/>
                      <wp:effectExtent l="0" t="0" r="0" b="0"/>
                      <wp:wrapNone/>
                      <wp:docPr id="7" name="Frame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96875" cy="175260"/>
                      <wp:effectExtent l="0" t="0" r="0" b="0"/>
                      <wp:wrapNone/>
                      <wp:docPr id="8" name="Frame7"/>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43510" cy="175260"/>
                      <wp:effectExtent l="0" t="0" r="0" b="0"/>
                      <wp:wrapNone/>
                      <wp:docPr id="10" name="Frame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10210" cy="175260"/>
                      <wp:effectExtent l="0" t="0" r="0" b="0"/>
                      <wp:wrapNone/>
                      <wp:docPr id="11" name="Frame1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3510" cy="175260"/>
                      <wp:effectExtent l="0" t="0" r="0" b="0"/>
                      <wp:wrapNone/>
                      <wp:docPr id="13" name="Frame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40690" cy="175260"/>
                      <wp:effectExtent l="0" t="0" r="0" b="0"/>
                      <wp:wrapNone/>
                      <wp:docPr id="14" name="Frame13"/>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17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2197"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Three months ended</w:t>
            </w:r>
          </w:p>
        </w:tc>
        <w:tc>
          <w:tcPr>
            <w:tcW w:w="346" w:type="dxa"/>
            <w:tcBorders/>
            <w:vAlign w:val="center"/>
          </w:tcPr>
          <w:p>
            <w:pPr>
              <w:pStyle w:val="TableContents"/>
              <w:bidi w:val="0"/>
              <w:spacing w:before="0" w:after="0"/>
              <w:ind w:left="0" w:right="0" w:hanging="0"/>
              <w:jc w:val="left"/>
            </w:pPr>
            <w:r>
              <w:t>  ​ ​ ​</w:t>
            </w:r>
          </w:p>
        </w:tc>
        <w:tc>
          <w:tcPr>
            <w:tcW w:w="2138"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Nine months ended</w:t>
            </w:r>
          </w:p>
        </w:tc>
      </w:tr>
      <w:tr>
        <w:tc>
          <w:tcPr>
            <w:tcW w:w="517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September 30,</w:t>
            </w:r>
          </w:p>
        </w:tc>
        <w:tc>
          <w:tcPr>
            <w:tcW w:w="346" w:type="dxa"/>
            <w:tcBorders/>
            <w:vAlign w:val="center"/>
          </w:tcPr>
          <w:p>
            <w:pPr>
              <w:pStyle w:val="TableContents"/>
              <w:bidi w:val="0"/>
              <w:spacing w:before="0" w:after="0"/>
              <w:ind w:left="0" w:right="0" w:hanging="0"/>
              <w:jc w:val="left"/>
            </w:pPr>
            <w:r>
              <w:t>​</w:t>
            </w:r>
          </w:p>
        </w:tc>
        <w:tc>
          <w:tcPr>
            <w:tcW w:w="21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September 30,</w:t>
            </w:r>
          </w:p>
        </w:tc>
      </w:tr>
      <w:tr>
        <w:tc>
          <w:tcPr>
            <w:tcW w:w="517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2025</w:t>
            </w:r>
          </w:p>
        </w:tc>
        <w:tc>
          <w:tcPr>
            <w:tcW w:w="411" w:type="dxa"/>
            <w:tcBorders/>
            <w:vAlign w:val="center"/>
          </w:tcPr>
          <w:p>
            <w:pPr>
              <w:pStyle w:val="TableContents"/>
              <w:bidi w:val="0"/>
              <w:spacing w:before="0" w:after="0"/>
              <w:ind w:left="0" w:right="0" w:hanging="0"/>
              <w:jc w:val="left"/>
            </w:pPr>
            <w:r>
              <w:t>  ​ ​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2026</w:t>
            </w:r>
          </w:p>
        </w:tc>
        <w:tc>
          <w:tcPr>
            <w:tcW w:w="346" w:type="dxa"/>
            <w:tcBorders/>
            <w:vAlign w:val="center"/>
          </w:tcPr>
          <w:p>
            <w:pPr>
              <w:pStyle w:val="TableContents"/>
              <w:bidi w:val="0"/>
              <w:spacing w:before="0" w:after="0"/>
              <w:ind w:left="0" w:right="0" w:hanging="0"/>
              <w:jc w:val="left"/>
            </w:pPr>
            <w: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2025</w:t>
            </w:r>
          </w:p>
        </w:tc>
        <w:tc>
          <w:tcPr>
            <w:tcW w:w="346" w:type="dxa"/>
            <w:tcBorders/>
            <w:vAlign w:val="center"/>
          </w:tcPr>
          <w:p>
            <w:pPr>
              <w:pStyle w:val="TableContents"/>
              <w:bidi w:val="0"/>
              <w:spacing w:before="0" w:after="0"/>
              <w:ind w:left="0" w:right="0" w:hanging="0"/>
              <w:jc w:val="left"/>
            </w:pPr>
            <w:r>
              <w:t>  ​ ​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2026</w:t>
            </w:r>
          </w:p>
        </w:tc>
      </w:tr>
      <w:tr>
        <w:tc>
          <w:tcPr>
            <w:tcW w:w="5178"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sales</w:t>
            </w:r>
          </w:p>
        </w:tc>
        <w:tc>
          <w:tcPr>
            <w:tcW w:w="346"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40.0</w:t>
            </w:r>
          </w:p>
        </w:tc>
        <w:tc>
          <w:tcPr>
            <w:tcW w:w="411"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44.0</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120.6</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128.2</w:t>
            </w:r>
          </w:p>
        </w:tc>
      </w:tr>
      <w:tr>
        <w:tc>
          <w:tcPr>
            <w:tcW w:w="517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Cost of sales</w:t>
            </w:r>
          </w:p>
        </w:tc>
        <w:tc>
          <w:tcPr>
            <w:tcW w:w="346" w:type="dxa"/>
            <w:tcBorders/>
            <w:vAlign w:val="center"/>
          </w:tcPr>
          <w:p>
            <w:pPr>
              <w:pStyle w:val="TableContents"/>
              <w:bidi w:val="0"/>
              <w:spacing w:before="0" w:after="0"/>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29.0</w:t>
            </w:r>
          </w:p>
        </w:tc>
        <w:tc>
          <w:tcPr>
            <w:tcW w:w="411" w:type="dxa"/>
            <w:tcBorders/>
            <w:vAlign w:val="center"/>
          </w:tcPr>
          <w:p>
            <w:pPr>
              <w:pStyle w:val="TableContents"/>
              <w:bidi w:val="0"/>
              <w:spacing w:before="0" w:after="0"/>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31.0</w:t>
            </w:r>
          </w:p>
        </w:tc>
        <w:tc>
          <w:tcPr>
            <w:tcW w:w="346"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84.5</w:t>
            </w:r>
          </w:p>
        </w:tc>
        <w:tc>
          <w:tcPr>
            <w:tcW w:w="346"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86.4</w:t>
            </w:r>
          </w:p>
        </w:tc>
      </w:tr>
      <w:tr>
        <w:tc>
          <w:tcPr>
            <w:tcW w:w="5178"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Gross margin</w:t>
            </w:r>
          </w:p>
        </w:tc>
        <w:tc>
          <w:tcPr>
            <w:tcW w:w="346"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pPr>
            <w: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11.0</w:t>
            </w:r>
          </w:p>
        </w:tc>
        <w:tc>
          <w:tcPr>
            <w:tcW w:w="411"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pPr>
            <w: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13.0</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36.1</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41.8</w:t>
            </w:r>
          </w:p>
        </w:tc>
      </w:tr>
      <w:tr>
        <w:tc>
          <w:tcPr>
            <w:tcW w:w="517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Selling, general and administrative expense</w:t>
            </w:r>
          </w:p>
        </w:tc>
        <w:tc>
          <w:tcPr>
            <w:tcW w:w="346" w:type="dxa"/>
            <w:tcBorders/>
            <w:vAlign w:val="center"/>
          </w:tcPr>
          <w:p>
            <w:pPr>
              <w:pStyle w:val="TableContents"/>
              <w:bidi w:val="0"/>
              <w:spacing w:before="0" w:after="0"/>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6.2</w:t>
            </w:r>
          </w:p>
        </w:tc>
        <w:tc>
          <w:tcPr>
            <w:tcW w:w="411" w:type="dxa"/>
            <w:tcBorders/>
            <w:vAlign w:val="center"/>
          </w:tcPr>
          <w:p>
            <w:pPr>
              <w:pStyle w:val="TableContents"/>
              <w:bidi w:val="0"/>
              <w:spacing w:before="0" w:after="0"/>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6.6</w:t>
            </w:r>
          </w:p>
        </w:tc>
        <w:tc>
          <w:tcPr>
            <w:tcW w:w="346"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19.1</w:t>
            </w:r>
          </w:p>
        </w:tc>
        <w:tc>
          <w:tcPr>
            <w:tcW w:w="346"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19.4</w:t>
            </w:r>
          </w:p>
        </w:tc>
      </w:tr>
      <w:tr>
        <w:tc>
          <w:tcPr>
            <w:tcW w:w="5178"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Operating income</w:t>
            </w:r>
          </w:p>
        </w:tc>
        <w:tc>
          <w:tcPr>
            <w:tcW w:w="346"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pPr>
            <w: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4.8</w:t>
            </w:r>
          </w:p>
        </w:tc>
        <w:tc>
          <w:tcPr>
            <w:tcW w:w="411"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pPr>
            <w: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6.4</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17.0</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22.4</w:t>
            </w:r>
          </w:p>
        </w:tc>
      </w:tr>
      <w:tr>
        <w:tc>
          <w:tcPr>
            <w:tcW w:w="517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income</w:t>
            </w:r>
          </w:p>
        </w:tc>
        <w:tc>
          <w:tcPr>
            <w:tcW w:w="346" w:type="dxa"/>
            <w:tcBorders/>
            <w:vAlign w:val="center"/>
          </w:tcPr>
          <w:p>
            <w:pPr>
              <w:pStyle w:val="TableContents"/>
              <w:bidi w:val="0"/>
              <w:spacing w:before="0" w:after="0"/>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w:t>
            </w:r>
          </w:p>
        </w:tc>
        <w:tc>
          <w:tcPr>
            <w:tcW w:w="411" w:type="dxa"/>
            <w:tcBorders/>
            <w:vAlign w:val="center"/>
          </w:tcPr>
          <w:p>
            <w:pPr>
              <w:pStyle w:val="TableContents"/>
              <w:bidi w:val="0"/>
              <w:spacing w:before="0" w:after="0"/>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.7</w:t>
            </w:r>
          </w:p>
        </w:tc>
        <w:tc>
          <w:tcPr>
            <w:tcW w:w="346"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2.5</w:t>
            </w:r>
          </w:p>
        </w:tc>
        <w:tc>
          <w:tcPr>
            <w:tcW w:w="346"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2.0</w:t>
            </w:r>
          </w:p>
        </w:tc>
      </w:tr>
      <w:tr>
        <w:tc>
          <w:tcPr>
            <w:tcW w:w="5178"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before income taxes</w:t>
            </w:r>
          </w:p>
        </w:tc>
        <w:tc>
          <w:tcPr>
            <w:tcW w:w="346"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pPr>
            <w: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5.6</w:t>
            </w:r>
          </w:p>
        </w:tc>
        <w:tc>
          <w:tcPr>
            <w:tcW w:w="411"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pPr>
            <w: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7.1</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19.5</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shd w:fill="CCEEFF" w:val="clear"/>
            <w:vAlign w:val="center"/>
          </w:tcPr>
          <w:p>
            <w:pPr>
              <w:pStyle w:val="TableContents"/>
              <w:bidi w:val="0"/>
              <w:spacing w:before="0" w:after="0"/>
              <w:ind w:left="0" w:right="0" w:hanging="0"/>
              <w:jc w:val="left"/>
            </w:pPr>
            <w: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24.4</w:t>
            </w:r>
          </w:p>
        </w:tc>
      </w:tr>
      <w:tr>
        <w:tc>
          <w:tcPr>
            <w:tcW w:w="517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346" w:type="dxa"/>
            <w:tcBorders/>
            <w:vAlign w:val="center"/>
          </w:tcPr>
          <w:p>
            <w:pPr>
              <w:pStyle w:val="TableContents"/>
              <w:bidi w:val="0"/>
              <w:spacing w:before="0" w:after="0"/>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w:t>
            </w:r>
          </w:p>
        </w:tc>
        <w:tc>
          <w:tcPr>
            <w:tcW w:w="411" w:type="dxa"/>
            <w:tcBorders/>
            <w:vAlign w:val="center"/>
          </w:tcPr>
          <w:p>
            <w:pPr>
              <w:pStyle w:val="TableContents"/>
              <w:bidi w:val="0"/>
              <w:spacing w:before="0" w:after="0"/>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1.7</w:t>
            </w:r>
          </w:p>
        </w:tc>
        <w:tc>
          <w:tcPr>
            <w:tcW w:w="346"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4.7</w:t>
            </w:r>
          </w:p>
        </w:tc>
        <w:tc>
          <w:tcPr>
            <w:tcW w:w="346" w:type="dxa"/>
            <w:tcBorders/>
            <w:vAlign w:val="center"/>
          </w:tcPr>
          <w:p>
            <w:pPr>
              <w:pStyle w:val="TableContents"/>
              <w:bidi w:val="0"/>
              <w:spacing w:before="0" w:after="0"/>
              <w:ind w:left="0" w:right="0" w:hanging="0"/>
              <w:jc w:val="left"/>
            </w:pPr>
            <w: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5.9</w:t>
            </w:r>
          </w:p>
        </w:tc>
      </w:tr>
      <w:tr>
        <w:tc>
          <w:tcPr>
            <w:tcW w:w="5178"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346" w:type="dxa"/>
            <w:tcBorders/>
            <w:shd w:fill="CCEEFF" w:val="clear"/>
            <w:vAlign w:val="center"/>
          </w:tcPr>
          <w:p>
            <w:pPr>
              <w:pStyle w:val="TableContents"/>
              <w:bidi w:val="0"/>
              <w:spacing w:before="0" w:after="0"/>
              <w:ind w:left="0" w:right="0" w:hanging="0"/>
              <w:jc w:val="left"/>
            </w:pPr>
            <w: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4.2</w:t>
            </w:r>
          </w:p>
        </w:tc>
        <w:tc>
          <w:tcPr>
            <w:tcW w:w="411" w:type="dxa"/>
            <w:tcBorders/>
            <w:shd w:fill="CCEEFF" w:val="clear"/>
            <w:vAlign w:val="center"/>
          </w:tcPr>
          <w:p>
            <w:pPr>
              <w:pStyle w:val="TableContents"/>
              <w:bidi w:val="0"/>
              <w:spacing w:before="0" w:after="0"/>
              <w:ind w:left="0" w:right="0" w:hanging="0"/>
              <w:jc w:val="left"/>
            </w:pPr>
            <w: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5.4</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14.8</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18.5</w:t>
            </w:r>
          </w:p>
        </w:tc>
      </w:tr>
      <w:tr>
        <w:tc>
          <w:tcPr>
            <w:tcW w:w="517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68" w:type="dxa"/>
            <w:tcBorders/>
            <w:vAlign w:val="center"/>
          </w:tcPr>
          <w:p>
            <w:pPr>
              <w:pStyle w:val="TableContents"/>
              <w:bidi w:val="0"/>
              <w:spacing w:before="0" w:after="0"/>
              <w:ind w:left="0" w:right="0" w:hanging="0"/>
              <w:jc w:val="left"/>
            </w:pPr>
            <w:r>
              <w:t>​</w:t>
            </w:r>
          </w:p>
        </w:tc>
        <w:tc>
          <w:tcPr>
            <w:tcW w:w="625" w:type="dxa"/>
            <w:tcBorders/>
            <w:vAlign w:val="center"/>
          </w:tcPr>
          <w:p>
            <w:pPr>
              <w:pStyle w:val="TableContents"/>
              <w:bidi w:val="0"/>
              <w:spacing w:before="0" w:after="0"/>
              <w:ind w:left="0" w:right="0" w:hanging="0"/>
              <w:jc w:val="right"/>
            </w:pPr>
            <w:r>
              <w:t>​</w:t>
            </w:r>
          </w:p>
        </w:tc>
        <w:tc>
          <w:tcPr>
            <w:tcW w:w="411" w:type="dxa"/>
            <w:tcBorders/>
            <w:vAlign w:val="center"/>
          </w:tcPr>
          <w:p>
            <w:pPr>
              <w:pStyle w:val="TableContents"/>
              <w:bidi w:val="0"/>
              <w:spacing w:before="0" w:after="0"/>
              <w:ind w:left="0" w:right="0" w:hanging="0"/>
              <w:jc w:val="left"/>
            </w:pPr>
            <w:r>
              <w:t>​</w:t>
            </w:r>
          </w:p>
        </w:tc>
        <w:tc>
          <w:tcPr>
            <w:tcW w:w="268" w:type="dxa"/>
            <w:tcBorders/>
            <w:vAlign w:val="center"/>
          </w:tcPr>
          <w:p>
            <w:pPr>
              <w:pStyle w:val="TableContents"/>
              <w:bidi w:val="0"/>
              <w:spacing w:before="0" w:after="0"/>
              <w:ind w:left="0" w:right="0" w:hanging="0"/>
              <w:jc w:val="left"/>
            </w:pPr>
            <w:r>
              <w:t>​</w:t>
            </w:r>
          </w:p>
        </w:tc>
        <w:tc>
          <w:tcPr>
            <w:tcW w:w="625"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64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26" w:type="dxa"/>
            <w:tcBorders/>
            <w:vAlign w:val="center"/>
          </w:tcPr>
          <w:p>
            <w:pPr>
              <w:pStyle w:val="TableContents"/>
              <w:bidi w:val="0"/>
              <w:spacing w:before="0" w:after="0"/>
              <w:ind w:left="0" w:right="0" w:hanging="0"/>
              <w:jc w:val="left"/>
            </w:pPr>
            <w:r>
              <w:t>​</w:t>
            </w:r>
          </w:p>
        </w:tc>
        <w:tc>
          <w:tcPr>
            <w:tcW w:w="694" w:type="dxa"/>
            <w:tcBorders/>
            <w:vAlign w:val="center"/>
          </w:tcPr>
          <w:p>
            <w:pPr>
              <w:pStyle w:val="TableContents"/>
              <w:bidi w:val="0"/>
              <w:spacing w:before="0" w:after="0"/>
              <w:ind w:left="0" w:right="0" w:hanging="0"/>
              <w:jc w:val="right"/>
            </w:pPr>
            <w:r>
              <w:t>​</w:t>
            </w:r>
          </w:p>
        </w:tc>
      </w:tr>
      <w:tr>
        <w:tc>
          <w:tcPr>
            <w:tcW w:w="5178"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Basic and diluted net income per common share</w:t>
            </w:r>
          </w:p>
        </w:tc>
        <w:tc>
          <w:tcPr>
            <w:tcW w:w="346" w:type="dxa"/>
            <w:tcBorders/>
            <w:shd w:fill="CCEEFF" w:val="clear"/>
            <w:vAlign w:val="center"/>
          </w:tcPr>
          <w:p>
            <w:pPr>
              <w:pStyle w:val="TableContents"/>
              <w:bidi w:val="0"/>
              <w:spacing w:before="0" w:after="0"/>
              <w:ind w:left="0" w:right="0" w:hanging="0"/>
              <w:jc w:val="left"/>
            </w:pPr>
            <w: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.34</w:t>
            </w:r>
          </w:p>
        </w:tc>
        <w:tc>
          <w:tcPr>
            <w:tcW w:w="411" w:type="dxa"/>
            <w:tcBorders/>
            <w:shd w:fill="CCEEFF" w:val="clear"/>
            <w:vAlign w:val="center"/>
          </w:tcPr>
          <w:p>
            <w:pPr>
              <w:pStyle w:val="TableContents"/>
              <w:bidi w:val="0"/>
              <w:spacing w:before="0" w:after="0"/>
              <w:ind w:left="0" w:right="0" w:hanging="0"/>
              <w:jc w:val="left"/>
            </w:pPr>
            <w: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.44</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1.20</w:t>
            </w:r>
          </w:p>
        </w:tc>
        <w:tc>
          <w:tcPr>
            <w:tcW w:w="346" w:type="dxa"/>
            <w:tcBorders/>
            <w:shd w:fill="CCEEFF" w:val="clear"/>
            <w:vAlign w:val="center"/>
          </w:tcPr>
          <w:p>
            <w:pPr>
              <w:pStyle w:val="TableContents"/>
              <w:bidi w:val="0"/>
              <w:spacing w:before="0" w:after="0"/>
              <w:ind w:left="0" w:right="0" w:hanging="0"/>
              <w:jc w:val="left"/>
            </w:pPr>
            <w: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1.50</w:t>
            </w:r>
          </w:p>
        </w:tc>
      </w:tr>
      <w:tr>
        <w:tc>
          <w:tcPr>
            <w:tcW w:w="517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Weighted average diluted common shares outstanding</w:t>
            </w:r>
          </w:p>
        </w:tc>
        <w:tc>
          <w:tcPr>
            <w:tcW w:w="346" w:type="dxa"/>
            <w:tcBorders/>
            <w:vAlign w:val="center"/>
          </w:tcPr>
          <w:p>
            <w:pPr>
              <w:pStyle w:val="TableContents"/>
              <w:bidi w:val="0"/>
              <w:spacing w:before="0" w:after="0"/>
              <w:ind w:left="0" w:right="0" w:hanging="0"/>
              <w:jc w:val="left"/>
            </w:pPr>
            <w: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pPr>
            <w:r>
              <w:t> </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411" w:type="dxa"/>
            <w:tcBorders/>
            <w:vAlign w:val="center"/>
          </w:tcPr>
          <w:p>
            <w:pPr>
              <w:pStyle w:val="TableContents"/>
              <w:bidi w:val="0"/>
              <w:spacing w:before="0" w:after="0"/>
              <w:ind w:left="0" w:right="0" w:hanging="0"/>
              <w:jc w:val="left"/>
            </w:pPr>
            <w: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pPr>
            <w:r>
              <w:t> </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12.3</w:t>
            </w:r>
          </w:p>
        </w:tc>
        <w:tc>
          <w:tcPr>
            <w:tcW w:w="346" w:type="dxa"/>
            <w:tcBorders/>
            <w:vAlign w:val="center"/>
          </w:tcPr>
          <w:p>
            <w:pPr>
              <w:pStyle w:val="TableContents"/>
              <w:bidi w:val="0"/>
              <w:spacing w:before="0" w:after="0"/>
              <w:ind w:left="0" w:right="0" w:hanging="0"/>
              <w:jc w:val="left"/>
            </w:pPr>
            <w: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pPr>
            <w:r>
              <w:t> </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346" w:type="dxa"/>
            <w:tcBorders/>
            <w:vAlign w:val="center"/>
          </w:tcPr>
          <w:p>
            <w:pPr>
              <w:pStyle w:val="TableContents"/>
              <w:bidi w:val="0"/>
              <w:spacing w:before="0" w:after="0"/>
              <w:ind w:left="0" w:right="0" w:hanging="0"/>
              <w:jc w:val="left"/>
            </w:pPr>
            <w: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pPr>
            <w:r>
              <w:t> </w:t>
            </w:r>
          </w:p>
        </w:tc>
        <w:tc>
          <w:tcPr>
            <w:tcW w:w="694"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b/>
                <w:sz w:val="24"/>
              </w:rPr>
            </w:pPr>
            <w:r>
              <w:rPr>
                <w:rFonts w:ascii="Times New Roman;Times;serif" w:hAnsi="Times New Roman;Times;serif"/>
                <w:b/>
                <w:sz w:val="24"/>
              </w:rPr>
              <w:t>12.3</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pPr>
      <w:r/>
    </w:p>
    <w:p>
      <w:pPr>
        <w:pStyle w:val="TextBody"/>
        <w:bidi w:val="0"/>
        <w:spacing w:before="0" w:after="0"/>
        <w:ind w:left="0" w:right="0" w:hanging="0"/>
        <w:jc w:val="both"/>
        <w:rPr>
          <w:spacing w:val="-2"/>
        </w:rPr>
      </w:pPr>
      <w:bookmarkStart w:id="38" w:name="cix-ex99d2.htm"/>
      <w:bookmarkStart w:id="39" w:name="kscixex99d2"/>
      <w:bookmarkEnd w:id="38"/>
      <w:bookmarkEnd w:id="39"/>
      <w:r>
        <w:rPr>
          <w:spacing w:val="-2"/>
        </w:rPr>
        <w:t>​</w:t>
      </w:r>
      <w:r>
        <w:br w:type="page"/>
      </w:r>
    </w:p>
    <w:tbl>
      <w:tblPr>
        <w:tblW w:w="7606" w:type="dxa"/>
        <w:jc w:val="left"/>
        <w:tblInd w:w="0" w:type="dxa"/>
        <w:tblLayout w:type="fixed"/>
        <w:tblCellMar>
          <w:top w:w="0" w:type="dxa"/>
          <w:left w:w="0" w:type="dxa"/>
          <w:bottom w:w="0" w:type="dxa"/>
          <w:right w:w="0" w:type="dxa"/>
        </w:tblCellMar>
      </w:tblPr>
      <w:tblGrid>
        <w:gridCol w:w="7606"/>
      </w:tblGrid>
      <w:tr>
        <w:tc>
          <w:tcPr>
            <w:tcW w:w="7606" w:type="dxa"/>
            <w:tcBorders/>
            <w:vAlign w:val="center"/>
          </w:tcPr>
          <w:p>
            <w:pPr>
              <w:pStyle w:val="TableContents"/>
              <w:bidi w:val="0"/>
              <w:spacing w:before="0" w:after="0"/>
              <w:ind w:left="0" w:right="0" w:hanging="0"/>
              <w:jc w:val="both"/>
            </w:pPr>
            <w:r>
              <w:t>                                                                                                                            ​</w:t>
            </w:r>
          </w:p>
        </w:tc>
      </w:tr>
      <w:tr>
        <w:tc>
          <w:tcPr>
            <w:tcW w:w="7606" w:type="dxa"/>
            <w:tcBorders/>
            <w:vAlign w:val="center"/>
          </w:tcPr>
          <w:p>
            <w:pPr>
              <w:pStyle w:val="TableContents"/>
              <w:bidi w:val="0"/>
              <w:spacing w:before="0" w:after="0"/>
              <w:ind w:left="0" w:right="0" w:hanging="0"/>
              <w:jc w:val="both"/>
            </w:pPr>
            <w:r>
              <w:t>​</w:t>
            </w:r>
          </w:p>
        </w:tc>
      </w:tr>
      <w:tr>
        <w:tc>
          <w:tcPr>
            <w:tcW w:w="7606" w:type="dxa"/>
            <w:tcBorders/>
            <w:vAlign w:val="center"/>
          </w:tcPr>
          <w:p>
            <w:pPr>
              <w:pStyle w:val="TableContents"/>
              <w:bidi w:val="0"/>
              <w:spacing w:before="0" w:after="0"/>
              <w:ind w:left="0" w:right="0" w:hanging="0"/>
              <w:jc w:val="center"/>
            </w:pPr>
            <w:r>
              <w:drawing>
                <wp:inline distT="0" distB="0" distL="0" distR="0">
                  <wp:extent cx="2713990" cy="904875"/>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Times New Roman;Times;serif" w:hAnsi="Times New Roman;Times;serif"/>
          <w:b/>
          <w:spacing w:val="-2"/>
          <w:sz w:val="24"/>
        </w:rPr>
      </w:pPr>
      <w:r>
        <w:rPr>
          <w:rFonts w:ascii="Times New Roman;Times;serif" w:hAnsi="Times New Roman;Times;serif"/>
          <w:b/>
          <w:spacing w:val="-2"/>
          <w:sz w:val="24"/>
        </w:rPr>
        <w:t>COMPX DECLARES REGULAR QUARTERLY DIVIDEND</w:t>
      </w:r>
    </w:p>
    <w:p>
      <w:pPr>
        <w:pStyle w:val="TextBody"/>
        <w:bidi w:val="0"/>
        <w:spacing w:before="0" w:after="0"/>
        <w:ind w:left="0" w:right="0" w:hanging="0"/>
        <w:jc w:val="center"/>
        <w:rPr>
          <w:spacing w:val="-2"/>
        </w:rPr>
      </w:pPr>
      <w:r>
        <w:rPr>
          <w:spacing w:val="-2"/>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 . November 4, 2026 . . . CompX International Inc. (NYSE American:  CIX) announced today that its board of directors has declared CompX’s regular quarterly dividend of thirty cents ($0.30) per share on its class A common stock, payable on December 8, 2026 to stockholders of record at the close of business on November 19, 2026.</w:t>
      </w:r>
    </w:p>
    <w:p>
      <w:pPr>
        <w:pStyle w:val="TextBody"/>
        <w:bidi w:val="0"/>
        <w:spacing w:before="0" w:after="0"/>
        <w:ind w:left="0" w:right="0" w:firstLine="720"/>
        <w:jc w:val="both"/>
      </w:pPr>
      <w: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CompX is a leading manufacturer of security products, recreational marine components and custom metal fabricated parts.</w:t>
      </w:r>
    </w:p>
    <w:p>
      <w:pPr>
        <w:pStyle w:val="TextBody"/>
        <w:bidi w:val="0"/>
        <w:spacing w:before="0" w:after="0"/>
        <w:ind w:left="0" w:right="0" w:firstLine="720"/>
        <w:jc w:val="both"/>
      </w:pPr>
      <w:r>
        <w:t>​</w:t>
      </w:r>
    </w:p>
    <w:p>
      <w:pPr>
        <w:pStyle w:val="TextBody"/>
        <w:bidi w:val="0"/>
        <w:spacing w:before="0" w:after="0"/>
        <w:ind w:left="0" w:right="0" w:firstLine="720"/>
        <w:jc w:val="both"/>
      </w:pPr>
      <w:r>
        <w:t>​</w:t>
      </w:r>
    </w:p>
    <w:p>
      <w:pPr>
        <w:pStyle w:val="TextBody"/>
        <w:bidi w:val="0"/>
        <w:spacing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 * * *</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both"/>
      </w:pPr>
      <w: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Tel. 972-233-1700</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1806</Words>
  <Characters>9857</Characters>
  <CharactersWithSpaces>11866</CharactersWithSpaces>
  <Paragraphs>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