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November 2, 2022</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vMerge w:val="restart"/>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CIX</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($.01 par value per share)</w:t>
            </w:r>
          </w:p>
        </w:tc>
        <w:tc>
          <w:tcPr>
            <w:tcW w:w="1540" w:type="dxa"/>
            <w:vAlign w:val="bottom"/>
            <w:gridSpan w:val="2"/>
            <w:vMerge w:val="continue"/>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56515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90805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entitled “CompX Reports Third Quarter 2022 Results” that the registrant issued on November 2, 2022, a copy of which is attached hereto as Exhibit 99.1 and incorporated herein by reference.</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entitled “CompX Declares Regular Quarterly Dividend” that the registrant also issued on November 2, 2022, a copy of which is attached hereto as Exhibit 99.2 and incorporated herein by reference.</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700" w:hanging="55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22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7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November 2, 2022 entitled “CompX Reports Third Quarter 2022 Results” and</w:t>
            </w:r>
          </w:p>
        </w:tc>
        <w:tc>
          <w:tcPr>
            <w:tcW w:w="22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issued by the registrant</w:t>
            </w:r>
            <w:r>
              <w:rPr>
                <w:rFonts w:ascii="Times New Roman" w:cs="Times New Roman" w:eastAsia="Times New Roman" w:hAnsi="Times New Roman"/>
                <w:sz w:val="18"/>
                <w:szCs w:val="18"/>
                <w:color w:val="000000"/>
              </w:rPr>
              <w:t>.</w:t>
            </w:r>
          </w:p>
        </w:tc>
      </w:tr>
      <w:tr>
        <w:trPr>
          <w:trHeight w:val="20"/>
        </w:trPr>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5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4"/>
                <w:szCs w:val="24"/>
                <w:color w:val="auto"/>
              </w:rPr>
            </w:pPr>
          </w:p>
        </w:tc>
        <w:tc>
          <w:tcPr>
            <w:tcW w:w="7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November 2, 2022 entitled “CompX Declares Regular Quarterly Dividend” and</w:t>
            </w: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issued by the registrant</w:t>
            </w:r>
            <w:r>
              <w:rPr>
                <w:rFonts w:ascii="Times New Roman" w:cs="Times New Roman" w:eastAsia="Times New Roman" w:hAnsi="Times New Roman"/>
                <w:sz w:val="18"/>
                <w:szCs w:val="18"/>
                <w:color w:val="000000"/>
              </w:rPr>
              <w:t>.</w:t>
            </w:r>
          </w:p>
        </w:tc>
      </w:tr>
      <w:tr>
        <w:trPr>
          <w:trHeight w:val="20"/>
        </w:trPr>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r>
      <w:tr>
        <w:trPr>
          <w:trHeight w:val="453"/>
        </w:trPr>
        <w:tc>
          <w:tcPr>
            <w:tcW w:w="14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140" w:type="dxa"/>
            <w:vAlign w:val="bottom"/>
          </w:tcPr>
          <w:p>
            <w:pPr>
              <w:spacing w:after="0"/>
              <w:rPr>
                <w:sz w:val="24"/>
                <w:szCs w:val="24"/>
                <w:color w:val="auto"/>
              </w:rPr>
            </w:pPr>
          </w:p>
        </w:tc>
        <w:tc>
          <w:tcPr>
            <w:tcW w:w="57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By:/s/ Amy A. Samford</w:t>
            </w:r>
          </w:p>
        </w:tc>
      </w:tr>
      <w:tr>
        <w:trPr>
          <w:trHeight w:val="189"/>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Amy A. Samford</w:t>
            </w: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2, 2022</w:t>
            </w:r>
          </w:p>
        </w:tc>
        <w:tc>
          <w:tcPr>
            <w:tcW w:w="160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019"/>
        </w:trPr>
        <w:tc>
          <w:tcPr>
            <w:tcW w:w="3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380365</wp:posOffset>
            </wp:positionV>
            <wp:extent cx="244284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1469390</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w:t>
      </w:r>
    </w:p>
    <w:p>
      <w:pPr>
        <w:spacing w:after="0" w:line="200" w:lineRule="exact"/>
        <w:rPr>
          <w:sz w:val="20"/>
          <w:szCs w:val="20"/>
          <w:color w:val="auto"/>
        </w:rPr>
      </w:pPr>
    </w:p>
    <w:p>
      <w:pPr>
        <w:sectPr>
          <w:pgSz w:w="11900" w:h="16838" w:orient="portrait"/>
          <w:cols w:equalWidth="0" w:num="2">
            <w:col w:w="4760" w:space="720"/>
            <w:col w:w="3539"/>
          </w:cols>
          <w:pgMar w:left="1440" w:top="1440" w:right="1440" w:bottom="1440" w:gutter="0" w:footer="0" w:header="0"/>
          <w:type w:val="continuous"/>
        </w:sectPr>
      </w:pPr>
    </w:p>
    <w:p>
      <w:pPr>
        <w:spacing w:after="0" w:line="4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CompX International Inc.</w:t>
      </w:r>
    </w:p>
    <w:p>
      <w:pPr>
        <w:spacing w:after="0" w:line="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5430 LBJ Freeway, Suite 1700</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Janet G. Keckeisen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rPr>
          <w:sz w:val="20"/>
          <w:szCs w:val="20"/>
          <w:color w:val="auto"/>
        </w:rPr>
      </w:pPr>
      <w:r>
        <w:rPr>
          <w:rFonts w:ascii="Times New Roman" w:cs="Times New Roman" w:eastAsia="Times New Roman" w:hAnsi="Times New Roman"/>
          <w:sz w:val="22"/>
          <w:szCs w:val="22"/>
          <w:color w:val="auto"/>
        </w:rPr>
        <w:t>Tel. 972-233-1700</w:t>
      </w:r>
    </w:p>
    <w:p>
      <w:pPr>
        <w:spacing w:after="0" w:line="200" w:lineRule="exact"/>
        <w:rPr>
          <w:sz w:val="20"/>
          <w:szCs w:val="20"/>
          <w:color w:val="auto"/>
        </w:rPr>
      </w:pPr>
    </w:p>
    <w:p>
      <w:pPr>
        <w:sectPr>
          <w:pgSz w:w="11900" w:h="16838" w:orient="portrait"/>
          <w:cols w:equalWidth="0" w:num="2">
            <w:col w:w="4760" w:space="720"/>
            <w:col w:w="3539"/>
          </w:cols>
          <w:pgMar w:left="1440" w:top="1440" w:right="1440" w:bottom="144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COMPX REPORTS THIRD QUARTER 2022 RESULTS</w:t>
      </w:r>
    </w:p>
    <w:p>
      <w:pPr>
        <w:spacing w:after="0" w:line="114"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DALLAS, TEXAS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November 2, 2022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CompX International Inc. (NYSE American: CIX) announced today sales of $42.9 million for the third quarter of 2022 compared to $34.5 million in the same period of 2021. Operating income was $6.0 million in the third quarter of 2022 compared to $5.1 million in the same period of 2021. Net income was $4.9 million, or $.40 per basic and diluted common share, for the third quarter of 2022 compared to $4.1 million, or $.33 per basic and diluted common share, in the same period of 2021.</w:t>
      </w:r>
    </w:p>
    <w:p>
      <w:pPr>
        <w:spacing w:after="0" w:line="207"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For the nine months ended September 30, 2022, sales were $126.6 million compared to $106.7 million in the previous year. Operating income was $20.0 million for the first nine months of 2022 compared to $16.7 million for the same period in 2021. Net income for the nine months ended September 30, 2022, was $16.1 million or $1.30 per diluted share, compared to $13.4 million, or $1.08 per diluted share, for the same period in 2021.</w:t>
      </w:r>
    </w:p>
    <w:p>
      <w:pPr>
        <w:spacing w:after="0" w:line="204"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Third quarter and year-to-date 2022 net sales increased over the comparable 2021 periods primarily due to higher Marine Component sales predominantly to the towboat market and, to a lesser extent, higher Security Products sales across a variety of markets. Operating income increased for both comparative periods largely due to the strong performance of the Marine Segment, partially offset by increased production costs, particularly at Security Products, including increased raw material costs, higher shipping costs, and higher salary and employment related costs.</w:t>
      </w:r>
    </w:p>
    <w:p>
      <w:pPr>
        <w:spacing w:after="0" w:line="21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CompX is a leading manufacturer of security products and recreational marine components. It operates from three locations in the U.S. and employs approximately 640 people.</w:t>
      </w: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0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The statements in this press release relating to matters that are not historical facts are forward-looking statements that represent management</w:t>
      </w:r>
      <w:r>
        <w:rPr>
          <w:rFonts w:ascii="Arial" w:cs="Arial" w:eastAsia="Arial" w:hAnsi="Arial"/>
          <w:sz w:val="22"/>
          <w:szCs w:val="22"/>
          <w:color w:val="auto"/>
        </w:rPr>
        <w:t>’</w:t>
      </w:r>
      <w:r>
        <w:rPr>
          <w:rFonts w:ascii="Times New Roman" w:cs="Times New Roman" w:eastAsia="Times New Roman" w:hAnsi="Times New Roman"/>
          <w:sz w:val="22"/>
          <w:szCs w:val="22"/>
          <w:color w:val="auto"/>
        </w:rPr>
        <w:t>s belief and assumptions based on currently available information. Although we believe the expectations reflected in such forward-looking statements are reasonable, we cannot give any assurances that these expectations will be correct.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 w:name="page5"/>
    <w:bookmarkEnd w:id="4"/>
    <w:p>
      <w:pPr>
        <w:jc w:val="both"/>
        <w:ind w:left="200" w:right="219"/>
        <w:spacing w:after="0" w:line="261" w:lineRule="auto"/>
        <w:rPr>
          <w:sz w:val="20"/>
          <w:szCs w:val="20"/>
          <w:color w:val="auto"/>
        </w:rPr>
      </w:pPr>
      <w:r>
        <w:rPr>
          <w:rFonts w:ascii="Times New Roman" w:cs="Times New Roman" w:eastAsia="Times New Roman" w:hAnsi="Times New Roman"/>
          <w:sz w:val="21"/>
          <w:szCs w:val="21"/>
          <w:color w:val="auto"/>
        </w:rPr>
        <w:t>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w:t>
      </w:r>
    </w:p>
    <w:p>
      <w:pPr>
        <w:spacing w:after="0" w:line="11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The factors that could cause our actual future results to differ materially include, but are not limited to, the following:</w:t>
      </w:r>
    </w:p>
    <w:p>
      <w:pPr>
        <w:spacing w:after="0" w:line="131" w:lineRule="exact"/>
        <w:rPr>
          <w:sz w:val="20"/>
          <w:szCs w:val="20"/>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Future demand for our products,</w:t>
      </w:r>
    </w:p>
    <w:p>
      <w:pPr>
        <w:spacing w:after="0" w:line="98" w:lineRule="exact"/>
        <w:rPr>
          <w:rFonts w:ascii="Times New Roman" w:cs="Times New Roman" w:eastAsia="Times New Roman" w:hAnsi="Times New Roman"/>
          <w:sz w:val="18"/>
          <w:szCs w:val="18"/>
          <w:color w:val="auto"/>
        </w:rPr>
      </w:pPr>
    </w:p>
    <w:p>
      <w:pPr>
        <w:jc w:val="both"/>
        <w:ind w:left="1080" w:right="239" w:hanging="439"/>
        <w:spacing w:after="0" w:line="24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5"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Price and product competition from low-cost manufacturing sources (such as China),</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impact of pricing and production decisions,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Customer and competitor strategies including substitute products,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Uncertainties associated with the development of new products and product features,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Future litigation,</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ability to protect or defend our intellectual property rights,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Potential difficulties in integrating future acquisitions,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Decisions to sell operating assets other than in the ordinary course of business,</w:t>
      </w:r>
    </w:p>
    <w:p>
      <w:pPr>
        <w:spacing w:after="0" w:line="98" w:lineRule="exact"/>
        <w:rPr>
          <w:rFonts w:ascii="Times New Roman" w:cs="Times New Roman" w:eastAsia="Times New Roman" w:hAnsi="Times New Roman"/>
          <w:sz w:val="18"/>
          <w:szCs w:val="18"/>
          <w:color w:val="auto"/>
        </w:rPr>
      </w:pPr>
    </w:p>
    <w:p>
      <w:pPr>
        <w:ind w:left="1080" w:right="219" w:hanging="439"/>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Environmental matters (such as those requiring emission and discharge standards for existing and new facilities),</w:t>
      </w:r>
    </w:p>
    <w:p>
      <w:pPr>
        <w:spacing w:after="0" w:line="50" w:lineRule="exact"/>
        <w:rPr>
          <w:rFonts w:ascii="Times New Roman" w:cs="Times New Roman" w:eastAsia="Times New Roman" w:hAnsi="Times New Roman"/>
          <w:sz w:val="18"/>
          <w:szCs w:val="18"/>
          <w:color w:val="auto"/>
        </w:rPr>
      </w:pPr>
    </w:p>
    <w:p>
      <w:pPr>
        <w:ind w:left="1080" w:right="219" w:hanging="439"/>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ultimate outcome of income tax audits, tax settlement initiatives or other tax matters, including future tax reform,</w:t>
      </w:r>
    </w:p>
    <w:p>
      <w:pPr>
        <w:spacing w:after="0" w:line="50" w:lineRule="exact"/>
        <w:rPr>
          <w:rFonts w:ascii="Times New Roman" w:cs="Times New Roman" w:eastAsia="Times New Roman" w:hAnsi="Times New Roman"/>
          <w:sz w:val="18"/>
          <w:szCs w:val="18"/>
          <w:color w:val="auto"/>
        </w:rPr>
      </w:pPr>
    </w:p>
    <w:p>
      <w:pPr>
        <w:ind w:left="1080" w:right="219" w:hanging="439"/>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impact of current or future government regulations (including employee healthcare benefit related regulations),</w:t>
      </w:r>
    </w:p>
    <w:p>
      <w:pPr>
        <w:spacing w:after="0" w:line="50" w:lineRule="exact"/>
        <w:rPr>
          <w:rFonts w:ascii="Times New Roman" w:cs="Times New Roman" w:eastAsia="Times New Roman" w:hAnsi="Times New Roman"/>
          <w:sz w:val="18"/>
          <w:szCs w:val="18"/>
          <w:color w:val="auto"/>
        </w:rPr>
      </w:pPr>
    </w:p>
    <w:p>
      <w:pPr>
        <w:jc w:val="both"/>
        <w:ind w:left="1080" w:right="219" w:hanging="439"/>
        <w:spacing w:after="0" w:line="237"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General global economic and political conditions that introduce instability into our supply chain, impact our customers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level of demand or our customers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72" w:lineRule="exact"/>
        <w:rPr>
          <w:rFonts w:ascii="Times New Roman" w:cs="Times New Roman" w:eastAsia="Times New Roman" w:hAnsi="Times New Roman"/>
          <w:sz w:val="18"/>
          <w:szCs w:val="18"/>
          <w:color w:val="auto"/>
        </w:rPr>
      </w:pPr>
    </w:p>
    <w:p>
      <w:pPr>
        <w:jc w:val="both"/>
        <w:ind w:left="1080" w:right="239" w:hanging="439"/>
        <w:spacing w:after="0" w:line="239"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2" w:lineRule="exact"/>
        <w:rPr>
          <w:rFonts w:ascii="Times New Roman" w:cs="Times New Roman" w:eastAsia="Times New Roman" w:hAnsi="Times New Roman"/>
          <w:sz w:val="18"/>
          <w:szCs w:val="18"/>
          <w:color w:val="auto"/>
        </w:rPr>
      </w:pPr>
    </w:p>
    <w:p>
      <w:pPr>
        <w:ind w:left="1080" w:right="219" w:hanging="439"/>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Possible disruption of our business or increases in the cost of doing business resulting from terrorist activities or global conflicts.</w:t>
      </w:r>
    </w:p>
    <w:p>
      <w:pPr>
        <w:spacing w:after="0" w:line="50"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COMPX INTERNATIONAL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 OF CONSOLIDATED OPERATIONS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millions,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Three months ended</w:t>
            </w:r>
          </w:p>
        </w:tc>
        <w:tc>
          <w:tcPr>
            <w:tcW w:w="200" w:type="dxa"/>
            <w:vAlign w:val="bottom"/>
          </w:tcPr>
          <w:p>
            <w:pPr>
              <w:spacing w:after="0"/>
              <w:rPr>
                <w:sz w:val="22"/>
                <w:szCs w:val="22"/>
                <w:color w:val="auto"/>
              </w:rPr>
            </w:pPr>
          </w:p>
        </w:tc>
        <w:tc>
          <w:tcPr>
            <w:tcW w:w="1940" w:type="dxa"/>
            <w:vAlign w:val="bottom"/>
            <w:gridSpan w:val="6"/>
          </w:tcPr>
          <w:p>
            <w:pPr>
              <w:jc w:val="right"/>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2"/>
              <w:spacing w:after="0" w:line="237" w:lineRule="exact"/>
              <w:rPr>
                <w:sz w:val="20"/>
                <w:szCs w:val="20"/>
                <w:color w:val="auto"/>
              </w:rPr>
            </w:pPr>
            <w:r>
              <w:rPr>
                <w:rFonts w:ascii="Times New Roman" w:cs="Times New Roman" w:eastAsia="Times New Roman" w:hAnsi="Times New Roman"/>
                <w:sz w:val="22"/>
                <w:szCs w:val="22"/>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b w:val="1"/>
                <w:bCs w:val="1"/>
                <w:color w:val="auto"/>
              </w:rPr>
              <w:t>2022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332"/>
              <w:spacing w:after="0" w:line="191" w:lineRule="exact"/>
              <w:rPr>
                <w:sz w:val="20"/>
                <w:szCs w:val="20"/>
                <w:color w:val="auto"/>
              </w:rPr>
            </w:pPr>
            <w:r>
              <w:rPr>
                <w:rFonts w:ascii="Times New Roman" w:cs="Times New Roman" w:eastAsia="Times New Roman" w:hAnsi="Times New Roman"/>
                <w:sz w:val="22"/>
                <w:szCs w:val="22"/>
                <w:b w:val="1"/>
                <w:bCs w:val="1"/>
                <w:color w:val="auto"/>
              </w:rPr>
              <w:t>(unaudited)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Net sales</w:t>
            </w:r>
          </w:p>
        </w:tc>
        <w:tc>
          <w:tcPr>
            <w:tcW w:w="4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34.5</w:t>
            </w:r>
          </w:p>
        </w:tc>
        <w:tc>
          <w:tcPr>
            <w:tcW w:w="3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42.9</w:t>
            </w:r>
          </w:p>
        </w:tc>
        <w:tc>
          <w:tcPr>
            <w:tcW w:w="3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106.7</w:t>
            </w:r>
          </w:p>
        </w:tc>
        <w:tc>
          <w:tcPr>
            <w:tcW w:w="3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126.6</w:t>
            </w:r>
          </w:p>
        </w:tc>
        <w:tc>
          <w:tcPr>
            <w:tcW w:w="0" w:type="dxa"/>
            <w:vAlign w:val="bottom"/>
          </w:tcPr>
          <w:p>
            <w:pPr>
              <w:spacing w:after="0"/>
              <w:rPr>
                <w:sz w:val="1"/>
                <w:szCs w:val="1"/>
                <w:color w:val="auto"/>
              </w:rPr>
            </w:pPr>
          </w:p>
        </w:tc>
      </w:tr>
      <w:tr>
        <w:trPr>
          <w:trHeight w:val="274"/>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23.6</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30.9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88.9</w:t>
            </w:r>
          </w:p>
        </w:tc>
        <w:tc>
          <w:tcPr>
            <w:tcW w:w="0" w:type="dxa"/>
            <w:vAlign w:val="bottom"/>
          </w:tcPr>
          <w:p>
            <w:pPr>
              <w:spacing w:after="0"/>
              <w:rPr>
                <w:sz w:val="1"/>
                <w:szCs w:val="1"/>
                <w:color w:val="auto"/>
              </w:rPr>
            </w:pPr>
          </w:p>
        </w:tc>
      </w:tr>
      <w:tr>
        <w:trPr>
          <w:trHeight w:val="205"/>
        </w:trPr>
        <w:tc>
          <w:tcPr>
            <w:tcW w:w="4180" w:type="dxa"/>
            <w:vAlign w:val="bottom"/>
            <w:gridSpan w:val="2"/>
          </w:tcPr>
          <w:p>
            <w:pPr>
              <w:spacing w:after="0" w:line="205" w:lineRule="exact"/>
              <w:rPr>
                <w:sz w:val="20"/>
                <w:szCs w:val="20"/>
                <w:color w:val="auto"/>
              </w:rPr>
            </w:pPr>
            <w:r>
              <w:rPr>
                <w:rFonts w:ascii="Times New Roman" w:cs="Times New Roman" w:eastAsia="Times New Roman" w:hAnsi="Times New Roman"/>
                <w:sz w:val="22"/>
                <w:szCs w:val="22"/>
                <w:color w:val="auto"/>
              </w:rPr>
              <w:t>Gross margin</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color w:val="auto"/>
              </w:rPr>
              <w:t>10.9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b w:val="1"/>
                <w:bCs w:val="1"/>
                <w:color w:val="auto"/>
              </w:rPr>
              <w:t>12.0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color w:val="auto"/>
              </w:rPr>
              <w:t>33.3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b w:val="1"/>
                <w:bCs w:val="1"/>
                <w:color w:val="auto"/>
              </w:rPr>
              <w:t>37.7</w:t>
            </w:r>
          </w:p>
        </w:tc>
        <w:tc>
          <w:tcPr>
            <w:tcW w:w="0" w:type="dxa"/>
            <w:vAlign w:val="bottom"/>
          </w:tcPr>
          <w:p>
            <w:pPr>
              <w:spacing w:after="0"/>
              <w:rPr>
                <w:sz w:val="1"/>
                <w:szCs w:val="1"/>
                <w:color w:val="auto"/>
              </w:rPr>
            </w:pPr>
          </w:p>
        </w:tc>
      </w:tr>
      <w:tr>
        <w:trPr>
          <w:trHeight w:val="274"/>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Selling, general and administrative expense</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17.7</w:t>
            </w:r>
          </w:p>
        </w:tc>
        <w:tc>
          <w:tcPr>
            <w:tcW w:w="0" w:type="dxa"/>
            <w:vAlign w:val="bottom"/>
          </w:tcPr>
          <w:p>
            <w:pPr>
              <w:spacing w:after="0"/>
              <w:rPr>
                <w:sz w:val="1"/>
                <w:szCs w:val="1"/>
                <w:color w:val="auto"/>
              </w:rPr>
            </w:pPr>
          </w:p>
        </w:tc>
      </w:tr>
      <w:tr>
        <w:trPr>
          <w:trHeight w:val="205"/>
        </w:trPr>
        <w:tc>
          <w:tcPr>
            <w:tcW w:w="4180" w:type="dxa"/>
            <w:vAlign w:val="bottom"/>
            <w:gridSpan w:val="2"/>
          </w:tcPr>
          <w:p>
            <w:pPr>
              <w:spacing w:after="0" w:line="205" w:lineRule="exact"/>
              <w:rPr>
                <w:sz w:val="20"/>
                <w:szCs w:val="20"/>
                <w:color w:val="auto"/>
              </w:rPr>
            </w:pPr>
            <w:r>
              <w:rPr>
                <w:rFonts w:ascii="Times New Roman" w:cs="Times New Roman" w:eastAsia="Times New Roman" w:hAnsi="Times New Roman"/>
                <w:sz w:val="22"/>
                <w:szCs w:val="22"/>
                <w:color w:val="auto"/>
              </w:rPr>
              <w:t>Operating income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color w:val="auto"/>
              </w:rPr>
              <w:t>5.1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b w:val="1"/>
                <w:bCs w:val="1"/>
                <w:color w:val="auto"/>
              </w:rPr>
              <w:t>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color w:val="auto"/>
              </w:rPr>
              <w:t>16.7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b w:val="1"/>
                <w:bCs w:val="1"/>
                <w:color w:val="auto"/>
              </w:rPr>
              <w:t>20.0</w:t>
            </w:r>
          </w:p>
        </w:tc>
        <w:tc>
          <w:tcPr>
            <w:tcW w:w="0" w:type="dxa"/>
            <w:vAlign w:val="bottom"/>
          </w:tcPr>
          <w:p>
            <w:pPr>
              <w:spacing w:after="0"/>
              <w:rPr>
                <w:sz w:val="1"/>
                <w:szCs w:val="1"/>
                <w:color w:val="auto"/>
              </w:rPr>
            </w:pPr>
          </w:p>
        </w:tc>
      </w:tr>
      <w:tr>
        <w:trPr>
          <w:trHeight w:val="274"/>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Interest income</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1.1</w:t>
            </w:r>
          </w:p>
        </w:tc>
        <w:tc>
          <w:tcPr>
            <w:tcW w:w="0" w:type="dxa"/>
            <w:vAlign w:val="bottom"/>
          </w:tcPr>
          <w:p>
            <w:pPr>
              <w:spacing w:after="0"/>
              <w:rPr>
                <w:sz w:val="1"/>
                <w:szCs w:val="1"/>
                <w:color w:val="auto"/>
              </w:rPr>
            </w:pPr>
          </w:p>
        </w:tc>
      </w:tr>
      <w:tr>
        <w:trPr>
          <w:trHeight w:val="205"/>
        </w:trPr>
        <w:tc>
          <w:tcPr>
            <w:tcW w:w="4180" w:type="dxa"/>
            <w:vAlign w:val="bottom"/>
            <w:gridSpan w:val="2"/>
          </w:tcPr>
          <w:p>
            <w:pPr>
              <w:spacing w:after="0" w:line="205" w:lineRule="exact"/>
              <w:rPr>
                <w:sz w:val="20"/>
                <w:szCs w:val="20"/>
                <w:color w:val="auto"/>
              </w:rPr>
            </w:pPr>
            <w:r>
              <w:rPr>
                <w:rFonts w:ascii="Times New Roman" w:cs="Times New Roman" w:eastAsia="Times New Roman" w:hAnsi="Times New Roman"/>
                <w:sz w:val="22"/>
                <w:szCs w:val="22"/>
                <w:color w:val="auto"/>
              </w:rPr>
              <w:t>Income before taxes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color w:val="auto"/>
              </w:rPr>
              <w:t>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b w:val="1"/>
                <w:bCs w:val="1"/>
                <w:color w:val="auto"/>
              </w:rPr>
              <w:t>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color w:val="auto"/>
              </w:rPr>
              <w:t>17.6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2"/>
                <w:szCs w:val="22"/>
                <w:b w:val="1"/>
                <w:bCs w:val="1"/>
                <w:color w:val="auto"/>
              </w:rPr>
              <w:t>21.1</w:t>
            </w:r>
          </w:p>
        </w:tc>
        <w:tc>
          <w:tcPr>
            <w:tcW w:w="0" w:type="dxa"/>
            <w:vAlign w:val="bottom"/>
          </w:tcPr>
          <w:p>
            <w:pPr>
              <w:spacing w:after="0"/>
              <w:rPr>
                <w:sz w:val="1"/>
                <w:szCs w:val="1"/>
                <w:color w:val="auto"/>
              </w:rPr>
            </w:pPr>
          </w:p>
        </w:tc>
      </w:tr>
      <w:tr>
        <w:trPr>
          <w:trHeight w:val="274"/>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1.6</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5.0</w:t>
            </w:r>
          </w:p>
        </w:tc>
        <w:tc>
          <w:tcPr>
            <w:tcW w:w="0" w:type="dxa"/>
            <w:vAlign w:val="bottom"/>
          </w:tcPr>
          <w:p>
            <w:pPr>
              <w:spacing w:after="0"/>
              <w:rPr>
                <w:sz w:val="1"/>
                <w:szCs w:val="1"/>
                <w:color w:val="auto"/>
              </w:rPr>
            </w:pPr>
          </w:p>
        </w:tc>
      </w:tr>
      <w:tr>
        <w:trPr>
          <w:trHeight w:val="237"/>
        </w:trPr>
        <w:tc>
          <w:tcPr>
            <w:tcW w:w="418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Net income</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b w:val="1"/>
                <w:bCs w:val="1"/>
                <w:color w:val="auto"/>
                <w:w w:val="72"/>
              </w:rPr>
              <w:t>$</w:t>
            </w:r>
          </w:p>
        </w:tc>
        <w:tc>
          <w:tcPr>
            <w:tcW w:w="7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b w:val="1"/>
                <w:bCs w:val="1"/>
                <w:color w:val="auto"/>
              </w:rPr>
              <w:t>4.9</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13.4</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b w:val="1"/>
                <w:bCs w:val="1"/>
                <w:color w:val="auto"/>
              </w:rPr>
              <w:t>16.1</w:t>
            </w: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Basic and diluted net income per common share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08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2"/>
                <w:szCs w:val="22"/>
                <w:color w:val="auto"/>
              </w:rPr>
              <w:t>Weighted average diluted common shares</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outstanding</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12.3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85"/>
              </w:rPr>
              <w:t>-3-</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57"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1048385</wp:posOffset>
            </wp:positionH>
            <wp:positionV relativeFrom="page">
              <wp:posOffset>791845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page">
              <wp:posOffset>1065530</wp:posOffset>
            </wp:positionH>
            <wp:positionV relativeFrom="page">
              <wp:posOffset>226060</wp:posOffset>
            </wp:positionV>
            <wp:extent cx="147447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96520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w:t>
      </w:r>
    </w:p>
    <w:p>
      <w:pPr>
        <w:spacing w:after="0" w:line="200" w:lineRule="exact"/>
        <w:rPr>
          <w:sz w:val="20"/>
          <w:szCs w:val="20"/>
          <w:color w:val="auto"/>
        </w:rPr>
      </w:pPr>
    </w:p>
    <w:p>
      <w:pPr>
        <w:sectPr>
          <w:pgSz w:w="11900" w:h="16838" w:orient="portrait"/>
          <w:cols w:equalWidth="0" w:num="2">
            <w:col w:w="4700" w:space="720"/>
            <w:col w:w="3599"/>
          </w:cols>
          <w:pgMar w:left="1440" w:top="1321" w:right="1440" w:bottom="1440" w:gutter="0" w:footer="0" w:header="0"/>
          <w:type w:val="continuous"/>
        </w:sectPr>
      </w:pPr>
    </w:p>
    <w:p>
      <w:pPr>
        <w:spacing w:after="0" w:line="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CompX International Inc.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Three Lincoln Centre</w:t>
      </w:r>
    </w:p>
    <w:p>
      <w:pPr>
        <w:ind w:left="300"/>
        <w:spacing w:after="0"/>
        <w:rPr>
          <w:sz w:val="20"/>
          <w:szCs w:val="20"/>
          <w:color w:val="auto"/>
        </w:rPr>
      </w:pPr>
      <w:r>
        <w:rPr>
          <w:rFonts w:ascii="Times New Roman" w:cs="Times New Roman" w:eastAsia="Times New Roman" w:hAnsi="Times New Roman"/>
          <w:sz w:val="21"/>
          <w:szCs w:val="21"/>
          <w:color w:val="auto"/>
        </w:rPr>
        <w:t>5430 LBJ Freeway, Suite 1700</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Janet G. Keckeisen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rPr>
          <w:sz w:val="20"/>
          <w:szCs w:val="20"/>
          <w:color w:val="auto"/>
        </w:rPr>
      </w:pPr>
      <w:r>
        <w:rPr>
          <w:rFonts w:ascii="Times New Roman" w:cs="Times New Roman" w:eastAsia="Times New Roman" w:hAnsi="Times New Roman"/>
          <w:sz w:val="22"/>
          <w:szCs w:val="22"/>
          <w:color w:val="auto"/>
        </w:rPr>
        <w:t>Tel. 972-233-1700</w:t>
      </w:r>
    </w:p>
    <w:p>
      <w:pPr>
        <w:spacing w:after="0" w:line="443" w:lineRule="exact"/>
        <w:rPr>
          <w:sz w:val="20"/>
          <w:szCs w:val="20"/>
          <w:color w:val="auto"/>
        </w:rPr>
      </w:pPr>
    </w:p>
    <w:p>
      <w:pPr>
        <w:sectPr>
          <w:pgSz w:w="11900" w:h="16838" w:orient="portrait"/>
          <w:cols w:equalWidth="0" w:num="2">
            <w:col w:w="4700" w:space="720"/>
            <w:col w:w="3599"/>
          </w:cols>
          <w:pgMar w:left="1440" w:top="1321" w:right="1440"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COMPX DECLARES REGULAR QUARTERLY DIVIDEND</w:t>
      </w:r>
    </w:p>
    <w:p>
      <w:pPr>
        <w:spacing w:after="0" w:line="200" w:lineRule="exact"/>
        <w:rPr>
          <w:sz w:val="20"/>
          <w:szCs w:val="20"/>
          <w:color w:val="auto"/>
        </w:rPr>
      </w:pPr>
    </w:p>
    <w:p>
      <w:pPr>
        <w:spacing w:after="0" w:line="2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DALLAS, TEXAS . . . November 2, 2022 . . . CompX International Inc. (NYSE American: CIX) announced today that its board of directors has declared CompX’s regular quarterly dividend of twenty-five cents ($0.25) per share on its class A common stock, payable on December 13, 2022 to stockholders of record at the close of business on December 1, 2022.</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CompX is a leading manufacturer of security products and recreational marine components.</w:t>
      </w:r>
    </w:p>
    <w:p>
      <w:pPr>
        <w:spacing w:after="0" w:line="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3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2022-11-02T16:20:30Z</dcterms:created>
  <dcterms:modified xsi:type="dcterms:W3CDTF">2022-11-02T16:20:30Z</dcterms:modified>
</cp:coreProperties>
</file>