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18, 2019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074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0746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9" w:right="239" w:bottom="1440" w:gutter="0" w:footer="0" w:header="0"/>
        </w:sectPr>
      </w:pPr>
    </w:p>
    <w:p>
      <w:pPr>
        <w:spacing w:after="0" w:line="121"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73" w:lineRule="exact"/>
        <w:rPr>
          <w:sz w:val="24"/>
          <w:szCs w:val="24"/>
          <w:color w:val="auto"/>
        </w:rPr>
      </w:pPr>
    </w:p>
    <w:p>
      <w:pPr>
        <w:ind w:left="280"/>
        <w:spacing w:after="0" w:line="241" w:lineRule="exact"/>
        <w:rPr>
          <w:sz w:val="20"/>
          <w:szCs w:val="20"/>
          <w:color w:val="auto"/>
        </w:rPr>
      </w:pPr>
      <w:r>
        <w:rPr>
          <w:rFonts w:ascii="MS PGothic" w:cs="MS PGothic" w:eastAsia="MS PGothic" w:hAnsi="MS PGothic"/>
          <w:sz w:val="24"/>
          <w:szCs w:val="24"/>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9" w:right="239" w:bottom="1440" w:gutter="0" w:footer="0" w:header="0"/>
          <w:type w:val="continuous"/>
        </w:sectPr>
      </w:pPr>
    </w:p>
    <w:p>
      <w:pPr>
        <w:spacing w:after="0" w:line="11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On March 18, 2019, Gregory M. Swalwell, executive vice president of the registrant, provided notice to the registrant that, effective as of June 1, 2019, he will retire as an officer of the registrant. In connection with his retirement from the registrant, Mr. Swalwell has also provided notice to Valhi, Inc. (“Valhi”), Kronos Worldwide, Inc. (“Kronos”), and NL Industries, Inc. (“NL”), affiliates of the registrant, that he will also retire as an officer of those companies as of such date. Following such retirements, Mr. Swalwell will continue to be employed by Contran Corporation (“Contran”), the privately-held parent corporation of the registrant, and will continue to serve as executive vice president, chief financial officer and chief accounting officer of Contran.</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James W. Brown currently serves as the registrant’s vice president, chief financial officer and controller. Following such retirement notices of Mr. Swalwell, the board of directors of each of Valhi and Kronos took action, also effective as of June 1, 2019, to elect Mr. Brown as senior vice president and chief financial officer of each of Valhi and Kronos. As a result, Mr. Brown will no longer serve as an officer of the registrant effective June 1, 2019, and the registrant’s board of directors took action, also effective as of June 1, 2019, to:</w:t>
      </w:r>
    </w:p>
    <w:p>
      <w:pPr>
        <w:spacing w:after="0" w:line="214" w:lineRule="exact"/>
        <w:rPr>
          <w:sz w:val="20"/>
          <w:szCs w:val="20"/>
          <w:color w:val="auto"/>
        </w:rPr>
      </w:pPr>
    </w:p>
    <w:p>
      <w:pPr>
        <w:ind w:left="1300" w:right="400" w:hanging="320"/>
        <w:spacing w:after="0" w:line="258"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 Amy Allbach Samford, currently the vice president and controller of Valhi, NL and Contran, as the registrant’s vice president and chief financial officer;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 Amy E. Ruf, currently the registrant’s assistant controller, as the registrant’s vice president and controller.</w:t>
      </w:r>
    </w:p>
    <w:p>
      <w:pPr>
        <w:spacing w:after="0" w:line="238"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Ms. Samford, age 44, has served as vice president and controller of each of Valhi and NL since 2016 and of Contran since 2017. Beginning June 1, 2019, she will also serve as vice president and chief financial officer of NL, and will continue to serve as vice president and controller of Valhi and Contran. Ms. Samford has served in various accounting and financial positions (including officer positions) in various companies related to us and Contran since 2006.</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Ms. Ruf, age 42, has served in various accounting and financial positions in various companies related to us and Contran since 2004.</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Ms. Samford and Ms. Ruf are employees of Contran and will provide their services to the registrant under an intercorporate services agreement between the registrant and Contran. For a description of the intercorporate services agreement, see “Certain Relationships and Transactions” in the registrant’s 2018 proxy statement, which description is incorporated herein by reference. In addition, for a discussion of potential conflicts of interest of officers who serve more than one corporation, see “Certain Relationships and Transactions” in the 2018 proxy statement, which discussion is also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/s/ Jane Grimm</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22, 2019</w:t>
            </w:r>
          </w:p>
        </w:tc>
        <w:tc>
          <w:tcPr>
            <w:tcW w:w="36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i w:val="1"/>
                <w:iCs w:val="1"/>
                <w:color w:val="auto"/>
              </w:rPr>
              <w:t>Jane Grimm, Vice President and Secretary</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2019-12-03T21:26:49Z</dcterms:created>
  <dcterms:modified xsi:type="dcterms:W3CDTF">2019-12-03T21:26:49Z</dcterms:modified>
</cp:coreProperties>
</file>