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3, 2021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Pr>
          <w:p>
            <w:pPr>
              <w:jc w:val="center"/>
              <w:ind w:left="128"/>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266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Class A Common Stock</w:t>
      </w:r>
    </w:p>
    <w:p>
      <w:pPr>
        <w:spacing w:after="0" w:line="14" w:lineRule="exact"/>
        <w:rPr>
          <w:sz w:val="24"/>
          <w:szCs w:val="24"/>
          <w:color w:val="auto"/>
        </w:rPr>
      </w:pPr>
    </w:p>
    <w:p>
      <w:pPr>
        <w:ind w:left="1420"/>
        <w:spacing w:after="0"/>
        <w:tabs>
          <w:tab w:leader="none" w:pos="5080" w:val="left"/>
          <w:tab w:leader="none" w:pos="8200" w:val="left"/>
        </w:tabs>
        <w:rPr>
          <w:sz w:val="20"/>
          <w:szCs w:val="20"/>
          <w:color w:val="auto"/>
        </w:rPr>
      </w:pPr>
      <w:r>
        <w:rPr>
          <w:rFonts w:ascii="Arial" w:cs="Arial" w:eastAsia="Arial" w:hAnsi="Arial"/>
          <w:sz w:val="14"/>
          <w:szCs w:val="14"/>
          <w:color w:val="auto"/>
        </w:rPr>
        <w:t>($.01 par value per share)</w:t>
      </w:r>
      <w:r>
        <w:rPr>
          <w:sz w:val="20"/>
          <w:szCs w:val="20"/>
          <w:color w:val="auto"/>
        </w:rPr>
        <w:tab/>
      </w:r>
      <w:r>
        <w:rPr>
          <w:rFonts w:ascii="Arial" w:cs="Arial" w:eastAsia="Arial" w:hAnsi="Arial"/>
          <w:sz w:val="14"/>
          <w:szCs w:val="14"/>
          <w:color w:val="auto"/>
        </w:rPr>
        <w:t>CIX</w:t>
      </w:r>
      <w:r>
        <w:rPr>
          <w:sz w:val="20"/>
          <w:szCs w:val="20"/>
          <w:color w:val="auto"/>
        </w:rPr>
        <w:tab/>
      </w:r>
      <w:r>
        <w:rPr>
          <w:rFonts w:ascii="Arial" w:cs="Arial" w:eastAsia="Arial" w:hAnsi="Arial"/>
          <w:sz w:val="13"/>
          <w:szCs w:val="13"/>
          <w:color w:val="auto"/>
        </w:rPr>
        <w:t>NYSE American</w:t>
      </w:r>
    </w:p>
    <w:p>
      <w:pPr>
        <w:spacing w:after="0" w:line="223"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Fourth Quarter 2020 Results” that the registrant issued on March 3, 2021,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3.03</w:t>
      </w:r>
      <w:r>
        <w:rPr>
          <w:sz w:val="20"/>
          <w:szCs w:val="20"/>
          <w:color w:val="auto"/>
        </w:rPr>
        <w:tab/>
      </w:r>
      <w:r>
        <w:rPr>
          <w:rFonts w:ascii="Arial" w:cs="Arial" w:eastAsia="Arial" w:hAnsi="Arial"/>
          <w:sz w:val="19"/>
          <w:szCs w:val="19"/>
          <w:b w:val="1"/>
          <w:bCs w:val="1"/>
          <w:color w:val="auto"/>
        </w:rPr>
        <w:t>Material Modification to Rights of Security Holders.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the extent required by Item 3.03 of Form 8-K, the information contained in Item 5.03 of this Form 8-K is incorporated herein by reference.</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5.03</w:t>
      </w:r>
      <w:r>
        <w:rPr>
          <w:sz w:val="20"/>
          <w:szCs w:val="20"/>
          <w:color w:val="auto"/>
        </w:rPr>
        <w:tab/>
      </w:r>
      <w:r>
        <w:rPr>
          <w:rFonts w:ascii="Arial" w:cs="Arial" w:eastAsia="Arial" w:hAnsi="Arial"/>
          <w:sz w:val="19"/>
          <w:szCs w:val="19"/>
          <w:b w:val="1"/>
          <w:bCs w:val="1"/>
          <w:color w:val="auto"/>
        </w:rPr>
        <w:t>Amendments to Articles of Incorporation or Bylaws; Change in Fiscal Year</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its meeting on March 3, 2021, the registrant’s board of directors, pursuant to Article Five of the registrant’s second amended and restated certificate of incorporation, amended and restated the registrant’s bylaws effective March 3, 2021. The approved amendments added a new Article X with forum selection provisions. Pursuant to the new provisions, unless the registrant consents in writing to selection of an alternative forum:</w:t>
      </w:r>
    </w:p>
    <w:p>
      <w:pPr>
        <w:spacing w:after="0" w:line="212" w:lineRule="exact"/>
        <w:rPr>
          <w:sz w:val="20"/>
          <w:szCs w:val="20"/>
          <w:color w:val="auto"/>
        </w:rPr>
      </w:pPr>
    </w:p>
    <w:p>
      <w:pPr>
        <w:jc w:val="both"/>
        <w:ind w:left="1300" w:hanging="320"/>
        <w:spacing w:after="0" w:line="274" w:lineRule="auto"/>
        <w:tabs>
          <w:tab w:leader="none" w:pos="130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Court of Chancery of the State of Delaware (or, if such court does not have subject matter jurisdiction, the federal district court of the State of Delaware) shall be the sole and exclusive forum for (i) any derivative action or proceeding brought on behalf of the registrant, (ii) any action asserting a claim for or based on a breach of a fiduciary duty owed by any current or former director, officer, other employee, agent or stockholder of the registrant to the registrant or the registrant’s stockholders, (iii) any action asserting a claim against the registrant or any current or former director, officer, employee, agent or stockholder of the registrant arising pursuant to any provision of the Delaware General Corporation Law (“DGCL”) or the certificate of incorporation or bylaws or as to which the DGCL confers jurisdiction on the Court of Chancery of the State of Delaware, or (iv) any action asserting a claim related to or involving the registrant that is governed by the internal affairs doctrine.</w:t>
      </w:r>
    </w:p>
    <w:p>
      <w:pPr>
        <w:spacing w:after="0" w:line="185" w:lineRule="exact"/>
        <w:rPr>
          <w:rFonts w:ascii="Arial" w:cs="Arial" w:eastAsia="Arial" w:hAnsi="Arial"/>
          <w:sz w:val="19"/>
          <w:szCs w:val="19"/>
          <w:color w:val="auto"/>
        </w:rPr>
      </w:pPr>
    </w:p>
    <w:p>
      <w:pPr>
        <w:jc w:val="both"/>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federal district courts of the United States of America shall, to the fullest extent permitted by law, be the sole and exclusive forum for the resolution of any complaint asserting a cause of action arising under the Securities Act of 1933, as amended, and the rules and regulations promulgated thereunder.</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foregoing description does not purport to be complete and is qualified in its entirety by reference to the complete text of the registrant’s bylaws as amended and restated on March 3, 2021, which are incorporated by reference as Exhibit 3.1 to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Announces Increase in Quarterly Dividend” that the registrant also issued on March 3, 2021,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3.1</w:t>
            </w:r>
          </w:p>
        </w:tc>
        <w:tc>
          <w:tcPr>
            <w:tcW w:w="520" w:type="dxa"/>
            <w:vAlign w:val="bottom"/>
          </w:tcPr>
          <w:p>
            <w:pPr>
              <w:spacing w:after="0"/>
              <w:rPr>
                <w:sz w:val="24"/>
                <w:szCs w:val="24"/>
                <w:color w:val="auto"/>
              </w:rPr>
            </w:pPr>
          </w:p>
        </w:tc>
        <w:tc>
          <w:tcPr>
            <w:tcW w:w="8000" w:type="dxa"/>
            <w:vAlign w:val="bottom"/>
            <w:tcBorders>
              <w:bottom w:val="single" w:sz="8" w:color="0000EE"/>
            </w:tcBorders>
            <w:gridSpan w:val="4"/>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Bylaws of CompX International Inc. (Amended and Restated as of March 3, 2021) –</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tcBorders>
              <w:bottom w:val="single" w:sz="8" w:color="0000EE"/>
            </w:tcBorders>
            <w:gridSpan w:val="4"/>
          </w:tcPr>
          <w:p>
            <w:pPr>
              <w:spacing w:after="0" w:line="223" w:lineRule="exact"/>
              <w:rPr>
                <w:rFonts w:ascii="Arial" w:cs="Arial" w:eastAsia="Arial" w:hAnsi="Arial"/>
                <w:sz w:val="22"/>
                <w:szCs w:val="22"/>
                <w:color w:val="0000EE"/>
                <w:w w:val="93"/>
              </w:rPr>
            </w:pPr>
            <w:hyperlink r:id="rId12">
              <w:r>
                <w:rPr>
                  <w:rFonts w:ascii="Arial" w:cs="Arial" w:eastAsia="Arial" w:hAnsi="Arial"/>
                  <w:sz w:val="22"/>
                  <w:szCs w:val="22"/>
                  <w:color w:val="0000EE"/>
                  <w:w w:val="93"/>
                </w:rPr>
                <w:t>incorporated by reference to Exhibit 3.3 of the Registrant’s Annual Report on Form 10-K</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4"/>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for the year ended December 31, 2020 filed on March 3, 2021</w:t>
              </w:r>
              <w:r>
                <w:rPr>
                  <w:rFonts w:ascii="Arial" w:cs="Arial" w:eastAsia="Arial" w:hAnsi="Arial"/>
                  <w:sz w:val="22"/>
                  <w:szCs w:val="22"/>
                  <w:color w:val="000000"/>
                </w:rPr>
                <w:t>.</w:t>
              </w:r>
            </w:hyperlink>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4"/>
          </w:tcPr>
          <w:p>
            <w:pPr>
              <w:spacing w:after="0"/>
              <w:rPr>
                <w:rFonts w:ascii="Arial" w:cs="Arial" w:eastAsia="Arial" w:hAnsi="Arial"/>
                <w:sz w:val="22"/>
                <w:szCs w:val="22"/>
                <w:color w:val="0000EE"/>
                <w:w w:val="90"/>
              </w:rPr>
            </w:pPr>
            <w:hyperlink w:anchor="page5">
              <w:r>
                <w:rPr>
                  <w:rFonts w:ascii="Arial" w:cs="Arial" w:eastAsia="Arial" w:hAnsi="Arial"/>
                  <w:sz w:val="22"/>
                  <w:szCs w:val="22"/>
                  <w:color w:val="0000EE"/>
                  <w:w w:val="90"/>
                </w:rPr>
                <w:t>Press release dated March 3, 2021 entitled “CompX Reports Fourth Quarter 2020 Results”</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4"/>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tcBorders>
              <w:bottom w:val="single" w:sz="8" w:color="0000EE"/>
            </w:tcBorders>
            <w:gridSpan w:val="4"/>
          </w:tcPr>
          <w:p>
            <w:pPr>
              <w:spacing w:after="0"/>
              <w:rPr>
                <w:rFonts w:ascii="Arial" w:cs="Arial" w:eastAsia="Arial" w:hAnsi="Arial"/>
                <w:sz w:val="22"/>
                <w:szCs w:val="22"/>
                <w:color w:val="0000EE"/>
                <w:w w:val="95"/>
              </w:rPr>
            </w:pPr>
            <w:hyperlink w:anchor="page9">
              <w:r>
                <w:rPr>
                  <w:rFonts w:ascii="Arial" w:cs="Arial" w:eastAsia="Arial" w:hAnsi="Arial"/>
                  <w:sz w:val="22"/>
                  <w:szCs w:val="22"/>
                  <w:color w:val="0000EE"/>
                  <w:w w:val="95"/>
                </w:rPr>
                <w:t>Press release dated March 3, 2021 entitled “CompX Announces Increase in Quarterly</w:t>
              </w:r>
            </w:hyperlink>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80" w:type="dxa"/>
            <w:vAlign w:val="bottom"/>
            <w:tcBorders>
              <w:bottom w:val="single" w:sz="8" w:color="0000EE"/>
            </w:tcBorders>
            <w:gridSpan w:val="2"/>
          </w:tcPr>
          <w:p>
            <w:pPr>
              <w:spacing w:after="0" w:line="223" w:lineRule="exact"/>
              <w:rPr>
                <w:rFonts w:ascii="Arial" w:cs="Arial" w:eastAsia="Arial" w:hAnsi="Arial"/>
                <w:sz w:val="22"/>
                <w:szCs w:val="22"/>
                <w:color w:val="0000EE"/>
                <w:w w:val="89"/>
              </w:rPr>
            </w:pPr>
            <w:hyperlink w:anchor="page9">
              <w:r>
                <w:rPr>
                  <w:rFonts w:ascii="Arial" w:cs="Arial" w:eastAsia="Arial" w:hAnsi="Arial"/>
                  <w:sz w:val="22"/>
                  <w:szCs w:val="22"/>
                  <w:color w:val="0000EE"/>
                  <w:w w:val="89"/>
                </w:rPr>
                <w:t>Dividend” and issued by the registrant.</w:t>
              </w:r>
            </w:hyperlink>
          </w:p>
        </w:tc>
        <w:tc>
          <w:tcPr>
            <w:tcW w:w="4620" w:type="dxa"/>
            <w:vAlign w:val="bottom"/>
            <w:gridSpan w:val="2"/>
          </w:tcPr>
          <w:p>
            <w:pPr>
              <w:spacing w:after="0"/>
              <w:rPr>
                <w:sz w:val="19"/>
                <w:szCs w:val="19"/>
                <w:color w:val="auto"/>
              </w:rPr>
            </w:pPr>
          </w:p>
        </w:tc>
      </w:tr>
      <w:tr>
        <w:trPr>
          <w:trHeight w:val="490"/>
        </w:trPr>
        <w:tc>
          <w:tcPr>
            <w:tcW w:w="38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4"/>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472"/>
        </w:trPr>
        <w:tc>
          <w:tcPr>
            <w:tcW w:w="3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2340" w:type="dxa"/>
            <w:vAlign w:val="bottom"/>
            <w:gridSpan w:val="2"/>
          </w:tcPr>
          <w:p>
            <w:pPr>
              <w:ind w:left="280"/>
              <w:spacing w:after="0"/>
              <w:rPr>
                <w:sz w:val="20"/>
                <w:szCs w:val="20"/>
                <w:color w:val="auto"/>
              </w:rPr>
            </w:pPr>
            <w:r>
              <w:rPr>
                <w:rFonts w:ascii="Arial" w:cs="Arial" w:eastAsia="Arial" w:hAnsi="Arial"/>
                <w:sz w:val="22"/>
                <w:szCs w:val="22"/>
                <w:color w:val="auto"/>
              </w:rPr>
              <w:t>Filed herewith</w:t>
            </w:r>
          </w:p>
        </w:tc>
        <w:tc>
          <w:tcPr>
            <w:tcW w:w="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902"/>
        </w:trPr>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Amy A. Samford</w:t>
            </w:r>
          </w:p>
        </w:tc>
      </w:tr>
      <w:tr>
        <w:trPr>
          <w:trHeight w:val="222"/>
        </w:trPr>
        <w:tc>
          <w:tcPr>
            <w:tcW w:w="5580" w:type="dxa"/>
            <w:vAlign w:val="bottom"/>
          </w:tcPr>
          <w:p>
            <w:pPr>
              <w:spacing w:after="0" w:line="222" w:lineRule="exact"/>
              <w:rPr>
                <w:sz w:val="20"/>
                <w:szCs w:val="20"/>
                <w:color w:val="auto"/>
              </w:rPr>
            </w:pPr>
            <w:r>
              <w:rPr>
                <w:rFonts w:ascii="Arial" w:cs="Arial" w:eastAsia="Arial" w:hAnsi="Arial"/>
                <w:sz w:val="22"/>
                <w:szCs w:val="22"/>
                <w:color w:val="auto"/>
              </w:rPr>
              <w:t>Date: March 3, 2021</w:t>
            </w:r>
          </w:p>
        </w:tc>
        <w:tc>
          <w:tcPr>
            <w:tcW w:w="4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4"/>
        </w:trPr>
        <w:tc>
          <w:tcPr>
            <w:tcW w:w="5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240"/>
          </w:cols>
          <w:pgMar w:left="320" w:top="59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143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FOURTH QUARTER 2020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…March 3, 2021 …CompX International Inc. (NYSE American: CIX) announced today sales of $30.0 million for the fourth quarter of 2020 compared to $29.6 million in the same period of 2019. Operating income was $2.3 million in the fourth quarter of 2020 compared to $3.5 million in the same period of 2019. Net income was $2.3 million, or $0.17 per diluted share, for the fourth quarter of 2020 compared to $3.2 million, or $0.26 per diluted share, in the same period of 2019.</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sales for the year ended December 31, 2020 were $114.5 million compared to $124.2 million in the previous year. Operating income was $11.8 million for the year ended December 31, 2020 compared to $17.7 million for 2019. Net income for the year ended December 31, 2020 was $10.3 million, or $0.83 per diluted share, compared to $16.0 million, or $1.29 per diluted share, for the year ended December 31, 2019.</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sales increased in the fourth quarter of 2020 compared to the same period in 2019 as lower Security Products sales were more than offset by increased Marine Components sales, with the towboat market representing most of the increase in marine sales. Operating income decreased for the fourth quarter of 2020 compared to the fourth quarter of 2019 as the improvement in Marine Components operating income was offset by the decline of Security Products operating income. Security Products operating income for the period declined primarily due to the higher cost of sales noted below, as well as increased medical costs.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sales decreased for the full year of 2020 compared to the full year of 2019 due to lower Security Products sales primarily resulting from customer disruptions caused by the COVID-19 pandemic, somewhat offset by higher Marine Components sales. Operating income for the full year of 2020 compared to the same period in 2019 was negatively impacted by higher fixed cost per unit of production as the result of lower production volumes in the second and third quarters which increased the cost of inventory produced in these quarters and sold in the second half of 2020. Additionally, operating income for the full year of 2020 compared to prior year was negatively impacted by increased employer paid medical costs unrelated to the pandemic. In the second half of 2020, our sales began to recover from the historically low levels we experienced during the second quarter, with sales steadily improving for the remainder of the year. In the second half of the year, our manufacturing operations returned to more normal production rates as demand from our customers began to return, although Security Products operations did not recover to pre-pandemic levels. The extent of the impact of the COVID-19 pandemic on our future operations will depend on the time period and degree to which the COVID-19 pandemic persists in the economy,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513 people.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179"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23" w:lineRule="exact"/>
        <w:rPr>
          <w:rFonts w:ascii="Arial" w:cs="Arial" w:eastAsia="Arial" w:hAnsi="Arial"/>
          <w:sz w:val="21"/>
          <w:szCs w:val="21"/>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products and product features,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165"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179" w:lineRule="exact"/>
        <w:rPr>
          <w:rFonts w:ascii="Arial" w:cs="Arial" w:eastAsia="Arial" w:hAnsi="Arial"/>
          <w:sz w:val="22"/>
          <w:szCs w:val="22"/>
          <w:color w:val="auto"/>
        </w:rPr>
      </w:pPr>
    </w:p>
    <w:p>
      <w:pPr>
        <w:ind w:left="880" w:hanging="431"/>
        <w:spacing w:after="0"/>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216" w:lineRule="exact"/>
        <w:rPr>
          <w:rFonts w:ascii="Arial" w:cs="Arial" w:eastAsia="Arial" w:hAnsi="Arial"/>
          <w:sz w:val="19"/>
          <w:szCs w:val="19"/>
          <w:color w:val="auto"/>
        </w:rPr>
      </w:pPr>
    </w:p>
    <w:p>
      <w:pPr>
        <w:ind w:left="5580" w:hanging="76"/>
        <w:spacing w:after="0"/>
        <w:tabs>
          <w:tab w:leader="none" w:pos="5580" w:val="left"/>
        </w:tabs>
        <w:numPr>
          <w:ilvl w:val="1"/>
          <w:numId w:val="3"/>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ind w:left="880" w:hanging="431"/>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13" w:lineRule="exact"/>
        <w:rPr>
          <w:rFonts w:ascii="Arial" w:cs="Arial" w:eastAsia="Arial" w:hAnsi="Arial"/>
          <w:sz w:val="19"/>
          <w:szCs w:val="19"/>
          <w:color w:val="auto"/>
        </w:rPr>
      </w:pPr>
    </w:p>
    <w:p>
      <w:pPr>
        <w:ind w:left="880" w:hanging="431"/>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0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157" w:lineRule="exact"/>
        <w:rPr>
          <w:rFonts w:ascii="Arial" w:cs="Arial" w:eastAsia="Arial" w:hAnsi="Arial"/>
          <w:sz w:val="22"/>
          <w:szCs w:val="22"/>
          <w:color w:val="auto"/>
        </w:rPr>
      </w:pPr>
    </w:p>
    <w:p>
      <w:pPr>
        <w:jc w:val="both"/>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159" w:lineRule="exact"/>
        <w:rPr>
          <w:rFonts w:ascii="Arial" w:cs="Arial" w:eastAsia="Arial" w:hAnsi="Arial"/>
          <w:sz w:val="22"/>
          <w:szCs w:val="22"/>
          <w:color w:val="auto"/>
        </w:rPr>
      </w:pPr>
    </w:p>
    <w:p>
      <w:pPr>
        <w:ind w:left="880" w:hanging="431"/>
        <w:spacing w:after="0" w:line="250"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CONSOLIDATED STATEMENTS OF INCOME</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54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120" w:type="dxa"/>
            <w:vAlign w:val="bottom"/>
            <w:gridSpan w:val="4"/>
          </w:tcPr>
          <w:p>
            <w:pPr>
              <w:jc w:val="right"/>
              <w:ind w:right="245"/>
              <w:spacing w:after="0"/>
              <w:rPr>
                <w:sz w:val="20"/>
                <w:szCs w:val="20"/>
                <w:color w:val="auto"/>
              </w:rPr>
            </w:pPr>
            <w:r>
              <w:rPr>
                <w:rFonts w:ascii="Arial" w:cs="Arial" w:eastAsia="Arial" w:hAnsi="Arial"/>
                <w:sz w:val="22"/>
                <w:szCs w:val="22"/>
                <w:color w:val="auto"/>
              </w:rPr>
              <w:t>(Unaudited)</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08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2080" w:type="dxa"/>
            <w:vAlign w:val="bottom"/>
            <w:gridSpan w:val="2"/>
            <w:shd w:val="clear" w:color="auto" w:fill="CCEEFF"/>
          </w:tcPr>
          <w:p>
            <w:pPr>
              <w:jc w:val="right"/>
              <w:ind w:right="545"/>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29.6</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30.0</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124.2</w:t>
            </w:r>
          </w:p>
        </w:tc>
        <w:tc>
          <w:tcPr>
            <w:tcW w:w="360" w:type="dxa"/>
            <w:vAlign w:val="bottom"/>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114.5</w:t>
            </w:r>
          </w:p>
        </w:tc>
        <w:tc>
          <w:tcPr>
            <w:tcW w:w="0" w:type="dxa"/>
            <w:vAlign w:val="bottom"/>
          </w:tcPr>
          <w:p>
            <w:pPr>
              <w:spacing w:after="0"/>
              <w:rPr>
                <w:sz w:val="1"/>
                <w:szCs w:val="1"/>
                <w:color w:val="auto"/>
              </w:rPr>
            </w:pPr>
          </w:p>
        </w:tc>
      </w:tr>
      <w:tr>
        <w:trPr>
          <w:trHeight w:val="250"/>
        </w:trPr>
        <w:tc>
          <w:tcPr>
            <w:tcW w:w="4640" w:type="dxa"/>
            <w:vAlign w:val="bottom"/>
          </w:tcPr>
          <w:p>
            <w:pPr>
              <w:spacing w:after="0" w:line="243" w:lineRule="exact"/>
              <w:rPr>
                <w:sz w:val="20"/>
                <w:szCs w:val="20"/>
                <w:color w:val="auto"/>
              </w:rPr>
            </w:pPr>
            <w:r>
              <w:rPr>
                <w:rFonts w:ascii="Arial" w:cs="Arial" w:eastAsia="Arial" w:hAnsi="Arial"/>
                <w:sz w:val="22"/>
                <w:szCs w:val="22"/>
                <w:color w:val="auto"/>
              </w:rPr>
              <w:t>Cost of sales</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20.7</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22.3</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85.2</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81.7</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3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8.9</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7.7</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39.0</w:t>
            </w:r>
          </w:p>
        </w:tc>
        <w:tc>
          <w:tcPr>
            <w:tcW w:w="22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5.4</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21.3</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21.0</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13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3.5</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17.7</w:t>
            </w:r>
          </w:p>
        </w:tc>
        <w:tc>
          <w:tcPr>
            <w:tcW w:w="22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0.7</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0.4</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3.2</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13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4.2</w:t>
            </w:r>
          </w:p>
        </w:tc>
        <w:tc>
          <w:tcPr>
            <w:tcW w:w="26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20.9</w:t>
            </w:r>
          </w:p>
        </w:tc>
        <w:tc>
          <w:tcPr>
            <w:tcW w:w="22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0.4</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4.9</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83"/>
        </w:trPr>
        <w:tc>
          <w:tcPr>
            <w:tcW w:w="464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1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shd w:val="clear" w:color="auto" w:fill="CCEEFF"/>
          </w:tcPr>
          <w:p>
            <w:pPr>
              <w:ind w:left="500"/>
              <w:spacing w:after="0" w:line="243" w:lineRule="exact"/>
              <w:rPr>
                <w:sz w:val="20"/>
                <w:szCs w:val="20"/>
                <w:color w:val="auto"/>
              </w:rPr>
            </w:pPr>
            <w:r>
              <w:rPr>
                <w:rFonts w:ascii="Arial" w:cs="Arial" w:eastAsia="Arial" w:hAnsi="Arial"/>
                <w:sz w:val="22"/>
                <w:szCs w:val="22"/>
                <w:color w:val="auto"/>
                <w:w w:val="79"/>
              </w:rPr>
              <w:t>16.0</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64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per common share</w:t>
            </w:r>
          </w:p>
        </w:tc>
        <w:tc>
          <w:tcPr>
            <w:tcW w:w="2080" w:type="dxa"/>
            <w:vAlign w:val="bottom"/>
            <w:gridSpan w:val="2"/>
            <w:shd w:val="clear" w:color="auto" w:fill="CCEEFF"/>
          </w:tcPr>
          <w:p>
            <w:pPr>
              <w:jc w:val="right"/>
              <w:ind w:right="545"/>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3"/>
              </w:rPr>
              <w:t>0.26</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9"/>
                <w:szCs w:val="19"/>
                <w:color w:val="auto"/>
                <w:w w:val="75"/>
              </w:rPr>
              <w:t>$</w:t>
            </w:r>
          </w:p>
        </w:tc>
        <w:tc>
          <w:tcPr>
            <w:tcW w:w="6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3"/>
              </w:rPr>
              <w:t>0.17</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ind w:left="500"/>
              <w:spacing w:after="0" w:line="243" w:lineRule="exact"/>
              <w:rPr>
                <w:sz w:val="20"/>
                <w:szCs w:val="20"/>
                <w:color w:val="auto"/>
              </w:rPr>
            </w:pPr>
            <w:r>
              <w:rPr>
                <w:rFonts w:ascii="Arial" w:cs="Arial" w:eastAsia="Arial" w:hAnsi="Arial"/>
                <w:sz w:val="22"/>
                <w:szCs w:val="22"/>
                <w:color w:val="auto"/>
              </w:rPr>
              <w:t>1.29</w:t>
            </w:r>
          </w:p>
        </w:tc>
        <w:tc>
          <w:tcPr>
            <w:tcW w:w="360" w:type="dxa"/>
            <w:vAlign w:val="bottom"/>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w w:val="81"/>
              </w:rPr>
              <w:t>$</w:t>
            </w:r>
          </w:p>
        </w:tc>
        <w:tc>
          <w:tcPr>
            <w:tcW w:w="8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0.83</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1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line="243" w:lineRule="exact"/>
              <w:rPr>
                <w:sz w:val="20"/>
                <w:szCs w:val="20"/>
                <w:color w:val="auto"/>
              </w:rPr>
            </w:pPr>
            <w:r>
              <w:rPr>
                <w:rFonts w:ascii="Arial" w:cs="Arial" w:eastAsia="Arial" w:hAnsi="Arial"/>
                <w:sz w:val="22"/>
                <w:szCs w:val="22"/>
                <w:color w:val="auto"/>
              </w:rPr>
              <w:t>shares outstanding</w:t>
            </w: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w w:val="83"/>
              </w:rPr>
              <w:t>12.4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83"/>
              </w:rPr>
              <w:t>12.5</w:t>
            </w:r>
          </w:p>
        </w:tc>
        <w:tc>
          <w:tcPr>
            <w:tcW w:w="240" w:type="dxa"/>
            <w:vAlign w:val="bottom"/>
          </w:tcPr>
          <w:p>
            <w:pPr>
              <w:spacing w:after="0"/>
              <w:rPr>
                <w:sz w:val="21"/>
                <w:szCs w:val="21"/>
                <w:color w:val="auto"/>
              </w:rPr>
            </w:pPr>
          </w:p>
        </w:tc>
        <w:tc>
          <w:tcPr>
            <w:tcW w:w="1080" w:type="dxa"/>
            <w:vAlign w:val="bottom"/>
            <w:gridSpan w:val="2"/>
          </w:tcPr>
          <w:p>
            <w:pPr>
              <w:ind w:left="500"/>
              <w:spacing w:after="0" w:line="243" w:lineRule="exact"/>
              <w:rPr>
                <w:sz w:val="20"/>
                <w:szCs w:val="20"/>
                <w:color w:val="auto"/>
              </w:rPr>
            </w:pPr>
            <w:r>
              <w:rPr>
                <w:rFonts w:ascii="Arial" w:cs="Arial" w:eastAsia="Arial" w:hAnsi="Arial"/>
                <w:sz w:val="22"/>
                <w:szCs w:val="22"/>
                <w:color w:val="auto"/>
              </w:rPr>
              <w:t>12.4</w:t>
            </w:r>
          </w:p>
        </w:tc>
        <w:tc>
          <w:tcPr>
            <w:tcW w:w="360" w:type="dxa"/>
            <w:vAlign w:val="bottom"/>
          </w:tcPr>
          <w:p>
            <w:pPr>
              <w:spacing w:after="0"/>
              <w:rPr>
                <w:sz w:val="21"/>
                <w:szCs w:val="21"/>
                <w:color w:val="auto"/>
              </w:rPr>
            </w:pPr>
          </w:p>
        </w:tc>
        <w:tc>
          <w:tcPr>
            <w:tcW w:w="8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340" w:type="dxa"/>
            <w:vAlign w:val="bottom"/>
            <w:vMerge w:val="restart"/>
          </w:tcPr>
          <w:p>
            <w:pPr>
              <w:jc w:val="right"/>
              <w:ind w:right="144"/>
              <w:spacing w:after="0"/>
              <w:rPr>
                <w:sz w:val="20"/>
                <w:szCs w:val="20"/>
                <w:color w:val="auto"/>
              </w:rPr>
            </w:pPr>
            <w:r>
              <w:rPr>
                <w:rFonts w:ascii="Arial" w:cs="Arial" w:eastAsia="Arial" w:hAnsi="Arial"/>
                <w:sz w:val="14"/>
                <w:szCs w:val="14"/>
                <w:color w:val="auto"/>
              </w:rPr>
              <w:t>- 4 -</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46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5732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ANNOUNCES INCREASE IN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DALLAS, TEXAS . . . March 3, 2021 . . . CompX International Inc. (NYSE American: CIX) announced today a $0.10 per share increase in its regular quarterly dividend. CompX’s board of directors has declared a regular quarterly dividend of twenty cents ($0.20) per share on its class A common stock, payable on March 23, 2021 to stockholders of record at the close of business on March 15,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2" Type="http://schemas.openxmlformats.org/officeDocument/2006/relationships/hyperlink" Target="https://www.sec.gov/Archives/edgar/data/1049606/000156459021010577/cix-ex33_7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2021-03-03T15:44:02Z</dcterms:created>
  <dcterms:modified xsi:type="dcterms:W3CDTF">2021-03-03T15:44:02Z</dcterms:modified>
</cp:coreProperties>
</file>