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103505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QUARTERLY REPORT UNDER SECTION 13 OR 15(d) OF THE SECURITIES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COMPX INTERNATIONAL INC.</w:t>
      </w:r>
    </w:p>
    <w:p>
      <w:pPr>
        <w:spacing w:after="0" w:line="35" w:lineRule="exact"/>
        <w:rPr>
          <w:sz w:val="24"/>
          <w:szCs w:val="24"/>
          <w:color w:val="auto"/>
        </w:rPr>
      </w:pPr>
    </w:p>
    <w:tbl>
      <w:tblPr>
        <w:tblLayout w:type="fixed"/>
        <w:tblInd w:w="1440" w:type="dxa"/>
        <w:tblCellMar>
          <w:top w:w="0" w:type="dxa"/>
          <w:left w:w="0" w:type="dxa"/>
          <w:bottom w:w="0" w:type="dxa"/>
          <w:right w:w="0" w:type="dxa"/>
        </w:tblCellMar>
      </w:tblPr>
      <w:tr>
        <w:trPr>
          <w:trHeight w:val="230"/>
        </w:trPr>
        <w:tc>
          <w:tcPr>
            <w:tcW w:w="6400" w:type="dxa"/>
            <w:vAlign w:val="bottom"/>
          </w:tcPr>
          <w:p>
            <w:pPr>
              <w:ind w:left="2420"/>
              <w:spacing w:after="0"/>
              <w:rPr>
                <w:sz w:val="20"/>
                <w:szCs w:val="20"/>
                <w:color w:val="auto"/>
              </w:rPr>
            </w:pPr>
            <w:r>
              <w:rPr>
                <w:rFonts w:ascii="Arial" w:cs="Arial" w:eastAsia="Arial" w:hAnsi="Arial"/>
                <w:sz w:val="18"/>
                <w:szCs w:val="18"/>
                <w:color w:val="auto"/>
                <w:w w:val="96"/>
              </w:rPr>
              <w:t>(Exact name of registrant as specified in its charter)</w:t>
            </w:r>
          </w:p>
        </w:tc>
        <w:tc>
          <w:tcPr>
            <w:tcW w:w="1320" w:type="dxa"/>
            <w:vAlign w:val="bottom"/>
          </w:tcPr>
          <w:p>
            <w:pPr>
              <w:spacing w:after="0"/>
              <w:rPr>
                <w:sz w:val="20"/>
                <w:szCs w:val="20"/>
                <w:color w:val="auto"/>
              </w:rPr>
            </w:pPr>
          </w:p>
        </w:tc>
      </w:tr>
      <w:tr>
        <w:trPr>
          <w:trHeight w:val="424"/>
        </w:trPr>
        <w:tc>
          <w:tcPr>
            <w:tcW w:w="6400" w:type="dxa"/>
            <w:vAlign w:val="bottom"/>
          </w:tcPr>
          <w:p>
            <w:pPr>
              <w:jc w:val="center"/>
              <w:ind w:right="3578"/>
              <w:spacing w:after="0"/>
              <w:rPr>
                <w:sz w:val="20"/>
                <w:szCs w:val="20"/>
                <w:color w:val="auto"/>
              </w:rPr>
            </w:pPr>
            <w:r>
              <w:rPr>
                <w:rFonts w:ascii="Arial" w:cs="Arial" w:eastAsia="Arial" w:hAnsi="Arial"/>
                <w:sz w:val="18"/>
                <w:szCs w:val="18"/>
                <w:b w:val="1"/>
                <w:bCs w:val="1"/>
                <w:color w:val="auto"/>
                <w:w w:val="93"/>
              </w:rPr>
              <w:t>Delaware</w:t>
            </w:r>
          </w:p>
        </w:tc>
        <w:tc>
          <w:tcPr>
            <w:tcW w:w="1320" w:type="dxa"/>
            <w:vAlign w:val="bottom"/>
          </w:tcPr>
          <w:p>
            <w:pPr>
              <w:jc w:val="center"/>
              <w:ind w:left="161"/>
              <w:spacing w:after="0"/>
              <w:rPr>
                <w:sz w:val="20"/>
                <w:szCs w:val="20"/>
                <w:color w:val="auto"/>
              </w:rPr>
            </w:pPr>
            <w:r>
              <w:rPr>
                <w:rFonts w:ascii="Arial" w:cs="Arial" w:eastAsia="Arial" w:hAnsi="Arial"/>
                <w:sz w:val="18"/>
                <w:szCs w:val="18"/>
                <w:b w:val="1"/>
                <w:bCs w:val="1"/>
                <w:color w:val="auto"/>
                <w:w w:val="91"/>
              </w:rPr>
              <w:t>57-0981653</w:t>
            </w:r>
          </w:p>
        </w:tc>
      </w:tr>
      <w:tr>
        <w:trPr>
          <w:trHeight w:val="149"/>
        </w:trPr>
        <w:tc>
          <w:tcPr>
            <w:tcW w:w="6400" w:type="dxa"/>
            <w:vAlign w:val="bottom"/>
          </w:tcPr>
          <w:p>
            <w:pPr>
              <w:jc w:val="center"/>
              <w:ind w:right="357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20" w:type="dxa"/>
            <w:vAlign w:val="bottom"/>
          </w:tcPr>
          <w:p>
            <w:pPr>
              <w:jc w:val="center"/>
              <w:ind w:left="16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6400" w:type="dxa"/>
            <w:vAlign w:val="bottom"/>
          </w:tcPr>
          <w:p>
            <w:pPr>
              <w:jc w:val="center"/>
              <w:ind w:right="3578"/>
              <w:spacing w:after="0"/>
              <w:rPr>
                <w:sz w:val="20"/>
                <w:szCs w:val="20"/>
                <w:color w:val="auto"/>
              </w:rPr>
            </w:pPr>
            <w:r>
              <w:rPr>
                <w:rFonts w:ascii="Arial" w:cs="Arial" w:eastAsia="Arial" w:hAnsi="Arial"/>
                <w:sz w:val="14"/>
                <w:szCs w:val="14"/>
                <w:color w:val="auto"/>
                <w:w w:val="95"/>
              </w:rPr>
              <w:t>Incorporation or organization)</w:t>
            </w:r>
          </w:p>
        </w:tc>
        <w:tc>
          <w:tcPr>
            <w:tcW w:w="1320" w:type="dxa"/>
            <w:vAlign w:val="bottom"/>
          </w:tcPr>
          <w:p>
            <w:pPr>
              <w:jc w:val="center"/>
              <w:ind w:left="16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6400" w:type="dxa"/>
            <w:vAlign w:val="bottom"/>
          </w:tcPr>
          <w:p>
            <w:pPr>
              <w:jc w:val="center"/>
              <w:ind w:right="3578"/>
              <w:spacing w:after="0"/>
              <w:rPr>
                <w:sz w:val="20"/>
                <w:szCs w:val="20"/>
                <w:color w:val="auto"/>
              </w:rPr>
            </w:pPr>
            <w:r>
              <w:rPr>
                <w:rFonts w:ascii="Arial" w:cs="Arial" w:eastAsia="Arial" w:hAnsi="Arial"/>
                <w:sz w:val="18"/>
                <w:szCs w:val="18"/>
                <w:b w:val="1"/>
                <w:bCs w:val="1"/>
                <w:color w:val="auto"/>
                <w:w w:val="89"/>
              </w:rPr>
              <w:t>5430 LBJ Freeway, Suite 1700,</w:t>
            </w:r>
          </w:p>
        </w:tc>
        <w:tc>
          <w:tcPr>
            <w:tcW w:w="1320" w:type="dxa"/>
            <w:vAlign w:val="bottom"/>
          </w:tcPr>
          <w:p>
            <w:pPr>
              <w:spacing w:after="0"/>
              <w:rPr>
                <w:sz w:val="24"/>
                <w:szCs w:val="24"/>
                <w:color w:val="auto"/>
              </w:rPr>
            </w:pPr>
          </w:p>
        </w:tc>
      </w:tr>
      <w:tr>
        <w:trPr>
          <w:trHeight w:val="229"/>
        </w:trPr>
        <w:tc>
          <w:tcPr>
            <w:tcW w:w="6400" w:type="dxa"/>
            <w:vAlign w:val="bottom"/>
          </w:tcPr>
          <w:p>
            <w:pPr>
              <w:jc w:val="center"/>
              <w:ind w:right="3578"/>
              <w:spacing w:after="0"/>
              <w:rPr>
                <w:sz w:val="20"/>
                <w:szCs w:val="20"/>
                <w:color w:val="auto"/>
              </w:rPr>
            </w:pPr>
            <w:r>
              <w:rPr>
                <w:rFonts w:ascii="Arial" w:cs="Arial" w:eastAsia="Arial" w:hAnsi="Arial"/>
                <w:sz w:val="18"/>
                <w:szCs w:val="18"/>
                <w:b w:val="1"/>
                <w:bCs w:val="1"/>
                <w:color w:val="auto"/>
                <w:w w:val="90"/>
              </w:rPr>
              <w:t>Three Lincoln Centre, Dallas, Texas</w:t>
            </w:r>
          </w:p>
        </w:tc>
        <w:tc>
          <w:tcPr>
            <w:tcW w:w="1320" w:type="dxa"/>
            <w:vAlign w:val="bottom"/>
          </w:tcPr>
          <w:p>
            <w:pPr>
              <w:jc w:val="center"/>
              <w:ind w:left="161"/>
              <w:spacing w:after="0"/>
              <w:rPr>
                <w:sz w:val="20"/>
                <w:szCs w:val="20"/>
                <w:color w:val="auto"/>
              </w:rPr>
            </w:pPr>
            <w:r>
              <w:rPr>
                <w:rFonts w:ascii="Arial" w:cs="Arial" w:eastAsia="Arial" w:hAnsi="Arial"/>
                <w:sz w:val="18"/>
                <w:szCs w:val="18"/>
                <w:b w:val="1"/>
                <w:bCs w:val="1"/>
                <w:color w:val="auto"/>
                <w:w w:val="91"/>
              </w:rPr>
              <w:t>75240-2620</w:t>
            </w:r>
          </w:p>
        </w:tc>
      </w:tr>
      <w:tr>
        <w:trPr>
          <w:trHeight w:val="182"/>
        </w:trPr>
        <w:tc>
          <w:tcPr>
            <w:tcW w:w="6400" w:type="dxa"/>
            <w:vAlign w:val="bottom"/>
          </w:tcPr>
          <w:p>
            <w:pPr>
              <w:jc w:val="center"/>
              <w:ind w:right="3578"/>
              <w:spacing w:after="0"/>
              <w:rPr>
                <w:sz w:val="20"/>
                <w:szCs w:val="20"/>
                <w:color w:val="auto"/>
              </w:rPr>
            </w:pPr>
            <w:r>
              <w:rPr>
                <w:rFonts w:ascii="Arial" w:cs="Arial" w:eastAsia="Arial" w:hAnsi="Arial"/>
                <w:sz w:val="14"/>
                <w:szCs w:val="14"/>
                <w:color w:val="auto"/>
                <w:w w:val="95"/>
              </w:rPr>
              <w:t>(Address of principal executive offices)</w:t>
            </w:r>
          </w:p>
        </w:tc>
        <w:tc>
          <w:tcPr>
            <w:tcW w:w="1320" w:type="dxa"/>
            <w:vAlign w:val="bottom"/>
          </w:tcPr>
          <w:p>
            <w:pPr>
              <w:jc w:val="center"/>
              <w:ind w:left="161"/>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85"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CIX</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81"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2" w:lineRule="exact"/>
        <w:rPr>
          <w:sz w:val="24"/>
          <w:szCs w:val="24"/>
          <w:color w:val="auto"/>
        </w:rPr>
      </w:pPr>
    </w:p>
    <w:p>
      <w:pPr>
        <w:spacing w:after="0" w:line="184" w:lineRule="exact"/>
        <w:tabs>
          <w:tab w:leader="none" w:pos="1880" w:val="left"/>
          <w:tab w:leader="none" w:pos="338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6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spacing w:after="0" w:line="184" w:lineRule="exact"/>
        <w:tabs>
          <w:tab w:leader="none" w:pos="7940" w:val="left"/>
          <w:tab w:leader="none" w:pos="85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rPr>
        <w:t>☒</w:t>
      </w:r>
      <w:r>
        <w:rPr>
          <w:rFonts w:ascii="Arial" w:cs="Arial" w:eastAsia="Arial" w:hAnsi="Arial"/>
          <w:sz w:val="15"/>
          <w:szCs w:val="15"/>
          <w:b w:val="1"/>
          <w:bCs w:val="1"/>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July 31, 2019, the registrant had 12,443,057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376555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rPr>
              <w:t>COMPX INTERNATIONAL INC.</w:t>
            </w:r>
          </w:p>
        </w:tc>
        <w:tc>
          <w:tcPr>
            <w:tcW w:w="82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2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w w:val="93"/>
              </w:rPr>
              <w:t>Index</w:t>
            </w:r>
          </w:p>
        </w:tc>
        <w:tc>
          <w:tcPr>
            <w:tcW w:w="820" w:type="dxa"/>
            <w:vAlign w:val="bottom"/>
          </w:tcPr>
          <w:p>
            <w:pPr>
              <w:spacing w:after="0"/>
              <w:rPr>
                <w:sz w:val="24"/>
                <w:szCs w:val="24"/>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18"/>
                <w:szCs w:val="18"/>
                <w:color w:val="auto"/>
              </w:rPr>
            </w:pPr>
          </w:p>
        </w:tc>
      </w:tr>
      <w:tr>
        <w:trPr>
          <w:trHeight w:val="296"/>
        </w:trPr>
        <w:tc>
          <w:tcPr>
            <w:tcW w:w="900" w:type="dxa"/>
            <w:vAlign w:val="bottom"/>
          </w:tcPr>
          <w:p>
            <w:pPr>
              <w:spacing w:after="0"/>
              <w:rPr>
                <w:sz w:val="24"/>
                <w:szCs w:val="24"/>
                <w:color w:val="auto"/>
              </w:rPr>
            </w:pPr>
          </w:p>
        </w:tc>
        <w:tc>
          <w:tcPr>
            <w:tcW w:w="67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December 31, 2018 and June 30, 2019 (unaudited)</w:t>
              </w:r>
            </w:hyperlink>
          </w:p>
        </w:tc>
        <w:tc>
          <w:tcPr>
            <w:tcW w:w="2940" w:type="dxa"/>
            <w:vAlign w:val="bottom"/>
            <w:gridSpan w:val="4"/>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- 3 -</w:t>
            </w:r>
          </w:p>
        </w:tc>
      </w:tr>
      <w:tr>
        <w:trPr>
          <w:trHeight w:val="318"/>
        </w:trPr>
        <w:tc>
          <w:tcPr>
            <w:tcW w:w="900" w:type="dxa"/>
            <w:vAlign w:val="bottom"/>
          </w:tcPr>
          <w:p>
            <w:pPr>
              <w:spacing w:after="0"/>
              <w:rPr>
                <w:sz w:val="24"/>
                <w:szCs w:val="24"/>
                <w:color w:val="auto"/>
              </w:rPr>
            </w:pPr>
          </w:p>
        </w:tc>
        <w:tc>
          <w:tcPr>
            <w:tcW w:w="82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and six months ended June 30, 2018 and 2019</w:t>
              </w:r>
            </w:hyperlink>
          </w:p>
        </w:tc>
        <w:tc>
          <w:tcPr>
            <w:tcW w:w="144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- 4 -</w:t>
            </w:r>
          </w:p>
        </w:tc>
      </w:tr>
      <w:tr>
        <w:trPr>
          <w:trHeight w:val="318"/>
        </w:trPr>
        <w:tc>
          <w:tcPr>
            <w:tcW w:w="90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Stockholders’ Equity (unaudited) – Three and six months ended June 30, 2018 and 2019</w:t>
              </w:r>
            </w:hyperlink>
          </w:p>
        </w:tc>
        <w:tc>
          <w:tcPr>
            <w:tcW w:w="4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- 5 -</w:t>
            </w:r>
          </w:p>
        </w:tc>
      </w:tr>
      <w:tr>
        <w:trPr>
          <w:trHeight w:val="318"/>
        </w:trPr>
        <w:tc>
          <w:tcPr>
            <w:tcW w:w="900" w:type="dxa"/>
            <w:vAlign w:val="bottom"/>
          </w:tcPr>
          <w:p>
            <w:pPr>
              <w:spacing w:after="0"/>
              <w:rPr>
                <w:sz w:val="24"/>
                <w:szCs w:val="24"/>
                <w:color w:val="auto"/>
              </w:rPr>
            </w:pPr>
          </w:p>
        </w:tc>
        <w:tc>
          <w:tcPr>
            <w:tcW w:w="970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Six months ended June 30, 2018 and 2019</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- 6 -</w:t>
            </w:r>
          </w:p>
        </w:tc>
      </w:tr>
      <w:tr>
        <w:trPr>
          <w:trHeight w:val="318"/>
        </w:trPr>
        <w:tc>
          <w:tcPr>
            <w:tcW w:w="900" w:type="dxa"/>
            <w:vAlign w:val="bottom"/>
          </w:tcPr>
          <w:p>
            <w:pPr>
              <w:spacing w:after="0"/>
              <w:rPr>
                <w:sz w:val="24"/>
                <w:szCs w:val="24"/>
                <w:color w:val="auto"/>
              </w:rPr>
            </w:pPr>
          </w:p>
        </w:tc>
        <w:tc>
          <w:tcPr>
            <w:tcW w:w="778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920" w:type="dxa"/>
            <w:vAlign w:val="bottom"/>
            <w:gridSpan w:val="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- 7 -</w:t>
            </w: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auto"/>
                <w:w w:val="90"/>
              </w:rPr>
              <w:t>- 11 -</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700" w:type="dxa"/>
            <w:vAlign w:val="bottom"/>
            <w:gridSpan w:val="1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 About Market Risk</w:t>
              </w:r>
            </w:hyperlink>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- 15 -</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5420" w:type="dxa"/>
            <w:vAlign w:val="bottom"/>
            <w:gridSpan w:val="7"/>
          </w:tcPr>
          <w:p>
            <w:pPr>
              <w:spacing w:after="0"/>
              <w:rPr>
                <w:sz w:val="24"/>
                <w:szCs w:val="24"/>
                <w:color w:val="auto"/>
              </w:rPr>
            </w:pP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- 15 -</w:t>
            </w: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2"/>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820" w:type="dxa"/>
            <w:vAlign w:val="bottom"/>
          </w:tcPr>
          <w:p>
            <w:pPr>
              <w:spacing w:after="0"/>
              <w:rPr>
                <w:sz w:val="24"/>
                <w:szCs w:val="24"/>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2020" w:type="dxa"/>
            <w:vAlign w:val="bottom"/>
            <w:tcBorders>
              <w:top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680" w:type="dxa"/>
            <w:vAlign w:val="bottom"/>
            <w:gridSpan w:val="8"/>
          </w:tcPr>
          <w:p>
            <w:pPr>
              <w:spacing w:after="0"/>
              <w:rPr>
                <w:sz w:val="24"/>
                <w:szCs w:val="24"/>
                <w:color w:val="auto"/>
              </w:rPr>
            </w:pP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- 17 -</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800" w:type="dxa"/>
            <w:vAlign w:val="bottom"/>
            <w:gridSpan w:val="10"/>
          </w:tcPr>
          <w:p>
            <w:pPr>
              <w:spacing w:after="0"/>
              <w:rPr>
                <w:sz w:val="24"/>
                <w:szCs w:val="24"/>
                <w:color w:val="auto"/>
              </w:rPr>
            </w:pP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95"/>
              </w:rPr>
              <w:t>- 17 -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shd w:val="clear" w:color="auto" w:fill="CFF0FC"/>
          </w:tcPr>
          <w:p>
            <w:pPr>
              <w:jc w:val="center"/>
              <w:ind w:right="92"/>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76,285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67,073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95,451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95,668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166,429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171,433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12,504</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166,429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171,433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160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89"/>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r>
      <w:tr>
        <w:trPr>
          <w:trHeight w:val="156"/>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495"/>
              <w:spacing w:after="0" w:line="155"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center"/>
              <w:ind w:left="395"/>
              <w:spacing w:after="0" w:line="155"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33,730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60,798</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64,907</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44,344</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10,939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20,563</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10,650</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5,622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9,913</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6,450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11,577</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2,696</w:t>
            </w:r>
          </w:p>
        </w:tc>
        <w:tc>
          <w:tcPr>
            <w:tcW w:w="120" w:type="dxa"/>
            <w:vAlign w:val="bottom"/>
            <w:tcBorders>
              <w:bottom w:val="single" w:sz="8" w:color="CFF0FC"/>
            </w:tcBorders>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4,895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8,723</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8,881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5800" w:type="dxa"/>
            <w:vAlign w:val="bottom"/>
          </w:tcPr>
          <w:p>
            <w:pPr>
              <w:spacing w:after="0"/>
              <w:rPr>
                <w:sz w:val="20"/>
                <w:szCs w:val="20"/>
                <w:color w:val="auto"/>
              </w:rPr>
            </w:pPr>
            <w:r>
              <w:rPr>
                <w:rFonts w:ascii="Arial" w:cs="Arial" w:eastAsia="Arial" w:hAnsi="Arial"/>
                <w:sz w:val="18"/>
                <w:szCs w:val="18"/>
                <w:color w:val="auto"/>
              </w:rPr>
              <w:t>Basic and diluted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Pr>
          <w:p>
            <w:pPr>
              <w:spacing w:after="0"/>
              <w:rPr>
                <w:sz w:val="24"/>
                <w:szCs w:val="24"/>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28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0.70</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0.71</w:t>
            </w:r>
          </w:p>
        </w:tc>
        <w:tc>
          <w:tcPr>
            <w:tcW w:w="120" w:type="dxa"/>
            <w:vAlign w:val="bottom"/>
          </w:tcPr>
          <w:p>
            <w:pPr>
              <w:spacing w:after="0"/>
              <w:rPr>
                <w:sz w:val="24"/>
                <w:szCs w:val="24"/>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58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12,439</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12,437</w:t>
            </w:r>
          </w:p>
        </w:tc>
        <w:tc>
          <w:tcPr>
            <w:tcW w:w="120" w:type="dxa"/>
            <w:vAlign w:val="bottom"/>
          </w:tcPr>
          <w:p>
            <w:pPr>
              <w:spacing w:after="0"/>
              <w:rPr>
                <w:sz w:val="24"/>
                <w:szCs w:val="24"/>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w w:val="92"/>
              </w:rPr>
              <w:t>For the three and six months ended June 30, 2018</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46"/>
        </w:trPr>
        <w:tc>
          <w:tcPr>
            <w:tcW w:w="4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r>
      <w:tr>
        <w:trPr>
          <w:trHeight w:val="171"/>
        </w:trPr>
        <w:tc>
          <w:tcPr>
            <w:tcW w:w="4240" w:type="dxa"/>
            <w:vAlign w:val="bottom"/>
          </w:tcPr>
          <w:p>
            <w:pPr>
              <w:spacing w:after="0"/>
              <w:rPr>
                <w:sz w:val="14"/>
                <w:szCs w:val="14"/>
                <w:color w:val="auto"/>
              </w:rPr>
            </w:pPr>
          </w:p>
        </w:tc>
        <w:tc>
          <w:tcPr>
            <w:tcW w:w="2560" w:type="dxa"/>
            <w:vAlign w:val="bottom"/>
            <w:gridSpan w:val="6"/>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42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Class A</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equity</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($0.05 per share)</w:t>
            </w: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83,954</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139,690</w:t>
            </w:r>
          </w:p>
        </w:tc>
        <w:tc>
          <w:tcPr>
            <w:tcW w:w="100" w:type="dxa"/>
            <w:vAlign w:val="bottom"/>
          </w:tcPr>
          <w:p>
            <w:pPr>
              <w:spacing w:after="0"/>
              <w:rPr>
                <w:sz w:val="19"/>
                <w:szCs w:val="19"/>
                <w:color w:val="auto"/>
              </w:rPr>
            </w:pPr>
          </w:p>
        </w:tc>
      </w:tr>
      <w:tr>
        <w:trPr>
          <w:trHeight w:val="458"/>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24"/>
                <w:szCs w:val="2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24"/>
                <w:szCs w:val="24"/>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Cash dividends ($0.05 per share)</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3"/>
              </w:rPr>
              <w:t>Class A</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95"/>
              <w:spacing w:after="0" w:line="147"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common</w:t>
            </w:r>
          </w:p>
        </w:tc>
        <w:tc>
          <w:tcPr>
            <w:tcW w:w="1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stock</w:t>
            </w: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3"/>
        </w:trPr>
        <w:tc>
          <w:tcPr>
            <w:tcW w:w="4240" w:type="dxa"/>
            <w:vAlign w:val="bottom"/>
            <w:gridSpan w:val="2"/>
            <w:vMerge w:val="continue"/>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93,687</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dividends ($0.07 per share)</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96,803</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($0.07 per share)</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55,869</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100,826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4"/>
          </w:tcPr>
          <w:p>
            <w:pPr>
              <w:jc w:val="center"/>
              <w:ind w:left="433"/>
              <w:spacing w:after="0"/>
              <w:rPr>
                <w:sz w:val="20"/>
                <w:szCs w:val="20"/>
                <w:color w:val="auto"/>
              </w:rPr>
            </w:pPr>
            <w:r>
              <w:rPr>
                <w:rFonts w:ascii="Arial" w:cs="Arial" w:eastAsia="Arial" w:hAnsi="Arial"/>
                <w:sz w:val="14"/>
                <w:szCs w:val="14"/>
                <w:b w:val="1"/>
                <w:bCs w:val="1"/>
                <w:color w:val="auto"/>
                <w:w w:val="91"/>
              </w:rPr>
              <w:t>Six months ended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left="433"/>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8,723</w:t>
            </w:r>
          </w:p>
        </w:tc>
        <w:tc>
          <w:tcPr>
            <w:tcW w:w="180" w:type="dxa"/>
            <w:vAlign w:val="bottom"/>
          </w:tcPr>
          <w:p>
            <w:pPr>
              <w:spacing w:after="0"/>
              <w:rPr>
                <w:sz w:val="19"/>
                <w:szCs w:val="19"/>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(2,770)</w:t>
            </w:r>
          </w:p>
        </w:tc>
        <w:tc>
          <w:tcPr>
            <w:tcW w:w="0" w:type="dxa"/>
            <w:vAlign w:val="bottom"/>
          </w:tcPr>
          <w:p>
            <w:pPr>
              <w:spacing w:after="0"/>
              <w:rPr>
                <w:sz w:val="1"/>
                <w:szCs w:val="1"/>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(839)</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(1,929)</w:t>
            </w:r>
          </w:p>
        </w:tc>
        <w:tc>
          <w:tcPr>
            <w:tcW w:w="0" w:type="dxa"/>
            <w:vAlign w:val="bottom"/>
          </w:tcPr>
          <w:p>
            <w:pPr>
              <w:spacing w:after="0"/>
              <w:rPr>
                <w:sz w:val="1"/>
                <w:szCs w:val="1"/>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(1,811)</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fixed assets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Note receivable from affiliate: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Collections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Advances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(28,100)</w:t>
            </w:r>
          </w:p>
        </w:tc>
        <w:tc>
          <w:tcPr>
            <w:tcW w:w="0" w:type="dxa"/>
            <w:vAlign w:val="bottom"/>
          </w:tcPr>
          <w:p>
            <w:pPr>
              <w:spacing w:after="0"/>
              <w:rPr>
                <w:sz w:val="1"/>
                <w:szCs w:val="1"/>
                <w:color w:val="auto"/>
              </w:rPr>
            </w:pPr>
          </w:p>
        </w:tc>
      </w:tr>
      <w:tr>
        <w:trPr>
          <w:trHeight w:val="223"/>
        </w:trPr>
        <w:tc>
          <w:tcPr>
            <w:tcW w:w="85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flows from financing activities -</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(1,742)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and cash equivalents - net change from:</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(3,497)</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Supplemental disclosures -</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i w:val="1"/>
          <w:iCs w:val="1"/>
          <w:color w:val="auto"/>
        </w:rPr>
        <w:t>Organization</w:t>
      </w:r>
      <w:r>
        <w:rPr>
          <w:rFonts w:ascii="Arial" w:cs="Arial" w:eastAsia="Arial" w:hAnsi="Arial"/>
          <w:sz w:val="16"/>
          <w:szCs w:val="16"/>
          <w:color w:val="auto"/>
        </w:rPr>
        <w:t>. We (NYSE American: CIX) are 86% owned by NL Industries, Inc. (NYSE: NL) at June 30, 2019. We manufacture and sell component</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(security products and recreational marine components). At June 30, 2019, Valhi, Inc. (NYSE: VHI) owns 83% of NL’s outstanding common stock and a wholly-owned subsidiary of Contran Corporation owns 92% of Valhi’s outstanding common stock. At June 30, 2019, all of Contran’s outstanding voting stock was held by a family trust established for the benefit of Lisa K. Simmons and Serena Simmons Connelly and their children, for which Ms. Simmons and Ms. Connelly were co-trustees (the “Family Trust”), or was held directly by Ms. Simmons and Ms. Connelly or various other family trusts established for the benefit of Ms. Simmons and Ms. Connelly and their children and for which Ms. Simmons or Ms. Connelly, applicable, serve as trustee (collectively, the “Other Trusts”). Consequently, at June 30, 2019, Ms. Simmons and Ms. Connelly may be deemed to control Contran, Valhi, NL and us.</w:t>
      </w:r>
    </w:p>
    <w:p>
      <w:pPr>
        <w:spacing w:after="0" w:line="5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Effective July 16, 2019, and upon entry of an agreed final judgment by the probate court of Dallas County in the state of Texas, Ms. Simmons and Ms. Connelly appointed two third parties as successor co-trustees of the Family Trust. Ms. Simmons and Ms. Connelly retain the ability to appoint qualifying successor trustees of the Family Trust if either or both of the third party successor trustees resign or otherwise do not serve as trustee. Following such appointment, a majority of Contran’s outstanding voting stock is held directly by Ms. Simmons and Ms. Connelly and the Other Trusts and the remainder of Contran’s outstanding voting stock is held by the Family Trust. Consequently, as of July 16, 2019, Ms. Simmons and Ms. Connelly and the trustees of the Family Trust may be deemed to control Contran and us.</w:t>
      </w:r>
    </w:p>
    <w:p>
      <w:pPr>
        <w:spacing w:after="0" w:line="19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 subsidiaries. The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contained in this Quarterly Report have been prepared on the same basis as the audited Consolidated Financial Statements included in our Annual Report on Form 10-K for the year ended December 31, 2018 that we filed with the Securities and Exchange Commission (“SEC”) on February 27, 2019 (the “2018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2018 contained in this Quarterly Report as compared to our audited Consolidated Financial Statements at that date, and we have omitted certain information and footnote disclosures (including those related to the Consolidated Balance Sheet at December 31, 2018) normally included in financial statements prepared in accordance with accounting principles generally accepted in the United States of America (“GAAP”). Our results of operations for the interim periods ended June 30, 2019 may not be indicative of our operating results for the full year. The Condensed Consolidated Financial Statements contained in this Quarterly Report should be read in conjunction with our 2018 Consolidated Financial Statements contained in our 2018 Annual Report.</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operations are reported on a 52 or 53-week year. For presentation purposes, annual and quarterly information in the Condensed Consolidated Financial Statements and accompanying notes are presented as ended June 30, 2018, December 31, 2018 and June 30, 2019. The actual dates of our annual and quarterly periods are July 1, 2018, December 30, 2018 and June 30, 2019,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6"/>
          </w:tcPr>
          <w:p>
            <w:pPr>
              <w:jc w:val="center"/>
              <w:ind w:right="348"/>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336"/>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7"/>
          </w:tcPr>
          <w:p>
            <w:pPr>
              <w:jc w:val="center"/>
              <w:ind w:right="7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27,248</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26,927</w:t>
            </w:r>
          </w:p>
        </w:tc>
        <w:tc>
          <w:tcPr>
            <w:tcW w:w="18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51,304</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51,631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6,803</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9,494</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13,276</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2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32,385</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33,730</w:t>
            </w:r>
          </w:p>
        </w:tc>
        <w:tc>
          <w:tcPr>
            <w:tcW w:w="1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60,798</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64,907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2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6,048</w:t>
            </w:r>
          </w:p>
        </w:tc>
        <w:tc>
          <w:tcPr>
            <w:tcW w:w="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12,426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11,124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(1,767)</w:t>
            </w:r>
          </w:p>
        </w:tc>
        <w:tc>
          <w:tcPr>
            <w:tcW w:w="3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(1,706)</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(3,592)</w:t>
            </w:r>
          </w:p>
        </w:tc>
        <w:tc>
          <w:tcPr>
            <w:tcW w:w="1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(3,392)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5,622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10,357</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828</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Income before taxes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6,450</w:t>
            </w:r>
          </w:p>
        </w:tc>
        <w:tc>
          <w:tcPr>
            <w:tcW w:w="1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11,569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11,577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32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10,596</w:t>
            </w:r>
          </w:p>
        </w:tc>
        <w:tc>
          <w:tcPr>
            <w:tcW w:w="20" w:type="dxa"/>
            <w:vAlign w:val="bottom"/>
          </w:tcPr>
          <w:p>
            <w:pPr>
              <w:spacing w:after="0"/>
              <w:rPr>
                <w:sz w:val="19"/>
                <w:szCs w:val="19"/>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59"/>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14,904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9"/>
                <w:szCs w:val="19"/>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11,130</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11,409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17,830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160" w:type="dxa"/>
            <w:vAlign w:val="bottom"/>
            <w:vMerge w:val="restart"/>
          </w:tcPr>
          <w:p>
            <w:pPr>
              <w:jc w:val="right"/>
              <w:ind w:right="530"/>
              <w:spacing w:after="0"/>
              <w:rPr>
                <w:sz w:val="20"/>
                <w:szCs w:val="20"/>
                <w:color w:val="auto"/>
              </w:rPr>
            </w:pPr>
            <w:r>
              <w:rPr>
                <w:rFonts w:ascii="Arial" w:cs="Arial" w:eastAsia="Arial" w:hAnsi="Arial"/>
                <w:sz w:val="18"/>
                <w:szCs w:val="18"/>
                <w:color w:val="auto"/>
              </w:rPr>
              <w:t>- 8 -</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3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3"/>
          </w:tcPr>
          <w:p>
            <w:pPr>
              <w:jc w:val="center"/>
              <w:ind w:left="717"/>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2,708</w:t>
            </w:r>
          </w:p>
        </w:tc>
        <w:tc>
          <w:tcPr>
            <w:tcW w:w="64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Customer tooling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Taxes other than on income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12,504</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3"/>
          </w:tcPr>
          <w:p>
            <w:pPr>
              <w:jc w:val="center"/>
              <w:ind w:left="717"/>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gridSpan w:val="2"/>
            <w:vMerge w:val="restart"/>
            <w:shd w:val="clear" w:color="auto" w:fill="CFF0FC"/>
          </w:tcPr>
          <w:p>
            <w:pPr>
              <w:jc w:val="right"/>
              <w:ind w:right="185"/>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rate of 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64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State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FDII benefit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Under the 2017 Tax Act enacted into law on December 22, 2017, beginning in 2018, domestic corporations who are U.S. exporters with no foreign operations may be eligible for a deduction under the foreign derived intangible income provisions. We qualify for this deduction and recognized a current cash tax benefit of $148,000 in the first six months of 2019 ($98,000 of such current cash tax benefit is related to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2018</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3"/>
              </w:rPr>
              <w:t>2019</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2"/>
                <w:szCs w:val="12"/>
                <w:color w:val="auto"/>
              </w:rPr>
            </w:pPr>
          </w:p>
        </w:tc>
        <w:tc>
          <w:tcPr>
            <w:tcW w:w="980" w:type="dxa"/>
            <w:vAlign w:val="bottom"/>
          </w:tcPr>
          <w:p>
            <w:pPr>
              <w:jc w:val="center"/>
              <w:ind w:right="19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3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amount</w:t>
            </w:r>
          </w:p>
        </w:tc>
        <w:tc>
          <w:tcPr>
            <w:tcW w:w="5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41,917</w:t>
            </w:r>
          </w:p>
        </w:tc>
        <w:tc>
          <w:tcPr>
            <w:tcW w:w="560" w:type="dxa"/>
            <w:vAlign w:val="bottom"/>
            <w:shd w:val="clear" w:color="auto" w:fill="CFF0FC"/>
          </w:tcPr>
          <w:p>
            <w:pPr>
              <w:jc w:val="right"/>
              <w:ind w:right="99"/>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41,917</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12,140</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14,904</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14,904</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3,187</w:t>
            </w: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3,187</w:t>
            </w:r>
          </w:p>
        </w:tc>
        <w:tc>
          <w:tcPr>
            <w:tcW w:w="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regard, we have an unsecured revolving demand promissory note with Valhi whereby we agreed to loan Valhi up to $40 million. Our loan to Valhi, as amended, bears interest at prime plus 1.00%, (6.5% at June 30, 2019) payable quarterly, with all principal due on demand, but in any event no earlier than December 31, 2020. Loans made to Valhi at any time under the agreement are at our discretion. At June 30, 2019, the outstanding principal balance receivable from Valhi under the promissory note was $40.0 million. Interest income (including unused commitment fees) on our loan to Valhi was $1.0 million and $1.2 million for the six months ended June 30, 2018 and 2019,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 xml:space="preserve">On January 1, 2019, we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was a comprehensive rewriting of the lease accounting guidance which aimed to increase comparability and transparency with regard to lease transactions. The primary change for leases currently classified as operating leases is the balance sheet recognition of a lease asset for the right to use the underlying asset and a lease liability for the lessee’s obligation to make payments. Due to our minimal utilization of lease financing, the adoption of this standard did not have a material effect on our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8" w:lineRule="exact"/>
        <w:rPr>
          <w:sz w:val="20"/>
          <w:szCs w:val="20"/>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reported operating income of $5.6 million in the second quarter of 2019 compared to $6.0 million in the same period of 2018. Operating income for the first six months of 2019 was $9.9 million compared to $10.4 million for the comparable period in 2018. The decrease in operating income in 2019 from 2018 is primarily due to increased labor rates and associated payroll costs at Security Products, partially offset by the effect of higher sales volumes at Marine Components.</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27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32,385</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33,730</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21,150</w:t>
            </w:r>
          </w:p>
        </w:tc>
        <w:tc>
          <w:tcPr>
            <w:tcW w:w="28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3</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22,791</w:t>
            </w:r>
          </w:p>
        </w:tc>
        <w:tc>
          <w:tcPr>
            <w:tcW w:w="30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200" w:type="dxa"/>
            <w:vAlign w:val="bottom"/>
            <w:tcBorders>
              <w:bottom w:val="single" w:sz="8" w:color="CFF0FC"/>
            </w:tcBorders>
          </w:tcPr>
          <w:p>
            <w:pPr>
              <w:spacing w:after="0"/>
              <w:rPr>
                <w:sz w:val="21"/>
                <w:szCs w:val="2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11,235</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10,939</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32.4</w:t>
            </w:r>
          </w:p>
        </w:tc>
        <w:tc>
          <w:tcPr>
            <w:tcW w:w="200" w:type="dxa"/>
            <w:vAlign w:val="bottom"/>
            <w:shd w:val="clear" w:color="auto" w:fill="CFF0FC"/>
          </w:tcPr>
          <w:p>
            <w:pPr>
              <w:spacing w:after="0"/>
              <w:rPr>
                <w:sz w:val="20"/>
                <w:szCs w:val="20"/>
                <w:color w:val="auto"/>
              </w:rPr>
            </w:pPr>
          </w:p>
        </w:tc>
      </w:tr>
      <w:tr>
        <w:trPr>
          <w:trHeight w:val="24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28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5,317</w:t>
            </w:r>
          </w:p>
        </w:tc>
        <w:tc>
          <w:tcPr>
            <w:tcW w:w="30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tcBorders>
              <w:bottom w:val="single" w:sz="8" w:color="CFF0FC"/>
            </w:tcBorders>
          </w:tcPr>
          <w:p>
            <w:pPr>
              <w:spacing w:after="0"/>
              <w:rPr>
                <w:sz w:val="21"/>
                <w:szCs w:val="21"/>
                <w:color w:val="auto"/>
              </w:rPr>
            </w:pPr>
          </w:p>
        </w:tc>
      </w:tr>
      <w:tr>
        <w:trPr>
          <w:trHeight w:val="237"/>
        </w:trPr>
        <w:tc>
          <w:tcPr>
            <w:tcW w:w="6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2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5,622</w:t>
            </w:r>
          </w:p>
        </w:tc>
        <w:tc>
          <w:tcPr>
            <w:tcW w:w="3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16.7</w:t>
            </w:r>
          </w:p>
        </w:tc>
        <w:tc>
          <w:tcPr>
            <w:tcW w:w="200" w:type="dxa"/>
            <w:vAlign w:val="bottom"/>
            <w:tcBorders>
              <w:bottom w:val="single" w:sz="8" w:color="CFF0FC"/>
            </w:tcBorders>
            <w:shd w:val="clear" w:color="auto" w:fill="CFF0FC"/>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6"/>
        </w:trPr>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1"/>
              </w:rPr>
              <w:t>Six months ended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27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60,798</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64,907</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40,061</w:t>
            </w:r>
          </w:p>
        </w:tc>
        <w:tc>
          <w:tcPr>
            <w:tcW w:w="28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9</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44,344</w:t>
            </w:r>
          </w:p>
        </w:tc>
        <w:tc>
          <w:tcPr>
            <w:tcW w:w="30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w:t>
            </w:r>
          </w:p>
        </w:tc>
        <w:tc>
          <w:tcPr>
            <w:tcW w:w="200" w:type="dxa"/>
            <w:vAlign w:val="bottom"/>
            <w:tcBorders>
              <w:bottom w:val="single" w:sz="8" w:color="CFF0FC"/>
            </w:tcBorders>
          </w:tcPr>
          <w:p>
            <w:pPr>
              <w:spacing w:after="0"/>
              <w:rPr>
                <w:sz w:val="21"/>
                <w:szCs w:val="2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20,737</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20,563</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w:t>
            </w:r>
          </w:p>
        </w:tc>
        <w:tc>
          <w:tcPr>
            <w:tcW w:w="200" w:type="dxa"/>
            <w:vAlign w:val="bottom"/>
            <w:shd w:val="clear" w:color="auto" w:fill="CFF0FC"/>
          </w:tcPr>
          <w:p>
            <w:pPr>
              <w:spacing w:after="0"/>
              <w:rPr>
                <w:sz w:val="20"/>
                <w:szCs w:val="20"/>
                <w:color w:val="auto"/>
              </w:rPr>
            </w:pPr>
          </w:p>
        </w:tc>
      </w:tr>
      <w:tr>
        <w:trPr>
          <w:trHeight w:val="24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28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10,650</w:t>
            </w:r>
          </w:p>
        </w:tc>
        <w:tc>
          <w:tcPr>
            <w:tcW w:w="30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00" w:type="dxa"/>
            <w:vAlign w:val="bottom"/>
            <w:tcBorders>
              <w:bottom w:val="single" w:sz="8" w:color="CFF0FC"/>
            </w:tcBorders>
          </w:tcPr>
          <w:p>
            <w:pPr>
              <w:spacing w:after="0"/>
              <w:rPr>
                <w:sz w:val="21"/>
                <w:szCs w:val="2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9,913</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200" w:type="dxa"/>
            <w:vAlign w:val="bottom"/>
            <w:shd w:val="clear" w:color="auto" w:fill="CFF0FC"/>
          </w:tcPr>
          <w:p>
            <w:pPr>
              <w:spacing w:after="0"/>
              <w:rPr>
                <w:sz w:val="20"/>
                <w:szCs w:val="20"/>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$1.3 million and $4.1 million in the second quarter and for the first six months of 2019, respectively,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periods in 2018. The increase in sales is due to higher Marine Component sales in both periods, primarily surf pipes and wake enhancement systems to an original equipment boat manufacturer. Relative changes in selling prices did not have a material impact on net sales comparisons.</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Cost of goods sold and gross profit. </w:t>
      </w:r>
      <w:r>
        <w:rPr>
          <w:rFonts w:ascii="Arial" w:cs="Arial" w:eastAsia="Arial" w:hAnsi="Arial"/>
          <w:sz w:val="18"/>
          <w:szCs w:val="18"/>
          <w:color w:val="auto"/>
        </w:rPr>
        <w:t>Cost of goods sold as a percentage of sales for the second quarter and first six months of 2019 was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 higher than the same periods in 2018. As a result, gross profit as a percentage of sales decreased over the same periods. The decrease in gross profit percentage is primarily the result of increased labor rates due to regional pressure on wages for certain skilled labor positions and associated payroll costs at Security Products as well as a less favorable customer and product mix at Marine Components. Gross profit dollars for the second quarter and first six months of 2019 were comparable to the same periods in 2018.</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as well as gains and losses on plant, property and equipment. Operating costs and expenses for the second quarter and first six months of 2019 were comparable to the same periods in 2018.</w:t>
      </w:r>
    </w:p>
    <w:p>
      <w:pPr>
        <w:spacing w:after="0" w:line="18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As a percentage of net sales, operating income for the second quarter and first six months of 2019 decreased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of 2018 and was primarily impacted by the factors impacting cost of goods sold, gross margin and operating costs discussed above.</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Our operations are wholly within the U.S. and therefore our effective income tax rate is primarily reflective of the U.S. federal statutory rate and applicable state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9"/>
              </w:rPr>
              <w:t>Six months ended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27,248</w:t>
            </w:r>
          </w:p>
        </w:tc>
        <w:tc>
          <w:tcPr>
            <w:tcW w:w="2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26,927</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51,304</w:t>
            </w:r>
          </w:p>
        </w:tc>
        <w:tc>
          <w:tcPr>
            <w:tcW w:w="20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51,631</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6,803</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9,494</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13,276</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32,385</w:t>
            </w:r>
          </w:p>
        </w:tc>
        <w:tc>
          <w:tcPr>
            <w:tcW w:w="28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33,730</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60,798</w:t>
            </w:r>
          </w:p>
        </w:tc>
        <w:tc>
          <w:tcPr>
            <w:tcW w:w="2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64,907</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9,667</w:t>
            </w:r>
          </w:p>
        </w:tc>
        <w:tc>
          <w:tcPr>
            <w:tcW w:w="2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8,927</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17,968</w:t>
            </w:r>
          </w:p>
        </w:tc>
        <w:tc>
          <w:tcPr>
            <w:tcW w:w="20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16,898</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2,012</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3,665</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11,235</w:t>
            </w:r>
          </w:p>
        </w:tc>
        <w:tc>
          <w:tcPr>
            <w:tcW w:w="28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10,939</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20,737</w:t>
            </w:r>
          </w:p>
        </w:tc>
        <w:tc>
          <w:tcPr>
            <w:tcW w:w="2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20,563</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6,814</w:t>
            </w:r>
          </w:p>
        </w:tc>
        <w:tc>
          <w:tcPr>
            <w:tcW w:w="2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6,048</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12,426</w:t>
            </w:r>
          </w:p>
        </w:tc>
        <w:tc>
          <w:tcPr>
            <w:tcW w:w="20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11,124</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1,280</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2,181</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Corporate operating expenses</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(1,767)</w:t>
            </w: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(1,706)</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(3,392)</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28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5,622</w:t>
            </w: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w:t>
            </w:r>
          </w:p>
        </w:tc>
        <w:tc>
          <w:tcPr>
            <w:tcW w:w="2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9,913</w:t>
            </w: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Gross profit margin: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shd w:val="clear" w:color="auto" w:fill="CFF0FC"/>
          </w:tcPr>
          <w:p>
            <w:pPr>
              <w:spacing w:after="0"/>
              <w:rPr>
                <w:sz w:val="21"/>
                <w:szCs w:val="21"/>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33.2%</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32.7%</w:t>
            </w: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gross profit margin</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32.4</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shd w:val="clear" w:color="auto" w:fill="CFF0FC"/>
          </w:tcPr>
          <w:p>
            <w:pPr>
              <w:spacing w:after="0"/>
              <w:rPr>
                <w:sz w:val="21"/>
                <w:szCs w:val="21"/>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22.5%</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21.5%</w:t>
            </w: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 margin</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i w:val="1"/>
          <w:iCs w:val="1"/>
          <w:color w:val="auto"/>
        </w:rPr>
        <w:t>Security Products</w:t>
      </w:r>
      <w:r>
        <w:rPr>
          <w:rFonts w:ascii="Arial" w:cs="Arial" w:eastAsia="Arial" w:hAnsi="Arial"/>
          <w:sz w:val="16"/>
          <w:szCs w:val="16"/>
          <w:color w:val="auto"/>
        </w:rPr>
        <w:t>. Security Products net sales in the second quarter and for the first six months of 2019 were comparable to the same periods in 2018.</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margin and operating income as a percentage of sales for the second quarter and first six months of 2018 decreased compared to the same periods in the prior year due to increased labor rates and associated payroll costs, resulting from regional pressure on wages for certain skilled labor positions.</w:t>
      </w:r>
    </w:p>
    <w:p>
      <w:pPr>
        <w:spacing w:after="0" w:line="14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Marine Components net sales increased 32% and 40% in the second quarter and first six months of 2019, respectively,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last year. The increase in sales is primarily due to increased sales of wake enhancement systems and surf pipes to an original equipment boat manufacturer. Gross profit margin decreased in the second quarter and first six months of 2019 compared to the same periods last year due to a less favorable customer and product mix; however, operating income as a percentage of net sales increased over the same comparative periods due to improved fixed cost leverage facilitated by higher production volumes.</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i w:val="1"/>
          <w:iCs w:val="1"/>
          <w:color w:val="auto"/>
        </w:rPr>
        <w:t>Outlook. S</w:t>
      </w:r>
      <w:r>
        <w:rPr>
          <w:rFonts w:ascii="Arial" w:cs="Arial" w:eastAsia="Arial" w:hAnsi="Arial"/>
          <w:sz w:val="17"/>
          <w:szCs w:val="17"/>
          <w:color w:val="auto"/>
        </w:rPr>
        <w:t>ales for the first half of the year exceeded prior year largely due to continued high demand for our marine products where we continue to</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from innovation and diversification in our product offerings to the recreational boat markets. Operating income and operating margin for the Security Products segment decreased for the first six months of 2019 relative to prior year due to higher labor rates and associated payroll costs, the effect of which we were not able to offset through higher selling prices. Heading into the second half of 2019, we expect our rate of Marine sales growth to moderate as compared to the same period in 2018 when we significantly increased our deliveries of wake enhancement systems. We anticipate full year sales for 2019 will be above 2018 and full year operating income to be comparable to the prior year. Currently, we are experiencing minimal impact as a result of recently enacted tariffs; however, we are actively monitoring developments and exploring options so that we will be able to quickly react should the impact of such tariffs become significant. We will continue to monitor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currently serve, to expand into new markets and to develop new product features in order to mitigate the impact of changes in demand as well as broaden our sales base.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6"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Net cash provided by operating activities for the first six months of 2019 decreased by $0.2 million as compared to the first six months of 2018. The decrease is primarily due to the net effects of:</w:t>
      </w:r>
    </w:p>
    <w:p>
      <w:pPr>
        <w:spacing w:after="0" w:line="62"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operating income of $0.4 million in 2019;</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$1.0 million increase in interest received in 2019 (including $0.5 million received in the first quarter of 2019 which was accrued at December 31, 2018), and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$0.9 million increase in cash paid for taxes in 2019 due to the relative timing of payments.</w:t>
      </w:r>
    </w:p>
    <w:p>
      <w:pPr>
        <w:spacing w:after="0" w:line="19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2018 to June 30, 2019 varied by segment, primarily as a result of relative changes in the timing of collections. For comparative purposes, we have provided December 31, 2017 and June 30, 2018 numbers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2018</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June 30, 2019</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39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42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31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38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31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38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39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r>
    </w:tbl>
    <w:p>
      <w:pPr>
        <w:spacing w:after="0" w:line="16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total average number of days in inventory decreased from December 31, 2018 to June 30, 2019 primarily as a result of the seasonal increase in sales during the second quarter 2019 as compared to the fourth quarter of 2018, including rapid sales growth for Marine Components. The variability in days in inventory among our segments also relates to the differences in the average length of time it takes to produce and sell end-products. Generally, we expect Security Products inventory to turn faster than Marine Components. For comparative purposes, we have provided December 31, 2017 and June 30, 2018 numbers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2018</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June 30, 2019</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67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77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70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96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93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91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75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79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71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80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71 Days</w:t>
            </w:r>
          </w:p>
        </w:tc>
      </w:tr>
    </w:tbl>
    <w:p>
      <w:pPr>
        <w:spacing w:after="0" w:line="24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$1.8 million in the first six months of 2019 compared to $1.4 million in the first six months of 2018.</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first six months of 2019, Valhi borrowed a net $6.0 million under the promissory note ($28.1 million of gross borrowings and $22.1 million of gross repayments). During the first six months of 2018, Valhi repaid a net $0.6 million under the promissory note ($25.3 million of gross borrowings and $25.9 million of gross repayments). See Note 8 to the Condensed Consolidated Financial Statements.</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consisted only of quarterly cash dividends. In February 2019, our board of directors increased our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dividend from $.05 per share to $.07 per share beginning in the first quarter of 2019.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$41.9 million aggregate cash and cash equivalents at June 30, 2019 were held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June 30, 2019 totaled $0.8 million. Our 2019 capital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limited to those expenditures required to meet our expected customer demand and those required to properly maintain our facilities and technology infrastructure.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2018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 other than the operating leases discussed in our 2018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the first six months of 2019 with respect to our critical accounting policies presented in Management’s Discussion and Analysis of Financial Condition and Results of Operations in our 2018 Annual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2018 Annual Report, and we refer you to Part I, Item 7A – “Quantitative and Qualitative Disclosure About Market Risk” in our 2018 Annual Report. See also Note 7 to the Condensed Consolidated Financial Statements.</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Vice President and Chief Financial Officer, has evaluated the design and operating effectiveness of our disclosure controls and procedures as of June 30, 2019. Based upon their evaluation, these executive officers have concluded that our disclosure controls and procedures are effective as of the date of such evaluation.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jc w:val="both"/>
        <w:ind w:firstLine="518"/>
        <w:spacing w:after="0" w:line="258"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66" w:lineRule="exact"/>
        <w:rPr>
          <w:sz w:val="20"/>
          <w:szCs w:val="20"/>
          <w:color w:val="auto"/>
        </w:rPr>
      </w:pPr>
    </w:p>
    <w:p>
      <w:pPr>
        <w:ind w:firstLine="518"/>
        <w:spacing w:after="0" w:line="313"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June 30, 2019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Reference is made to the 2018 Annual Report for a discussion of the risk factors related to our businesses. There have been no material changes in such risk factors during the first six months of 2019.</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8"/>
              </w:rPr>
              <w:t>Exhibit Index</w:t>
            </w:r>
          </w:p>
        </w:tc>
        <w:tc>
          <w:tcPr>
            <w:tcW w:w="9220" w:type="dxa"/>
            <w:vAlign w:val="bottom"/>
            <w:tcBorders>
              <w:bottom w:val="single" w:sz="8" w:color="auto"/>
            </w:tcBorders>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2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(Registrant)</w:t>
            </w:r>
          </w:p>
        </w:tc>
        <w:tc>
          <w:tcPr>
            <w:tcW w:w="2440" w:type="dxa"/>
            <w:vAlign w:val="bottom"/>
          </w:tcPr>
          <w:p>
            <w:pPr>
              <w:spacing w:after="0"/>
              <w:rPr>
                <w:sz w:val="20"/>
                <w:szCs w:val="20"/>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Date: August 6, 2019</w:t>
            </w:r>
          </w:p>
        </w:tc>
        <w:tc>
          <w:tcPr>
            <w:tcW w:w="276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By:  /s/ Amy A. Samford</w:t>
            </w:r>
          </w:p>
        </w:tc>
      </w:tr>
      <w:tr>
        <w:trPr>
          <w:trHeight w:val="195"/>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Amy A. Samford</w:t>
            </w:r>
          </w:p>
        </w:tc>
      </w:tr>
      <w:tr>
        <w:trPr>
          <w:trHeight w:val="230"/>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648"/>
        </w:trPr>
        <w:tc>
          <w:tcPr>
            <w:tcW w:w="3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By:  /s/ Amy E. Ruf</w:t>
            </w:r>
          </w:p>
        </w:tc>
      </w:tr>
      <w:tr>
        <w:trPr>
          <w:trHeight w:val="195"/>
        </w:trPr>
        <w:tc>
          <w:tcPr>
            <w:tcW w:w="3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Amy E. Ruf</w:t>
            </w:r>
          </w:p>
        </w:tc>
      </w:tr>
      <w:tr>
        <w:trPr>
          <w:trHeight w:val="230"/>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864"/>
        </w:trPr>
        <w:tc>
          <w:tcPr>
            <w:tcW w:w="3560" w:type="dxa"/>
            <w:vAlign w:val="bottom"/>
          </w:tcPr>
          <w:p>
            <w:pPr>
              <w:spacing w:after="0"/>
              <w:rPr>
                <w:sz w:val="24"/>
                <w:szCs w:val="24"/>
                <w:color w:val="auto"/>
              </w:rPr>
            </w:pP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- 18 -</w:t>
            </w: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C. James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667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quarter ended June 30, 2019 as filed with the Securities and Exchange Commission on the date hereof (the Report), I, Scott C. James, President and Chief Executive Officer of the Company and I, Amy A. Samford, Vice President and Chief Financial Officer of the Company, certify, pursuant to 18 U.S.C. §1350, as adopted pursuant to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Amy A. Samford</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and 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2019-12-28T08:14:06Z</dcterms:created>
  <dcterms:modified xsi:type="dcterms:W3CDTF">2019-12-28T08:14:06Z</dcterms:modified>
</cp:coreProperties>
</file>