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60325</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76200</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ANNUAL REPORT PURSUANT TO SECTION 13 OR 15(d) OF THE SECURITIES</w:t>
      </w:r>
    </w:p>
    <w:p>
      <w:pPr>
        <w:spacing w:after="0" w:line="28"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6"/>
          <w:szCs w:val="16"/>
          <w:b w:val="1"/>
          <w:bCs w:val="1"/>
          <w:color w:val="auto"/>
        </w:rPr>
        <w:t>EXCHANGE ACT OF 1934 – For the fiscal year ended December 31, 2018</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1-13905</w:t>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COMPX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-242570</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56515</wp:posOffset>
            </wp:positionV>
            <wp:extent cx="557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2200" w:type="dxa"/>
            <w:vAlign w:val="bottom"/>
          </w:tcPr>
          <w:p>
            <w:pPr>
              <w:spacing w:after="0"/>
              <w:rPr>
                <w:sz w:val="16"/>
                <w:szCs w:val="16"/>
                <w:color w:val="auto"/>
              </w:rPr>
            </w:pPr>
          </w:p>
        </w:tc>
        <w:tc>
          <w:tcPr>
            <w:tcW w:w="3380" w:type="dxa"/>
            <w:vAlign w:val="bottom"/>
            <w:gridSpan w:val="3"/>
          </w:tcPr>
          <w:p>
            <w:pPr>
              <w:jc w:val="center"/>
              <w:ind w:right="216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40" w:type="dxa"/>
            <w:vAlign w:val="bottom"/>
          </w:tcPr>
          <w:p>
            <w:pPr>
              <w:spacing w:after="0"/>
              <w:rPr>
                <w:sz w:val="16"/>
                <w:szCs w:val="16"/>
                <w:color w:val="auto"/>
              </w:rPr>
            </w:pPr>
          </w:p>
        </w:tc>
        <w:tc>
          <w:tcPr>
            <w:tcW w:w="3340" w:type="dxa"/>
            <w:vAlign w:val="bottom"/>
            <w:gridSpan w:val="3"/>
          </w:tcPr>
          <w:p>
            <w:pPr>
              <w:jc w:val="center"/>
              <w:ind w:left="1601"/>
              <w:spacing w:after="0"/>
              <w:rPr>
                <w:sz w:val="20"/>
                <w:szCs w:val="20"/>
                <w:color w:val="auto"/>
              </w:rPr>
            </w:pPr>
            <w:r>
              <w:rPr>
                <w:rFonts w:ascii="Times New Roman" w:cs="Times New Roman" w:eastAsia="Times New Roman" w:hAnsi="Times New Roman"/>
                <w:sz w:val="16"/>
                <w:szCs w:val="16"/>
                <w:b w:val="1"/>
                <w:bCs w:val="1"/>
                <w:color w:val="auto"/>
              </w:rPr>
              <w:t>57-0981653</w:t>
            </w:r>
          </w:p>
        </w:tc>
      </w:tr>
      <w:tr>
        <w:trPr>
          <w:trHeight w:val="149"/>
        </w:trPr>
        <w:tc>
          <w:tcPr>
            <w:tcW w:w="558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5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5"/>
        </w:trPr>
        <w:tc>
          <w:tcPr>
            <w:tcW w:w="55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5430 LBJ Freeway, Suite 1700,</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7"/>
        </w:trPr>
        <w:tc>
          <w:tcPr>
            <w:tcW w:w="55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Lincoln Centre, Dallas, Texas</w:t>
            </w:r>
          </w:p>
        </w:tc>
        <w:tc>
          <w:tcPr>
            <w:tcW w:w="540" w:type="dxa"/>
            <w:vAlign w:val="bottom"/>
          </w:tcPr>
          <w:p>
            <w:pPr>
              <w:spacing w:after="0"/>
              <w:rPr>
                <w:sz w:val="18"/>
                <w:szCs w:val="18"/>
                <w:color w:val="auto"/>
              </w:rPr>
            </w:pPr>
          </w:p>
        </w:tc>
        <w:tc>
          <w:tcPr>
            <w:tcW w:w="3340" w:type="dxa"/>
            <w:vAlign w:val="bottom"/>
            <w:gridSpan w:val="3"/>
          </w:tcPr>
          <w:p>
            <w:pPr>
              <w:jc w:val="center"/>
              <w:ind w:left="1601"/>
              <w:spacing w:after="0"/>
              <w:rPr>
                <w:sz w:val="20"/>
                <w:szCs w:val="20"/>
                <w:color w:val="auto"/>
              </w:rPr>
            </w:pPr>
            <w:r>
              <w:rPr>
                <w:rFonts w:ascii="Times New Roman" w:cs="Times New Roman" w:eastAsia="Times New Roman" w:hAnsi="Times New Roman"/>
                <w:sz w:val="16"/>
                <w:szCs w:val="16"/>
                <w:b w:val="1"/>
                <w:bCs w:val="1"/>
                <w:color w:val="auto"/>
              </w:rPr>
              <w:t>75240-2620</w:t>
            </w:r>
          </w:p>
        </w:tc>
      </w:tr>
      <w:tr>
        <w:trPr>
          <w:trHeight w:val="190"/>
        </w:trPr>
        <w:tc>
          <w:tcPr>
            <w:tcW w:w="55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6"/>
        </w:trPr>
        <w:tc>
          <w:tcPr>
            <w:tcW w:w="55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540" w:type="dxa"/>
            <w:vAlign w:val="bottom"/>
          </w:tcPr>
          <w:p>
            <w:pPr>
              <w:spacing w:after="0"/>
              <w:rPr>
                <w:sz w:val="24"/>
                <w:szCs w:val="24"/>
                <w:color w:val="auto"/>
              </w:rPr>
            </w:pPr>
          </w:p>
        </w:tc>
        <w:tc>
          <w:tcPr>
            <w:tcW w:w="3340" w:type="dxa"/>
            <w:vAlign w:val="bottom"/>
            <w:gridSpan w:val="3"/>
          </w:tcPr>
          <w:p>
            <w:pPr>
              <w:jc w:val="center"/>
              <w:ind w:left="1601"/>
              <w:spacing w:after="0"/>
              <w:rPr>
                <w:sz w:val="20"/>
                <w:szCs w:val="20"/>
                <w:color w:val="auto"/>
              </w:rPr>
            </w:pPr>
            <w:r>
              <w:rPr>
                <w:rFonts w:ascii="Times New Roman" w:cs="Times New Roman" w:eastAsia="Times New Roman" w:hAnsi="Times New Roman"/>
                <w:sz w:val="16"/>
                <w:szCs w:val="16"/>
                <w:b w:val="1"/>
                <w:bCs w:val="1"/>
                <w:color w:val="auto"/>
              </w:rPr>
              <w:t>(972) 448-1400</w:t>
            </w:r>
          </w:p>
        </w:tc>
      </w:tr>
      <w:tr>
        <w:trPr>
          <w:trHeight w:val="419"/>
        </w:trPr>
        <w:tc>
          <w:tcPr>
            <w:tcW w:w="2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40" w:type="dxa"/>
            <w:vAlign w:val="bottom"/>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14"/>
        </w:trPr>
        <w:tc>
          <w:tcPr>
            <w:tcW w:w="2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198"/>
        </w:trPr>
        <w:tc>
          <w:tcPr>
            <w:tcW w:w="2200" w:type="dxa"/>
            <w:vAlign w:val="bottom"/>
          </w:tcPr>
          <w:p>
            <w:pPr>
              <w:spacing w:after="0"/>
              <w:rPr>
                <w:sz w:val="17"/>
                <w:szCs w:val="17"/>
                <w:color w:val="auto"/>
              </w:rPr>
            </w:pPr>
          </w:p>
        </w:tc>
        <w:tc>
          <w:tcPr>
            <w:tcW w:w="1220" w:type="dxa"/>
            <w:vAlign w:val="bottom"/>
            <w:tcBorders>
              <w:bottom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216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80" w:type="dxa"/>
            <w:vAlign w:val="bottom"/>
            <w:tcBorders>
              <w:bottom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138"/>
        </w:trPr>
        <w:tc>
          <w:tcPr>
            <w:tcW w:w="5580" w:type="dxa"/>
            <w:vAlign w:val="bottom"/>
            <w:gridSpan w:val="4"/>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68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NYSE American</w:t>
            </w:r>
          </w:p>
        </w:tc>
      </w:tr>
      <w:tr>
        <w:trPr>
          <w:trHeight w:val="190"/>
        </w:trPr>
        <w:tc>
          <w:tcPr>
            <w:tcW w:w="55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($.01 par value per share)</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61"/>
        </w:trPr>
        <w:tc>
          <w:tcPr>
            <w:tcW w:w="2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4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tc>
      </w:tr>
      <w:tr>
        <w:trPr>
          <w:trHeight w:val="101"/>
        </w:trPr>
        <w:tc>
          <w:tcPr>
            <w:tcW w:w="2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20" w:type="dxa"/>
            <w:vAlign w:val="bottom"/>
          </w:tcPr>
          <w:p>
            <w:pPr>
              <w:spacing w:after="0"/>
              <w:rPr>
                <w:sz w:val="8"/>
                <w:szCs w:val="8"/>
                <w:color w:val="auto"/>
              </w:rPr>
            </w:pPr>
          </w:p>
        </w:tc>
        <w:tc>
          <w:tcPr>
            <w:tcW w:w="1680" w:type="dxa"/>
            <w:vAlign w:val="bottom"/>
          </w:tcPr>
          <w:p>
            <w:pPr>
              <w:spacing w:after="0"/>
              <w:rPr>
                <w:sz w:val="8"/>
                <w:szCs w:val="8"/>
                <w:color w:val="auto"/>
              </w:rPr>
            </w:pPr>
          </w:p>
        </w:tc>
      </w:tr>
      <w:tr>
        <w:trPr>
          <w:trHeight w:val="227"/>
        </w:trPr>
        <w:tc>
          <w:tcPr>
            <w:tcW w:w="55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Indicate by check mark:</w:t>
            </w: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44"/>
        </w:trPr>
        <w:tc>
          <w:tcPr>
            <w:tcW w:w="55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If the Registrant is a well-known seasoned issuer, as defined in Rule 405 of the Securities Act.</w:t>
            </w:r>
          </w:p>
        </w:tc>
        <w:tc>
          <w:tcPr>
            <w:tcW w:w="54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340" w:type="dxa"/>
            <w:vAlign w:val="bottom"/>
            <w:gridSpan w:val="3"/>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r>
        <w:trPr>
          <w:trHeight w:val="257"/>
        </w:trPr>
        <w:tc>
          <w:tcPr>
            <w:tcW w:w="55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If the Registrant is not required to file reports pursuant to Section 13 or Section 15(d) of the Act.</w:t>
            </w:r>
          </w:p>
        </w:tc>
        <w:tc>
          <w:tcPr>
            <w:tcW w:w="540" w:type="dxa"/>
            <w:vAlign w:val="bottom"/>
          </w:tcPr>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40" w:type="dxa"/>
            <w:vAlign w:val="bottom"/>
          </w:tcPr>
          <w:p>
            <w:pPr>
              <w:spacing w:after="0"/>
              <w:rPr>
                <w:sz w:val="22"/>
                <w:szCs w:val="22"/>
                <w:color w:val="auto"/>
              </w:rPr>
            </w:pPr>
          </w:p>
        </w:tc>
        <w:tc>
          <w:tcPr>
            <w:tcW w:w="3300" w:type="dxa"/>
            <w:vAlign w:val="bottom"/>
            <w:gridSpan w:val="2"/>
          </w:tcPr>
          <w:p>
            <w:pPr>
              <w:ind w:left="10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bl>
    <w:p>
      <w:pPr>
        <w:spacing w:after="0" w:line="27"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Whether the registrant has submitted electronically every Interactive Data File required to be submitted pursuant to Rule 405 of Regulation S-T during the preceding 12 months (or for such shorter period that the registration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2"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Whether the registrant is a large accelerated filer, an accelerated filer, a non-accelerated filer, smaller reporting company, or emerging growth company. See the definitions of “large accelerated filer”, “accelerated filer”, “smaller reporting company”, and “emerging growth company” in Rule 12b-2 of the Exchange Act.</w:t>
      </w:r>
    </w:p>
    <w:p>
      <w:pPr>
        <w:spacing w:after="0" w:line="17"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20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6"/>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2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spacing w:after="0"/>
              <w:rPr>
                <w:sz w:val="19"/>
                <w:szCs w:val="19"/>
                <w:color w:val="auto"/>
              </w:rPr>
            </w:pPr>
          </w:p>
        </w:tc>
        <w:tc>
          <w:tcPr>
            <w:tcW w:w="540" w:type="dxa"/>
            <w:vAlign w:val="bottom"/>
          </w:tcPr>
          <w:p>
            <w:pPr>
              <w:spacing w:after="0"/>
              <w:rPr>
                <w:sz w:val="19"/>
                <w:szCs w:val="19"/>
                <w:color w:val="auto"/>
              </w:rPr>
            </w:pPr>
          </w:p>
        </w:tc>
      </w:tr>
    </w:tbl>
    <w:p>
      <w:pPr>
        <w:spacing w:after="0" w:line="22"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spacing w:after="0" w:line="161" w:lineRule="exact"/>
        <w:tabs>
          <w:tab w:leader="none" w:pos="5400" w:val="left"/>
          <w:tab w:leader="none" w:pos="5960" w:val="left"/>
        </w:tabs>
        <w:rPr>
          <w:sz w:val="20"/>
          <w:szCs w:val="20"/>
          <w:color w:val="auto"/>
        </w:rPr>
      </w:pPr>
      <w:r>
        <w:rPr>
          <w:rFonts w:ascii="Times New Roman" w:cs="Times New Roman" w:eastAsia="Times New Roman" w:hAnsi="Times New Roman"/>
          <w:sz w:val="14"/>
          <w:szCs w:val="14"/>
          <w:color w:val="auto"/>
        </w:rPr>
        <w:t>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92" w:lineRule="exact"/>
        <w:rPr>
          <w:sz w:val="24"/>
          <w:szCs w:val="24"/>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The aggregate market value of the 1.7 million shares of voting stock held by nonaffiliates of CompX International Inc. as of June 30, 2018 (the last business day of the Registrant’s most recently completed second fiscal quarter) approximated $22.0 million.</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21, 2019, 12,435,557 shares of Class A common stock were outstanding.</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Documents incorporated by reference</w:t>
      </w:r>
    </w:p>
    <w:p>
      <w:pPr>
        <w:spacing w:after="0" w:line="69"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The information required by Part III is incorporated by reference from the Registrant’s definitive proxy statement to be filed with the Commission pursuant to Regulation 14A not later than 120 days after the end of the fiscal year covered by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21"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6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firstLine="1194"/>
        <w:spacing w:after="0" w:line="258" w:lineRule="auto"/>
        <w:rPr>
          <w:sz w:val="20"/>
          <w:szCs w:val="20"/>
          <w:color w:val="auto"/>
        </w:rPr>
      </w:pPr>
      <w:r>
        <w:rPr>
          <w:rFonts w:ascii="Times New Roman" w:cs="Times New Roman" w:eastAsia="Times New Roman" w:hAnsi="Times New Roman"/>
          <w:sz w:val="18"/>
          <w:szCs w:val="18"/>
          <w:color w:val="auto"/>
        </w:rPr>
        <w:t>CompX International Inc. (NYSE American: CIX), incorporated in Delaware in 1993, is a leading manufacturer of security products used in the recreational transportation, postal, office and institutional furniture, cabinetry, tool storage, healthcare and a variety of other industries. We are also a leading manufacturer of stainless steel exhaust systems, gauges, throttle controls, wake enhancement systems and trim tabs for the recreational marine industry. Our products are principally designed for use in medium to high-end product applications where design, quality and durability are valued by our customers.</w:t>
      </w:r>
    </w:p>
    <w:p>
      <w:pPr>
        <w:spacing w:after="0" w:line="184" w:lineRule="exact"/>
        <w:rPr>
          <w:sz w:val="20"/>
          <w:szCs w:val="20"/>
          <w:color w:val="auto"/>
        </w:rPr>
      </w:pPr>
    </w:p>
    <w:p>
      <w:pPr>
        <w:jc w:val="both"/>
        <w:ind w:firstLine="1194"/>
        <w:spacing w:after="0" w:line="266" w:lineRule="auto"/>
        <w:rPr>
          <w:sz w:val="20"/>
          <w:szCs w:val="20"/>
          <w:color w:val="auto"/>
        </w:rPr>
      </w:pPr>
      <w:r>
        <w:rPr>
          <w:rFonts w:ascii="Times New Roman" w:cs="Times New Roman" w:eastAsia="Times New Roman" w:hAnsi="Times New Roman"/>
          <w:sz w:val="18"/>
          <w:szCs w:val="18"/>
          <w:color w:val="auto"/>
        </w:rPr>
        <w:t>At December 31, 2018, (i) NL Industries, Inc. (NYSE: NL) owns 87% of our outstanding common stock, Valhi, Inc. (NYSE: VHI) owns 83% of NL’s outstanding common stock and a subsidiary of Contran Corporation owns 92% of Valhi’s outstanding common stock. As discussed in Note 1 to our Consolidated Financial Statements, Lisa K. Simmons and Serena Simmons Connelly may be deemed to control Contran, Valhi, NL and us.</w:t>
      </w:r>
    </w:p>
    <w:p>
      <w:pPr>
        <w:spacing w:after="0" w:line="176" w:lineRule="exact"/>
        <w:rPr>
          <w:sz w:val="20"/>
          <w:szCs w:val="20"/>
          <w:color w:val="auto"/>
        </w:rPr>
      </w:pPr>
    </w:p>
    <w:p>
      <w:pPr>
        <w:jc w:val="both"/>
        <w:ind w:firstLine="1194"/>
        <w:spacing w:after="0" w:line="282" w:lineRule="auto"/>
        <w:rPr>
          <w:sz w:val="20"/>
          <w:szCs w:val="20"/>
          <w:color w:val="auto"/>
        </w:rPr>
      </w:pPr>
      <w:r>
        <w:rPr>
          <w:rFonts w:ascii="Times New Roman" w:cs="Times New Roman" w:eastAsia="Times New Roman" w:hAnsi="Times New Roman"/>
          <w:sz w:val="18"/>
          <w:szCs w:val="18"/>
          <w:color w:val="auto"/>
        </w:rPr>
        <w:t xml:space="preserve">Our corporate offices are located at Three Lincoln Centre, 5430 LBJ Freeway, Suite 1700, Dallas, Texas 75240. Our telephone number is (972) 448-1400. We maintain a website at </w:t>
      </w:r>
      <w:r>
        <w:rPr>
          <w:rFonts w:ascii="Times New Roman" w:cs="Times New Roman" w:eastAsia="Times New Roman" w:hAnsi="Times New Roman"/>
          <w:sz w:val="18"/>
          <w:szCs w:val="18"/>
          <w:u w:val="single" w:color="auto"/>
          <w:color w:val="auto"/>
        </w:rPr>
        <w:t>www.compx.com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Unless otherwise indicated, references in this report to “we,” “us,” or “our” refer to CompX International Inc. and its subsidiaries taken as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firstLine="1194"/>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Private Securities Litigation Reform Act of 1995, as amended. Statements in this Annual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Annual Report and those described from time to time in our other filings with the U.S. Securities and Exchange Commission (the “SEC”) and include, but are not limited to, the following:</w:t>
      </w:r>
    </w:p>
    <w:p>
      <w:pPr>
        <w:spacing w:after="0" w:line="81" w:lineRule="exact"/>
        <w:rPr>
          <w:sz w:val="20"/>
          <w:szCs w:val="20"/>
          <w:color w:val="auto"/>
        </w:rPr>
      </w:pPr>
    </w:p>
    <w:p>
      <w:pPr>
        <w:ind w:left="1200" w:hanging="598"/>
        <w:spacing w:after="0"/>
        <w:tabs>
          <w:tab w:leader="none" w:pos="12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demand for our products,</w:t>
      </w:r>
    </w:p>
    <w:p>
      <w:pPr>
        <w:spacing w:after="0" w:line="117"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raw material and other operating costs (such as zinc, brass and energy costs) and our ability to pass those costs on to our customers or offset them with reductions in other operating costs,</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product competition from low-cost manufacturing sources (such as China),</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pricing and production decisions,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and competitor strategies including substitute products,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development of new products and product features,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litigation,</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or defend our intellectual property rights,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difficulties in integrating future acquisitions,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to sell operating assets other than in the ordinary course of business,</w:t>
      </w:r>
    </w:p>
    <w:p>
      <w:pPr>
        <w:spacing w:after="0" w:line="225" w:lineRule="exact"/>
        <w:rPr>
          <w:rFonts w:ascii="Times New Roman" w:cs="Times New Roman" w:eastAsia="Times New Roman" w:hAnsi="Times New Roman"/>
          <w:sz w:val="18"/>
          <w:szCs w:val="18"/>
          <w:color w:val="auto"/>
        </w:rPr>
      </w:pPr>
    </w:p>
    <w:p>
      <w:pPr>
        <w:ind w:left="5660" w:hanging="96"/>
        <w:spacing w:after="0"/>
        <w:tabs>
          <w:tab w:leader="none" w:pos="5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p>
      <w:pPr>
        <w:ind w:left="1200" w:hanging="598"/>
        <w:spacing w:after="0"/>
        <w:tabs>
          <w:tab w:leader="none" w:pos="1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(such as those requiring emission and discharge standards for existing and new facilities),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outcome of income tax audits, tax settlement initiatives or other tax matters, including future tax reform,</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or future government regulations (including employee healthcare benefit related regulations),</w:t>
      </w:r>
    </w:p>
    <w:p>
      <w:pPr>
        <w:spacing w:after="0" w:line="117"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and political conditions that introduce instability into the U.S. economy (such as changes in the level of gross domestic product in various regions of the world),</w:t>
      </w:r>
    </w:p>
    <w:p>
      <w:pPr>
        <w:spacing w:after="0" w:line="53"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but not limited to labor disputes, hazardous chemical leaks, natural disasters, fires, explosions, unscheduled or unplanned downtime, transportation interruptions and cyber attacks); and</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disruption of our business or increases in the cost of doing business resulting from terrorist activities or global conflicts.</w:t>
      </w:r>
    </w:p>
    <w:p>
      <w:pPr>
        <w:spacing w:after="0" w:line="225" w:lineRule="exact"/>
        <w:rPr>
          <w:sz w:val="20"/>
          <w:szCs w:val="20"/>
          <w:color w:val="auto"/>
        </w:rPr>
      </w:pPr>
    </w:p>
    <w:p>
      <w:pPr>
        <w:jc w:val="both"/>
        <w:ind w:right="20" w:firstLine="1194"/>
        <w:spacing w:after="0" w:line="266" w:lineRule="auto"/>
        <w:rPr>
          <w:sz w:val="20"/>
          <w:szCs w:val="20"/>
          <w:color w:val="auto"/>
        </w:rPr>
      </w:pPr>
      <w:r>
        <w:rPr>
          <w:rFonts w:ascii="Times New Roman" w:cs="Times New Roman" w:eastAsia="Times New Roman" w:hAnsi="Times New Roman"/>
          <w:sz w:val="18"/>
          <w:szCs w:val="18"/>
          <w:color w:val="auto"/>
        </w:rPr>
        <w:t>Should one or more of these risks materialize or if the consequences worsen, or if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21" w:lineRule="exact"/>
        <w:rPr>
          <w:sz w:val="20"/>
          <w:szCs w:val="20"/>
          <w:color w:val="auto"/>
        </w:rPr>
      </w:pPr>
    </w:p>
    <w:p>
      <w:pPr>
        <w:jc w:val="both"/>
        <w:ind w:firstLine="1194"/>
        <w:spacing w:after="0" w:line="256" w:lineRule="auto"/>
        <w:rPr>
          <w:sz w:val="20"/>
          <w:szCs w:val="20"/>
          <w:color w:val="auto"/>
        </w:rPr>
      </w:pPr>
      <w:r>
        <w:rPr>
          <w:rFonts w:ascii="Times New Roman" w:cs="Times New Roman" w:eastAsia="Times New Roman" w:hAnsi="Times New Roman"/>
          <w:sz w:val="18"/>
          <w:szCs w:val="18"/>
          <w:color w:val="auto"/>
        </w:rPr>
        <w:t>We manufacture engineered components utilized in a variety of applications and industries. We manufacture mechanical and electrical cabinet locks and other locking mechanisms used in recreational transportation, postal, office and institutional furniture, cabinetry, tool storage and healthcare applications. We also manufacture stainless steel exhaust systems, gauges, throttle controls, wake enhancement systems and trim tabs for the recreational marine and other industries. We continuously seek to diversify into new markets and identify new applications and features for our products, which we believe provide a greater potential for higher rates of earnings growth as well as diversification of risk. See also Item 6 – “Selected Financial Data” and Item 7 – “Management’s Discussion and Analysis of Financial Condition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21" w:lineRule="exact"/>
        <w:rPr>
          <w:sz w:val="20"/>
          <w:szCs w:val="20"/>
          <w:color w:val="auto"/>
        </w:rPr>
      </w:pPr>
    </w:p>
    <w:p>
      <w:pPr>
        <w:jc w:val="both"/>
        <w:ind w:firstLine="1194"/>
        <w:spacing w:after="0" w:line="266" w:lineRule="auto"/>
        <w:rPr>
          <w:sz w:val="20"/>
          <w:szCs w:val="20"/>
          <w:color w:val="auto"/>
        </w:rPr>
      </w:pPr>
      <w:r>
        <w:rPr>
          <w:rFonts w:ascii="Times New Roman" w:cs="Times New Roman" w:eastAsia="Times New Roman" w:hAnsi="Times New Roman"/>
          <w:sz w:val="18"/>
          <w:szCs w:val="18"/>
          <w:color w:val="auto"/>
        </w:rPr>
        <w:t>We currently have two operating business segments – Security Products and Marine Components. For additional information regarding our segments, see “Part II – Item 7. Management’s Discussion and Analysis of Financial Condition and Results of Operations” and Note 2 to the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Operations and Products</w:t>
      </w:r>
    </w:p>
    <w:p>
      <w:pPr>
        <w:spacing w:after="0" w:line="119" w:lineRule="exact"/>
        <w:rPr>
          <w:sz w:val="20"/>
          <w:szCs w:val="20"/>
          <w:color w:val="auto"/>
        </w:rPr>
      </w:pPr>
    </w:p>
    <w:p>
      <w:pPr>
        <w:jc w:val="both"/>
        <w:ind w:firstLine="1194"/>
        <w:spacing w:after="0" w:line="259" w:lineRule="auto"/>
        <w:rPr>
          <w:sz w:val="20"/>
          <w:szCs w:val="20"/>
          <w:color w:val="auto"/>
        </w:rPr>
      </w:pPr>
      <w:r>
        <w:rPr>
          <w:rFonts w:ascii="Times New Roman" w:cs="Times New Roman" w:eastAsia="Times New Roman" w:hAnsi="Times New Roman"/>
          <w:sz w:val="18"/>
          <w:szCs w:val="18"/>
          <w:i w:val="1"/>
          <w:iCs w:val="1"/>
          <w:color w:val="auto"/>
        </w:rPr>
        <w:t>Security Products</w:t>
      </w:r>
      <w:r>
        <w:rPr>
          <w:rFonts w:ascii="Times New Roman" w:cs="Times New Roman" w:eastAsia="Times New Roman" w:hAnsi="Times New Roman"/>
          <w:sz w:val="18"/>
          <w:szCs w:val="18"/>
          <w:color w:val="auto"/>
        </w:rPr>
        <w:t>. Our Security Products segment manufactures mechanical and electrical cabinet locks and other locking mechanisms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 variety of applications including ignition systems, mailboxes, file cabinets, desk drawers, tool storage cabinets, vending and cash containment machines, high security medical cabinetry, electronic circuit panels, storage compartments and gas station security. Our Security Products segment has one manufacturing facility in Mauldin, South Carolina and one in Grayslake, Illinois which is shared with Marine Components. We believe we are a North American market leader in the manufacture and sale of cabinet locks and other locking mechanisms. These products include:</w:t>
      </w:r>
    </w:p>
    <w:p>
      <w:pPr>
        <w:spacing w:after="0" w:line="74" w:lineRule="exact"/>
        <w:rPr>
          <w:sz w:val="20"/>
          <w:szCs w:val="20"/>
          <w:color w:val="auto"/>
        </w:rPr>
      </w:pPr>
    </w:p>
    <w:p>
      <w:pPr>
        <w:ind w:left="1200" w:hanging="598"/>
        <w:spacing w:after="0"/>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 tumbler locks which provide moderate security and generally represent the lowest cost lock to produce;</w:t>
      </w:r>
    </w:p>
    <w:p>
      <w:pPr>
        <w:spacing w:after="0" w:line="117" w:lineRule="exact"/>
        <w:rPr>
          <w:rFonts w:ascii="Times New Roman" w:cs="Times New Roman" w:eastAsia="Times New Roman" w:hAnsi="Times New Roman"/>
          <w:sz w:val="18"/>
          <w:szCs w:val="18"/>
          <w:color w:val="auto"/>
        </w:rPr>
      </w:pPr>
    </w:p>
    <w:p>
      <w:pPr>
        <w:jc w:val="both"/>
        <w:ind w:left="1200" w:right="20" w:hanging="598"/>
        <w:spacing w:after="0" w:line="233" w:lineRule="auto"/>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pin tumbler locking mechanisms which are more costly to produce and are used in applications requiring higher levels of security, including </w:t>
      </w:r>
      <w:r>
        <w:rPr>
          <w:rFonts w:ascii="Times New Roman" w:cs="Times New Roman" w:eastAsia="Times New Roman" w:hAnsi="Times New Roman"/>
          <w:sz w:val="18"/>
          <w:szCs w:val="18"/>
          <w:i w:val="1"/>
          <w:iCs w:val="1"/>
          <w:color w:val="auto"/>
        </w:rPr>
        <w:t>KeSet</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System 64</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each allow the user to change the keying on a single lock 64 times without removing the lock from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enclosure), </w:t>
      </w:r>
      <w:r>
        <w:rPr>
          <w:rFonts w:ascii="Times New Roman" w:cs="Times New Roman" w:eastAsia="Times New Roman" w:hAnsi="Times New Roman"/>
          <w:sz w:val="18"/>
          <w:szCs w:val="18"/>
          <w:i w:val="1"/>
          <w:iCs w:val="1"/>
          <w:color w:val="auto"/>
        </w:rPr>
        <w:t>TuBar</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Turbine</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color w:val="auto"/>
        </w:rPr>
        <w:t>; and</w:t>
      </w:r>
    </w:p>
    <w:p>
      <w:pPr>
        <w:spacing w:after="0" w:line="109" w:lineRule="exact"/>
        <w:rPr>
          <w:rFonts w:ascii="Times New Roman" w:cs="Times New Roman" w:eastAsia="Times New Roman" w:hAnsi="Times New Roman"/>
          <w:sz w:val="18"/>
          <w:szCs w:val="18"/>
          <w:color w:val="auto"/>
        </w:rPr>
      </w:pPr>
    </w:p>
    <w:p>
      <w:pPr>
        <w:ind w:left="5660" w:hanging="96"/>
        <w:spacing w:after="0"/>
        <w:tabs>
          <w:tab w:leader="none" w:pos="5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ind w:left="1200" w:right="20" w:hanging="598"/>
        <w:spacing w:after="0" w:line="214" w:lineRule="auto"/>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innovative </w:t>
      </w:r>
      <w:r>
        <w:rPr>
          <w:rFonts w:ascii="Times New Roman" w:cs="Times New Roman" w:eastAsia="Times New Roman" w:hAnsi="Times New Roman"/>
          <w:sz w:val="18"/>
          <w:szCs w:val="18"/>
          <w:i w:val="1"/>
          <w:iCs w:val="1"/>
          <w:color w:val="auto"/>
        </w:rPr>
        <w:t>CompX eLock</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StealthLock</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electronic locks which provide stand-alone or networked security and audit trail capability for drug storage and other valuables through the use of a proximity card, magnetic stripe, radio frequency or other keypad credential.</w:t>
      </w:r>
    </w:p>
    <w:p>
      <w:pPr>
        <w:spacing w:after="0" w:line="199" w:lineRule="exact"/>
        <w:rPr>
          <w:sz w:val="20"/>
          <w:szCs w:val="20"/>
          <w:color w:val="auto"/>
        </w:rPr>
      </w:pPr>
    </w:p>
    <w:p>
      <w:pPr>
        <w:jc w:val="both"/>
        <w:ind w:firstLine="1194"/>
        <w:spacing w:after="0" w:line="273" w:lineRule="auto"/>
        <w:rPr>
          <w:sz w:val="20"/>
          <w:szCs w:val="20"/>
          <w:color w:val="auto"/>
        </w:rPr>
      </w:pPr>
      <w:r>
        <w:rPr>
          <w:rFonts w:ascii="Times New Roman" w:cs="Times New Roman" w:eastAsia="Times New Roman" w:hAnsi="Times New Roman"/>
          <w:sz w:val="18"/>
          <w:szCs w:val="18"/>
          <w:color w:val="auto"/>
        </w:rPr>
        <w:t xml:space="preserve">A substantial portion of our Security Products’ sales consist of products with specialized adaptations to an individual customer’s specifications, some of which are listed above. We also have a standardized product line suitable for many customers, which is offered through a North American distribution network to locksmith and smaller original equipment manufacturer distributors via our </w:t>
      </w:r>
      <w:r>
        <w:rPr>
          <w:rFonts w:ascii="Times New Roman" w:cs="Times New Roman" w:eastAsia="Times New Roman" w:hAnsi="Times New Roman"/>
          <w:sz w:val="18"/>
          <w:szCs w:val="18"/>
          <w:i w:val="1"/>
          <w:iCs w:val="1"/>
          <w:color w:val="auto"/>
        </w:rPr>
        <w:t>STOCK LOCKS</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distribution program.</w:t>
      </w:r>
    </w:p>
    <w:p>
      <w:pPr>
        <w:spacing w:after="0" w:line="51" w:lineRule="exact"/>
        <w:rPr>
          <w:sz w:val="20"/>
          <w:szCs w:val="20"/>
          <w:color w:val="auto"/>
        </w:rPr>
      </w:pPr>
    </w:p>
    <w:p>
      <w:pPr>
        <w:jc w:val="both"/>
        <w:ind w:firstLine="1194"/>
        <w:spacing w:after="0" w:line="259" w:lineRule="auto"/>
        <w:rPr>
          <w:sz w:val="20"/>
          <w:szCs w:val="20"/>
          <w:color w:val="auto"/>
        </w:rPr>
      </w:pPr>
      <w:r>
        <w:rPr>
          <w:rFonts w:ascii="Times New Roman" w:cs="Times New Roman" w:eastAsia="Times New Roman" w:hAnsi="Times New Roman"/>
          <w:sz w:val="18"/>
          <w:szCs w:val="18"/>
          <w:i w:val="1"/>
          <w:iCs w:val="1"/>
          <w:color w:val="auto"/>
        </w:rPr>
        <w:t>Marine Components</w:t>
      </w:r>
      <w:r>
        <w:rPr>
          <w:rFonts w:ascii="Times New Roman" w:cs="Times New Roman" w:eastAsia="Times New Roman" w:hAnsi="Times New Roman"/>
          <w:sz w:val="18"/>
          <w:szCs w:val="18"/>
          <w:color w:val="auto"/>
        </w:rPr>
        <w:t>. Our Marine Components segment manufactures and distributes stainless steel exhaust components, gauges, throttle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controls, wake enhancement systems, trim tabs and related hardware and accessories primarily for performance and ski/wakeboard boats. Our Marine Components segment has a facility in Neenah, Wisconsin and a facility in Grayslake, Illinois which is shared with Security Products. Our specialty Marine Component products are high precision components designed to operate within tight tolerances in the highly demanding marine environment. These products include:</w:t>
      </w:r>
    </w:p>
    <w:p>
      <w:pPr>
        <w:spacing w:after="0" w:line="74" w:lineRule="exact"/>
        <w:rPr>
          <w:sz w:val="20"/>
          <w:szCs w:val="20"/>
          <w:color w:val="auto"/>
        </w:rPr>
      </w:pPr>
    </w:p>
    <w:p>
      <w:pPr>
        <w:ind w:left="1200" w:hanging="598"/>
        <w:spacing w:after="0"/>
        <w:tabs>
          <w:tab w:leader="none" w:pos="1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equipment and aftermarket stainless steel exhaust headers, exhaust pipes, mufflers and other exhaust components;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performance gauges such as GPS speedometers and tachometers;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and electronic controls and throttles;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wake enhancement devices, trim tabs, steering wheels, and billet aluminum accessories;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dash panels, LED indicators, wire harnesses and other accessories.</w:t>
      </w:r>
    </w:p>
    <w:p>
      <w:pPr>
        <w:spacing w:after="0" w:line="225" w:lineRule="exact"/>
        <w:rPr>
          <w:sz w:val="20"/>
          <w:szCs w:val="20"/>
          <w:color w:val="auto"/>
        </w:rPr>
      </w:pPr>
    </w:p>
    <w:p>
      <w:pPr>
        <w:ind w:firstLine="1194"/>
        <w:spacing w:after="0" w:line="282" w:lineRule="auto"/>
        <w:rPr>
          <w:sz w:val="20"/>
          <w:szCs w:val="20"/>
          <w:color w:val="auto"/>
        </w:rPr>
      </w:pPr>
      <w:r>
        <w:rPr>
          <w:rFonts w:ascii="Times New Roman" w:cs="Times New Roman" w:eastAsia="Times New Roman" w:hAnsi="Times New Roman"/>
          <w:sz w:val="18"/>
          <w:szCs w:val="18"/>
          <w:color w:val="auto"/>
        </w:rPr>
        <w:t>For information regarding our three manufacturing and other facilities, see “Item 2 – Properties,” including information regarding leased and distribution-only facilities.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Raw Materials</w:t>
      </w:r>
    </w:p>
    <w:p>
      <w:pPr>
        <w:spacing w:after="0" w:line="22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Our primary raw materials are:</w:t>
      </w:r>
    </w:p>
    <w:p>
      <w:pPr>
        <w:spacing w:after="0" w:line="117" w:lineRule="exact"/>
        <w:rPr>
          <w:sz w:val="20"/>
          <w:szCs w:val="20"/>
          <w:color w:val="auto"/>
        </w:rPr>
      </w:pPr>
    </w:p>
    <w:p>
      <w:pPr>
        <w:ind w:left="1200" w:hanging="598"/>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Products - zinc and brass (for the manufacture of locking mechanisms).</w:t>
      </w:r>
    </w:p>
    <w:p>
      <w:pPr>
        <w:spacing w:after="0" w:line="117"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Marine Components - stainless steel (for the manufacture of exhaust headers and pipes and wake enhancement systems), aluminum (for the manufacture of throttles and trim tabs) and other components.</w:t>
      </w:r>
    </w:p>
    <w:p>
      <w:pPr>
        <w:spacing w:after="0" w:line="162" w:lineRule="exact"/>
        <w:rPr>
          <w:sz w:val="20"/>
          <w:szCs w:val="20"/>
          <w:color w:val="auto"/>
        </w:rPr>
      </w:pPr>
    </w:p>
    <w:p>
      <w:pPr>
        <w:jc w:val="both"/>
        <w:ind w:firstLine="1194"/>
        <w:spacing w:after="0" w:line="282" w:lineRule="auto"/>
        <w:rPr>
          <w:sz w:val="20"/>
          <w:szCs w:val="20"/>
          <w:color w:val="auto"/>
        </w:rPr>
      </w:pPr>
      <w:r>
        <w:rPr>
          <w:rFonts w:ascii="Times New Roman" w:cs="Times New Roman" w:eastAsia="Times New Roman" w:hAnsi="Times New Roman"/>
          <w:sz w:val="18"/>
          <w:szCs w:val="18"/>
          <w:color w:val="auto"/>
        </w:rPr>
        <w:t>These raw materials are purchased from several suppliers, are readily available from numerous sources and accounted for approximately 12% of our total cost of sales for 2018. Total material costs, including purchased components, represented approximately 45% of our cost of sales in 2018.</w:t>
      </w:r>
    </w:p>
    <w:p>
      <w:pPr>
        <w:spacing w:after="0" w:line="162" w:lineRule="exact"/>
        <w:rPr>
          <w:sz w:val="20"/>
          <w:szCs w:val="20"/>
          <w:color w:val="auto"/>
        </w:rPr>
      </w:pPr>
    </w:p>
    <w:p>
      <w:pPr>
        <w:jc w:val="both"/>
        <w:ind w:firstLine="1194"/>
        <w:spacing w:after="0" w:line="253" w:lineRule="auto"/>
        <w:rPr>
          <w:sz w:val="20"/>
          <w:szCs w:val="20"/>
          <w:color w:val="auto"/>
        </w:rPr>
      </w:pPr>
      <w:r>
        <w:rPr>
          <w:rFonts w:ascii="Times New Roman" w:cs="Times New Roman" w:eastAsia="Times New Roman" w:hAnsi="Times New Roman"/>
          <w:sz w:val="18"/>
          <w:szCs w:val="18"/>
          <w:color w:val="auto"/>
        </w:rPr>
        <w:t>We occasionally enter into short-term commodity-related raw material supply arrangements to mitigate the impact of future price increases in commodity-related raw materials, including zinc, brass and stainless steel. These arrangements generally provide for stated unit prices based upon specified purchase volumes, which help us to stabilize our commodity-related raw material costs to a certain extent. During 2017 and 2018, markets for the primary commodity-related raw materials used in the manufacture of our locking mechanisms, primarily zinc and brass, generally strengthened, but were moderating at the end of 2018. Over that same period, the market for stainless steel, the primary raw material used for the manufacture of marine exhaust headers and pipes and wake enhancement systems, remained relatively stable. While we expect the markets for our primary commodity-related raw materials to remain stable during 2019, we recognize that economic conditions could introduce renewed volatility on these and other manufacturing materials. When purchased on the spot market, each of these raw materials may be subject to sudden and unanticipated price increases. When possible, we seek to mitigate the impact of fluctuations in these raw material costs on our margins through improvements in production efficiencies or other operating cost reductions. In the event we are unable to offset raw material cost increases with other cost reductions, it may be difficult to recover those cost increases through increased product selling prices or raw material surcharges due to the competitive nature of the markets served by our products. Consequently, overall</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4" w:name="page5"/>
    <w:bookmarkEnd w:id="4"/>
    <w:p>
      <w:pPr>
        <w:spacing w:after="0" w:line="282" w:lineRule="auto"/>
        <w:rPr>
          <w:sz w:val="20"/>
          <w:szCs w:val="20"/>
          <w:color w:val="auto"/>
        </w:rPr>
      </w:pPr>
      <w:r>
        <w:rPr>
          <w:rFonts w:ascii="Times New Roman" w:cs="Times New Roman" w:eastAsia="Times New Roman" w:hAnsi="Times New Roman"/>
          <w:sz w:val="18"/>
          <w:szCs w:val="18"/>
          <w:color w:val="auto"/>
        </w:rPr>
        <w:t>operating margins can be affected by commodity-related raw material cost pressures. Commodity market prices are cyclical, reflecting overall economic trends, specific developments in consuming industries and speculative investor activities.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 and Trademarks</w:t>
      </w:r>
    </w:p>
    <w:p>
      <w:pPr>
        <w:spacing w:after="0" w:line="121" w:lineRule="exact"/>
        <w:rPr>
          <w:sz w:val="20"/>
          <w:szCs w:val="20"/>
          <w:color w:val="auto"/>
        </w:rPr>
      </w:pPr>
    </w:p>
    <w:p>
      <w:pPr>
        <w:ind w:firstLine="1194"/>
        <w:spacing w:after="0" w:line="282" w:lineRule="auto"/>
        <w:rPr>
          <w:sz w:val="20"/>
          <w:szCs w:val="20"/>
          <w:color w:val="auto"/>
        </w:rPr>
      </w:pPr>
      <w:r>
        <w:rPr>
          <w:rFonts w:ascii="Times New Roman" w:cs="Times New Roman" w:eastAsia="Times New Roman" w:hAnsi="Times New Roman"/>
          <w:sz w:val="18"/>
          <w:szCs w:val="18"/>
          <w:color w:val="auto"/>
        </w:rPr>
        <w:t>We hold a number of patents relating to our component products, certain of which we believe to be important to us and our continuing business activity. Patents generally have a term of 20 years, and our patents have remaining terms ranging from 1 year to 16 years at December 31, 2018.</w:t>
      </w:r>
    </w:p>
    <w:p>
      <w:pPr>
        <w:spacing w:after="0" w:line="4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 xml:space="preserve">Our major trademarks and brand names in addition to </w:t>
      </w:r>
      <w:r>
        <w:rPr>
          <w:rFonts w:ascii="Times New Roman" w:cs="Times New Roman" w:eastAsia="Times New Roman" w:hAnsi="Times New Roman"/>
          <w:sz w:val="21"/>
          <w:szCs w:val="21"/>
          <w:i w:val="1"/>
          <w:iCs w:val="1"/>
          <w:color w:val="auto"/>
        </w:rPr>
        <w:t>CompX</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include:</w:t>
      </w:r>
    </w:p>
    <w:p>
      <w:pPr>
        <w:spacing w:after="0" w:line="194" w:lineRule="exact"/>
        <w:rPr>
          <w:sz w:val="20"/>
          <w:szCs w:val="20"/>
          <w:color w:val="auto"/>
        </w:rPr>
      </w:pPr>
    </w:p>
    <w:p>
      <w:pPr>
        <w:ind w:left="1380"/>
        <w:spacing w:after="0"/>
        <w:tabs>
          <w:tab w:leader="none" w:pos="5080" w:val="left"/>
          <w:tab w:leader="none" w:pos="8760" w:val="left"/>
        </w:tabs>
        <w:rPr>
          <w:sz w:val="20"/>
          <w:szCs w:val="20"/>
          <w:color w:val="auto"/>
        </w:rPr>
      </w:pPr>
      <w:r>
        <w:rPr>
          <w:rFonts w:ascii="Times New Roman" w:cs="Times New Roman" w:eastAsia="Times New Roman" w:hAnsi="Times New Roman"/>
          <w:sz w:val="14"/>
          <w:szCs w:val="14"/>
          <w:b w:val="1"/>
          <w:bCs w:val="1"/>
          <w:color w:val="auto"/>
        </w:rPr>
        <w:t>Security Products</w:t>
      </w:r>
      <w:r>
        <w:rPr>
          <w:sz w:val="20"/>
          <w:szCs w:val="20"/>
          <w:color w:val="auto"/>
        </w:rPr>
        <w:tab/>
      </w:r>
      <w:r>
        <w:rPr>
          <w:rFonts w:ascii="Times New Roman" w:cs="Times New Roman" w:eastAsia="Times New Roman" w:hAnsi="Times New Roman"/>
          <w:sz w:val="14"/>
          <w:szCs w:val="14"/>
          <w:b w:val="1"/>
          <w:bCs w:val="1"/>
          <w:color w:val="auto"/>
        </w:rPr>
        <w:t>Security Products</w:t>
      </w:r>
      <w:r>
        <w:rPr>
          <w:sz w:val="20"/>
          <w:szCs w:val="20"/>
          <w:color w:val="auto"/>
        </w:rPr>
        <w:tab/>
      </w:r>
      <w:r>
        <w:rPr>
          <w:rFonts w:ascii="Times New Roman" w:cs="Times New Roman" w:eastAsia="Times New Roman" w:hAnsi="Times New Roman"/>
          <w:sz w:val="14"/>
          <w:szCs w:val="14"/>
          <w:b w:val="1"/>
          <w:bCs w:val="1"/>
          <w:color w:val="auto"/>
        </w:rPr>
        <w:t>Marine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7620</wp:posOffset>
            </wp:positionV>
            <wp:extent cx="24441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12"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6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CompX</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8"/>
                <w:szCs w:val="18"/>
                <w:i w:val="1"/>
                <w:iCs w:val="1"/>
                <w:color w:val="auto"/>
              </w:rPr>
              <w:t xml:space="preserve"> Security Products™</w:t>
            </w:r>
          </w:p>
        </w:tc>
        <w:tc>
          <w:tcPr>
            <w:tcW w:w="120" w:type="dxa"/>
            <w:vAlign w:val="bottom"/>
          </w:tcPr>
          <w:p>
            <w:pPr>
              <w:spacing w:after="0"/>
              <w:rPr>
                <w:sz w:val="16"/>
                <w:szCs w:val="16"/>
                <w:color w:val="auto"/>
              </w:rPr>
            </w:pPr>
          </w:p>
        </w:tc>
        <w:tc>
          <w:tcPr>
            <w:tcW w:w="3500" w:type="dxa"/>
            <w:vAlign w:val="bottom"/>
            <w:tcBorders>
              <w:top w:val="single" w:sz="8" w:color="auto"/>
            </w:tcBorders>
          </w:tcPr>
          <w:p>
            <w:pPr>
              <w:spacing w:after="0" w:line="190" w:lineRule="exact"/>
              <w:rPr>
                <w:sz w:val="20"/>
                <w:szCs w:val="20"/>
                <w:color w:val="auto"/>
              </w:rPr>
            </w:pPr>
            <w:r>
              <w:rPr>
                <w:rFonts w:ascii="Times New Roman" w:cs="Times New Roman" w:eastAsia="Times New Roman" w:hAnsi="Times New Roman"/>
                <w:sz w:val="15"/>
                <w:szCs w:val="15"/>
                <w:i w:val="1"/>
                <w:iCs w:val="1"/>
                <w:color w:val="auto"/>
              </w:rPr>
              <w:t>Lockview</w:t>
            </w:r>
            <w:r>
              <w:rPr>
                <w:rFonts w:ascii="Times New Roman" w:cs="Times New Roman" w:eastAsia="Times New Roman" w:hAnsi="Times New Roman"/>
                <w:sz w:val="21"/>
                <w:szCs w:val="21"/>
                <w:i w:val="1"/>
                <w:iCs w:val="1"/>
                <w:color w:val="auto"/>
                <w:vertAlign w:val="superscript"/>
              </w:rPr>
              <w:t>®</w:t>
            </w:r>
          </w:p>
        </w:tc>
      </w:tr>
      <w:tr>
        <w:trPr>
          <w:trHeight w:val="216"/>
        </w:trPr>
        <w:tc>
          <w:tcPr>
            <w:tcW w:w="38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National Cabinet Lock</w:t>
            </w:r>
            <w:r>
              <w:rPr>
                <w:rFonts w:ascii="Times New Roman" w:cs="Times New Roman" w:eastAsia="Times New Roman" w:hAnsi="Times New Roman"/>
                <w:sz w:val="25"/>
                <w:szCs w:val="25"/>
                <w:i w:val="1"/>
                <w:iCs w:val="1"/>
                <w:color w:val="auto"/>
                <w:vertAlign w:val="superscript"/>
              </w:rPr>
              <w:t>®</w:t>
            </w:r>
          </w:p>
        </w:tc>
        <w:tc>
          <w:tcPr>
            <w:tcW w:w="3500" w:type="dxa"/>
            <w:vAlign w:val="bottom"/>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System 64</w:t>
            </w:r>
            <w:r>
              <w:rPr>
                <w:rFonts w:ascii="Times New Roman" w:cs="Times New Roman" w:eastAsia="Times New Roman" w:hAnsi="Times New Roman"/>
                <w:sz w:val="25"/>
                <w:szCs w:val="25"/>
                <w:i w:val="1"/>
                <w:iCs w:val="1"/>
                <w:color w:val="auto"/>
                <w:vertAlign w:val="superscript"/>
              </w:rPr>
              <w:t>®</w:t>
            </w:r>
          </w:p>
        </w:tc>
      </w:tr>
      <w:tr>
        <w:trPr>
          <w:trHeight w:val="216"/>
        </w:trPr>
        <w:tc>
          <w:tcPr>
            <w:tcW w:w="38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Fort Lock</w:t>
            </w:r>
            <w:r>
              <w:rPr>
                <w:rFonts w:ascii="Times New Roman" w:cs="Times New Roman" w:eastAsia="Times New Roman" w:hAnsi="Times New Roman"/>
                <w:sz w:val="25"/>
                <w:szCs w:val="25"/>
                <w:i w:val="1"/>
                <w:iCs w:val="1"/>
                <w:color w:val="auto"/>
                <w:vertAlign w:val="superscript"/>
              </w:rPr>
              <w:t>®</w:t>
            </w:r>
          </w:p>
        </w:tc>
        <w:tc>
          <w:tcPr>
            <w:tcW w:w="3500" w:type="dxa"/>
            <w:vAlign w:val="bottom"/>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SlamCAM</w:t>
            </w:r>
            <w:r>
              <w:rPr>
                <w:rFonts w:ascii="Times New Roman" w:cs="Times New Roman" w:eastAsia="Times New Roman" w:hAnsi="Times New Roman"/>
                <w:sz w:val="25"/>
                <w:szCs w:val="25"/>
                <w:i w:val="1"/>
                <w:iCs w:val="1"/>
                <w:color w:val="auto"/>
                <w:vertAlign w:val="superscript"/>
              </w:rPr>
              <w:t>®</w:t>
            </w:r>
          </w:p>
        </w:tc>
      </w:tr>
      <w:tr>
        <w:trPr>
          <w:trHeight w:val="216"/>
        </w:trPr>
        <w:tc>
          <w:tcPr>
            <w:tcW w:w="38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Timberline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7"/>
                <w:szCs w:val="17"/>
                <w:i w:val="1"/>
                <w:iCs w:val="1"/>
                <w:color w:val="auto"/>
              </w:rPr>
              <w:t xml:space="preserve"> Lock</w:t>
            </w:r>
          </w:p>
        </w:tc>
        <w:tc>
          <w:tcPr>
            <w:tcW w:w="3500" w:type="dxa"/>
            <w:vAlign w:val="bottom"/>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RegulatoR</w:t>
            </w:r>
            <w:r>
              <w:rPr>
                <w:rFonts w:ascii="Times New Roman" w:cs="Times New Roman" w:eastAsia="Times New Roman" w:hAnsi="Times New Roman"/>
                <w:sz w:val="25"/>
                <w:szCs w:val="25"/>
                <w:i w:val="1"/>
                <w:iCs w:val="1"/>
                <w:color w:val="auto"/>
                <w:vertAlign w:val="superscript"/>
              </w:rPr>
              <w:t>®</w:t>
            </w:r>
          </w:p>
        </w:tc>
      </w:tr>
      <w:tr>
        <w:trPr>
          <w:trHeight w:val="216"/>
        </w:trPr>
        <w:tc>
          <w:tcPr>
            <w:tcW w:w="38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Chicago Lock</w:t>
            </w:r>
            <w:r>
              <w:rPr>
                <w:rFonts w:ascii="Times New Roman" w:cs="Times New Roman" w:eastAsia="Times New Roman" w:hAnsi="Times New Roman"/>
                <w:sz w:val="25"/>
                <w:szCs w:val="25"/>
                <w:i w:val="1"/>
                <w:iCs w:val="1"/>
                <w:color w:val="auto"/>
                <w:vertAlign w:val="superscript"/>
              </w:rPr>
              <w:t>®</w:t>
            </w:r>
          </w:p>
        </w:tc>
        <w:tc>
          <w:tcPr>
            <w:tcW w:w="3500" w:type="dxa"/>
            <w:vAlign w:val="bottom"/>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CompXpress</w:t>
            </w:r>
            <w:r>
              <w:rPr>
                <w:rFonts w:ascii="Times New Roman" w:cs="Times New Roman" w:eastAsia="Times New Roman" w:hAnsi="Times New Roman"/>
                <w:sz w:val="25"/>
                <w:szCs w:val="25"/>
                <w:i w:val="1"/>
                <w:iCs w:val="1"/>
                <w:color w:val="auto"/>
                <w:vertAlign w:val="superscript"/>
              </w:rPr>
              <w:t>®</w:t>
            </w:r>
          </w:p>
        </w:tc>
      </w:tr>
      <w:tr>
        <w:trPr>
          <w:trHeight w:val="216"/>
        </w:trPr>
        <w:tc>
          <w:tcPr>
            <w:tcW w:w="38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STOCK LOCKS</w:t>
            </w:r>
            <w:r>
              <w:rPr>
                <w:rFonts w:ascii="Times New Roman" w:cs="Times New Roman" w:eastAsia="Times New Roman" w:hAnsi="Times New Roman"/>
                <w:sz w:val="25"/>
                <w:szCs w:val="25"/>
                <w:i w:val="1"/>
                <w:iCs w:val="1"/>
                <w:color w:val="auto"/>
                <w:vertAlign w:val="superscript"/>
              </w:rPr>
              <w:t>®</w:t>
            </w:r>
          </w:p>
        </w:tc>
        <w:tc>
          <w:tcPr>
            <w:tcW w:w="3500" w:type="dxa"/>
            <w:vAlign w:val="bottom"/>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GEM</w:t>
            </w:r>
            <w:r>
              <w:rPr>
                <w:rFonts w:ascii="Times New Roman" w:cs="Times New Roman" w:eastAsia="Times New Roman" w:hAnsi="Times New Roman"/>
                <w:sz w:val="25"/>
                <w:szCs w:val="25"/>
                <w:i w:val="1"/>
                <w:iCs w:val="1"/>
                <w:color w:val="auto"/>
                <w:vertAlign w:val="superscript"/>
              </w:rPr>
              <w:t>®</w:t>
            </w:r>
          </w:p>
        </w:tc>
      </w:tr>
      <w:tr>
        <w:trPr>
          <w:trHeight w:val="216"/>
        </w:trPr>
        <w:tc>
          <w:tcPr>
            <w:tcW w:w="38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KeSet</w:t>
            </w:r>
            <w:r>
              <w:rPr>
                <w:rFonts w:ascii="Times New Roman" w:cs="Times New Roman" w:eastAsia="Times New Roman" w:hAnsi="Times New Roman"/>
                <w:sz w:val="25"/>
                <w:szCs w:val="25"/>
                <w:i w:val="1"/>
                <w:iCs w:val="1"/>
                <w:color w:val="auto"/>
                <w:vertAlign w:val="superscript"/>
              </w:rPr>
              <w:t>®</w:t>
            </w:r>
          </w:p>
        </w:tc>
        <w:tc>
          <w:tcPr>
            <w:tcW w:w="3500" w:type="dxa"/>
            <w:vAlign w:val="bottom"/>
          </w:tcPr>
          <w:p>
            <w:pPr>
              <w:spacing w:after="0"/>
              <w:rPr>
                <w:sz w:val="18"/>
                <w:szCs w:val="18"/>
                <w:color w:val="auto"/>
              </w:rPr>
            </w:pPr>
          </w:p>
        </w:tc>
      </w:tr>
      <w:tr>
        <w:trPr>
          <w:trHeight w:val="216"/>
        </w:trPr>
        <w:tc>
          <w:tcPr>
            <w:tcW w:w="38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TuBar</w:t>
            </w:r>
            <w:r>
              <w:rPr>
                <w:rFonts w:ascii="Times New Roman" w:cs="Times New Roman" w:eastAsia="Times New Roman" w:hAnsi="Times New Roman"/>
                <w:sz w:val="25"/>
                <w:szCs w:val="25"/>
                <w:i w:val="1"/>
                <w:iCs w:val="1"/>
                <w:color w:val="auto"/>
                <w:vertAlign w:val="superscript"/>
              </w:rPr>
              <w:t>®</w:t>
            </w:r>
          </w:p>
        </w:tc>
        <w:tc>
          <w:tcPr>
            <w:tcW w:w="3500" w:type="dxa"/>
            <w:vAlign w:val="bottom"/>
          </w:tcPr>
          <w:p>
            <w:pPr>
              <w:spacing w:after="0"/>
              <w:rPr>
                <w:sz w:val="18"/>
                <w:szCs w:val="18"/>
                <w:color w:val="auto"/>
              </w:rPr>
            </w:pPr>
          </w:p>
        </w:tc>
      </w:tr>
      <w:tr>
        <w:trPr>
          <w:trHeight w:val="216"/>
        </w:trPr>
        <w:tc>
          <w:tcPr>
            <w:tcW w:w="38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StealthLock</w:t>
            </w:r>
            <w:r>
              <w:rPr>
                <w:rFonts w:ascii="Times New Roman" w:cs="Times New Roman" w:eastAsia="Times New Roman" w:hAnsi="Times New Roman"/>
                <w:sz w:val="25"/>
                <w:szCs w:val="25"/>
                <w:i w:val="1"/>
                <w:iCs w:val="1"/>
                <w:color w:val="auto"/>
                <w:vertAlign w:val="superscript"/>
              </w:rPr>
              <w:t>®</w:t>
            </w:r>
          </w:p>
        </w:tc>
        <w:tc>
          <w:tcPr>
            <w:tcW w:w="3500" w:type="dxa"/>
            <w:vAlign w:val="bottom"/>
          </w:tcPr>
          <w:p>
            <w:pPr>
              <w:spacing w:after="0"/>
              <w:rPr>
                <w:sz w:val="18"/>
                <w:szCs w:val="18"/>
                <w:color w:val="auto"/>
              </w:rPr>
            </w:pPr>
          </w:p>
        </w:tc>
      </w:tr>
      <w:tr>
        <w:trPr>
          <w:trHeight w:val="216"/>
        </w:trPr>
        <w:tc>
          <w:tcPr>
            <w:tcW w:w="38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ACE</w:t>
            </w:r>
            <w:r>
              <w:rPr>
                <w:rFonts w:ascii="Times New Roman" w:cs="Times New Roman" w:eastAsia="Times New Roman" w:hAnsi="Times New Roman"/>
                <w:sz w:val="25"/>
                <w:szCs w:val="25"/>
                <w:i w:val="1"/>
                <w:iCs w:val="1"/>
                <w:color w:val="auto"/>
                <w:vertAlign w:val="superscript"/>
              </w:rPr>
              <w:t>®</w:t>
            </w:r>
          </w:p>
        </w:tc>
        <w:tc>
          <w:tcPr>
            <w:tcW w:w="3500" w:type="dxa"/>
            <w:vAlign w:val="bottom"/>
          </w:tcPr>
          <w:p>
            <w:pPr>
              <w:spacing w:after="0"/>
              <w:rPr>
                <w:sz w:val="18"/>
                <w:szCs w:val="18"/>
                <w:color w:val="auto"/>
              </w:rPr>
            </w:pPr>
          </w:p>
        </w:tc>
      </w:tr>
      <w:tr>
        <w:trPr>
          <w:trHeight w:val="216"/>
        </w:trPr>
        <w:tc>
          <w:tcPr>
            <w:tcW w:w="38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ACE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7"/>
                <w:szCs w:val="17"/>
                <w:i w:val="1"/>
                <w:iCs w:val="1"/>
                <w:color w:val="auto"/>
              </w:rPr>
              <w:t xml:space="preserve"> II</w:t>
            </w:r>
          </w:p>
        </w:tc>
        <w:tc>
          <w:tcPr>
            <w:tcW w:w="3500" w:type="dxa"/>
            <w:vAlign w:val="bottom"/>
          </w:tcPr>
          <w:p>
            <w:pPr>
              <w:spacing w:after="0"/>
              <w:rPr>
                <w:sz w:val="18"/>
                <w:szCs w:val="18"/>
                <w:color w:val="auto"/>
              </w:rPr>
            </w:pPr>
          </w:p>
        </w:tc>
      </w:tr>
      <w:tr>
        <w:trPr>
          <w:trHeight w:val="354"/>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CompX eLock</w:t>
            </w:r>
            <w:r>
              <w:rPr>
                <w:rFonts w:ascii="Times New Roman" w:cs="Times New Roman" w:eastAsia="Times New Roman" w:hAnsi="Times New Roman"/>
                <w:sz w:val="26"/>
                <w:szCs w:val="26"/>
                <w:i w:val="1"/>
                <w:iCs w:val="1"/>
                <w:color w:val="auto"/>
                <w:vertAlign w:val="superscript"/>
              </w:rPr>
              <w:t>®</w:t>
            </w:r>
          </w:p>
        </w:tc>
        <w:tc>
          <w:tcPr>
            <w:tcW w:w="3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93" w:lineRule="auto"/>
        <w:rPr>
          <w:sz w:val="20"/>
          <w:szCs w:val="20"/>
          <w:color w:val="auto"/>
        </w:rPr>
      </w:pPr>
      <w:r>
        <w:rPr>
          <w:rFonts w:ascii="Times New Roman" w:cs="Times New Roman" w:eastAsia="Times New Roman" w:hAnsi="Times New Roman"/>
          <w:sz w:val="18"/>
          <w:szCs w:val="18"/>
          <w:i w:val="1"/>
          <w:iCs w:val="1"/>
          <w:color w:val="auto"/>
        </w:rPr>
        <w:t>CompX Marine</w:t>
      </w:r>
      <w:r>
        <w:rPr>
          <w:rFonts w:ascii="Times New Roman" w:cs="Times New Roman" w:eastAsia="Times New Roman" w:hAnsi="Times New Roman"/>
          <w:sz w:val="26"/>
          <w:szCs w:val="26"/>
          <w:i w:val="1"/>
          <w:iCs w:val="1"/>
          <w:color w:val="auto"/>
          <w:vertAlign w:val="superscript"/>
        </w:rPr>
        <w:t>®</w:t>
      </w:r>
    </w:p>
    <w:p>
      <w:pPr>
        <w:spacing w:after="0"/>
        <w:rPr>
          <w:sz w:val="20"/>
          <w:szCs w:val="20"/>
          <w:color w:val="auto"/>
        </w:rPr>
      </w:pPr>
      <w:r>
        <w:rPr>
          <w:rFonts w:ascii="Times New Roman" w:cs="Times New Roman" w:eastAsia="Times New Roman" w:hAnsi="Times New Roman"/>
          <w:sz w:val="18"/>
          <w:szCs w:val="18"/>
          <w:i w:val="1"/>
          <w:iCs w:val="1"/>
          <w:color w:val="auto"/>
        </w:rPr>
        <w:t>Custom Marine</w:t>
      </w:r>
      <w:r>
        <w:rPr>
          <w:rFonts w:ascii="Times New Roman" w:cs="Times New Roman" w:eastAsia="Times New Roman" w:hAnsi="Times New Roman"/>
          <w:sz w:val="15"/>
          <w:szCs w:val="15"/>
          <w:i w:val="1"/>
          <w:iCs w:val="1"/>
          <w:color w:val="auto"/>
        </w:rPr>
        <w:t>®</w:t>
      </w:r>
    </w:p>
    <w:p>
      <w:pPr>
        <w:spacing w:after="0" w:line="183" w:lineRule="auto"/>
        <w:rPr>
          <w:sz w:val="20"/>
          <w:szCs w:val="20"/>
          <w:color w:val="auto"/>
        </w:rPr>
      </w:pPr>
      <w:r>
        <w:rPr>
          <w:rFonts w:ascii="Times New Roman" w:cs="Times New Roman" w:eastAsia="Times New Roman" w:hAnsi="Times New Roman"/>
          <w:sz w:val="18"/>
          <w:szCs w:val="18"/>
          <w:i w:val="1"/>
          <w:iCs w:val="1"/>
          <w:color w:val="auto"/>
        </w:rPr>
        <w:t>Livorsi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i w:val="1"/>
          <w:iCs w:val="1"/>
          <w:color w:val="auto"/>
        </w:rPr>
        <w:t xml:space="preserve"> Marine</w:t>
      </w:r>
    </w:p>
    <w:p>
      <w:pPr>
        <w:spacing w:after="0" w:line="180" w:lineRule="auto"/>
        <w:rPr>
          <w:sz w:val="20"/>
          <w:szCs w:val="20"/>
          <w:color w:val="auto"/>
        </w:rPr>
      </w:pPr>
      <w:r>
        <w:rPr>
          <w:rFonts w:ascii="Times New Roman" w:cs="Times New Roman" w:eastAsia="Times New Roman" w:hAnsi="Times New Roman"/>
          <w:sz w:val="17"/>
          <w:szCs w:val="17"/>
          <w:i w:val="1"/>
          <w:iCs w:val="1"/>
          <w:color w:val="auto"/>
        </w:rPr>
        <w:t>Livorsi II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i w:val="1"/>
          <w:iCs w:val="1"/>
          <w:color w:val="auto"/>
        </w:rPr>
        <w:t xml:space="preserve"> Marine</w:t>
      </w:r>
    </w:p>
    <w:p>
      <w:pPr>
        <w:spacing w:after="0" w:line="180" w:lineRule="auto"/>
        <w:rPr>
          <w:sz w:val="20"/>
          <w:szCs w:val="20"/>
          <w:color w:val="auto"/>
        </w:rPr>
      </w:pPr>
      <w:r>
        <w:rPr>
          <w:rFonts w:ascii="Times New Roman" w:cs="Times New Roman" w:eastAsia="Times New Roman" w:hAnsi="Times New Roman"/>
          <w:sz w:val="17"/>
          <w:szCs w:val="17"/>
          <w:i w:val="1"/>
          <w:iCs w:val="1"/>
          <w:color w:val="auto"/>
        </w:rPr>
        <w:t>CMI Industrial</w:t>
      </w:r>
      <w:r>
        <w:rPr>
          <w:rFonts w:ascii="Times New Roman" w:cs="Times New Roman" w:eastAsia="Times New Roman" w:hAnsi="Times New Roman"/>
          <w:sz w:val="25"/>
          <w:szCs w:val="25"/>
          <w:i w:val="1"/>
          <w:iCs w:val="1"/>
          <w:color w:val="auto"/>
          <w:vertAlign w:val="superscript"/>
        </w:rPr>
        <w:t>®</w:t>
      </w:r>
    </w:p>
    <w:p>
      <w:pPr>
        <w:spacing w:after="0" w:line="181" w:lineRule="auto"/>
        <w:rPr>
          <w:sz w:val="20"/>
          <w:szCs w:val="20"/>
          <w:color w:val="auto"/>
        </w:rPr>
      </w:pPr>
      <w:r>
        <w:rPr>
          <w:rFonts w:ascii="Times New Roman" w:cs="Times New Roman" w:eastAsia="Times New Roman" w:hAnsi="Times New Roman"/>
          <w:sz w:val="17"/>
          <w:szCs w:val="17"/>
          <w:i w:val="1"/>
          <w:iCs w:val="1"/>
          <w:color w:val="auto"/>
        </w:rPr>
        <w:t>Custom Marine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7"/>
          <w:szCs w:val="17"/>
          <w:i w:val="1"/>
          <w:iCs w:val="1"/>
          <w:color w:val="auto"/>
        </w:rPr>
        <w:t xml:space="preserve"> Stainless Exhaust</w:t>
      </w:r>
    </w:p>
    <w:p>
      <w:pPr>
        <w:spacing w:after="0" w:line="180" w:lineRule="auto"/>
        <w:rPr>
          <w:sz w:val="20"/>
          <w:szCs w:val="20"/>
          <w:color w:val="auto"/>
        </w:rPr>
      </w:pPr>
      <w:r>
        <w:rPr>
          <w:rFonts w:ascii="Times New Roman" w:cs="Times New Roman" w:eastAsia="Times New Roman" w:hAnsi="Times New Roman"/>
          <w:sz w:val="17"/>
          <w:szCs w:val="17"/>
          <w:i w:val="1"/>
          <w:iCs w:val="1"/>
          <w:color w:val="auto"/>
        </w:rPr>
        <w:t>The #1 Choice in Performance Boating</w:t>
      </w:r>
      <w:r>
        <w:rPr>
          <w:rFonts w:ascii="Times New Roman" w:cs="Times New Roman" w:eastAsia="Times New Roman" w:hAnsi="Times New Roman"/>
          <w:sz w:val="25"/>
          <w:szCs w:val="25"/>
          <w:i w:val="1"/>
          <w:iCs w:val="1"/>
          <w:color w:val="auto"/>
          <w:vertAlign w:val="superscript"/>
        </w:rPr>
        <w:t>®</w:t>
      </w:r>
    </w:p>
    <w:p>
      <w:pPr>
        <w:spacing w:after="0" w:line="181" w:lineRule="auto"/>
        <w:rPr>
          <w:sz w:val="20"/>
          <w:szCs w:val="20"/>
          <w:color w:val="auto"/>
        </w:rPr>
      </w:pPr>
      <w:r>
        <w:rPr>
          <w:rFonts w:ascii="Times New Roman" w:cs="Times New Roman" w:eastAsia="Times New Roman" w:hAnsi="Times New Roman"/>
          <w:sz w:val="17"/>
          <w:szCs w:val="17"/>
          <w:i w:val="1"/>
          <w:iCs w:val="1"/>
          <w:color w:val="auto"/>
        </w:rPr>
        <w:t>Mega Rim</w:t>
      </w:r>
      <w:r>
        <w:rPr>
          <w:rFonts w:ascii="Times New Roman" w:cs="Times New Roman" w:eastAsia="Times New Roman" w:hAnsi="Times New Roman"/>
          <w:sz w:val="25"/>
          <w:szCs w:val="25"/>
          <w:i w:val="1"/>
          <w:iCs w:val="1"/>
          <w:color w:val="auto"/>
          <w:vertAlign w:val="superscript"/>
        </w:rPr>
        <w:t>®</w:t>
      </w:r>
    </w:p>
    <w:p>
      <w:pPr>
        <w:spacing w:after="0" w:line="180" w:lineRule="auto"/>
        <w:rPr>
          <w:sz w:val="20"/>
          <w:szCs w:val="20"/>
          <w:color w:val="auto"/>
        </w:rPr>
      </w:pPr>
      <w:r>
        <w:rPr>
          <w:rFonts w:ascii="Times New Roman" w:cs="Times New Roman" w:eastAsia="Times New Roman" w:hAnsi="Times New Roman"/>
          <w:sz w:val="17"/>
          <w:szCs w:val="17"/>
          <w:i w:val="1"/>
          <w:iCs w:val="1"/>
          <w:color w:val="auto"/>
        </w:rPr>
        <w:t>Race Rim</w:t>
      </w:r>
      <w:r>
        <w:rPr>
          <w:rFonts w:ascii="Times New Roman" w:cs="Times New Roman" w:eastAsia="Times New Roman" w:hAnsi="Times New Roman"/>
          <w:sz w:val="25"/>
          <w:szCs w:val="25"/>
          <w:i w:val="1"/>
          <w:iCs w:val="1"/>
          <w:color w:val="auto"/>
          <w:vertAlign w:val="superscript"/>
        </w:rPr>
        <w:t>®</w:t>
      </w:r>
    </w:p>
    <w:p>
      <w:pPr>
        <w:spacing w:after="0" w:line="180" w:lineRule="auto"/>
        <w:rPr>
          <w:sz w:val="20"/>
          <w:szCs w:val="20"/>
          <w:color w:val="auto"/>
        </w:rPr>
      </w:pPr>
      <w:r>
        <w:rPr>
          <w:rFonts w:ascii="Times New Roman" w:cs="Times New Roman" w:eastAsia="Times New Roman" w:hAnsi="Times New Roman"/>
          <w:sz w:val="17"/>
          <w:szCs w:val="17"/>
          <w:i w:val="1"/>
          <w:iCs w:val="1"/>
          <w:color w:val="auto"/>
        </w:rPr>
        <w:t>Vantage View</w:t>
      </w:r>
      <w:r>
        <w:rPr>
          <w:rFonts w:ascii="Times New Roman" w:cs="Times New Roman" w:eastAsia="Times New Roman" w:hAnsi="Times New Roman"/>
          <w:sz w:val="25"/>
          <w:szCs w:val="25"/>
          <w:i w:val="1"/>
          <w:iCs w:val="1"/>
          <w:color w:val="auto"/>
          <w:vertAlign w:val="superscript"/>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GEN-X</w:t>
      </w:r>
      <w:r>
        <w:rPr>
          <w:rFonts w:ascii="Times New Roman" w:cs="Times New Roman" w:eastAsia="Times New Roman" w:hAnsi="Times New Roman"/>
          <w:sz w:val="26"/>
          <w:szCs w:val="26"/>
          <w:i w:val="1"/>
          <w:iCs w:val="1"/>
          <w:color w:val="auto"/>
          <w:vertAlign w:val="superscript"/>
        </w:rPr>
        <w:t>®</w:t>
      </w:r>
    </w:p>
    <w:p>
      <w:pPr>
        <w:spacing w:after="0" w:line="433" w:lineRule="exact"/>
        <w:rPr>
          <w:sz w:val="20"/>
          <w:szCs w:val="20"/>
          <w:color w:val="auto"/>
        </w:rPr>
      </w:pPr>
    </w:p>
    <w:p>
      <w:pPr>
        <w:sectPr>
          <w:pgSz w:w="11900" w:h="16838" w:orient="portrait"/>
          <w:cols w:equalWidth="0" w:num="2">
            <w:col w:w="7400" w:space="100"/>
            <w:col w:w="3920"/>
          </w:cols>
          <w:pgMar w:left="240" w:top="337"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Marketing and Distribution</w:t>
      </w:r>
    </w:p>
    <w:p>
      <w:pPr>
        <w:spacing w:after="0" w:line="121" w:lineRule="exact"/>
        <w:rPr>
          <w:sz w:val="20"/>
          <w:szCs w:val="20"/>
          <w:color w:val="auto"/>
        </w:rPr>
      </w:pPr>
    </w:p>
    <w:p>
      <w:pPr>
        <w:jc w:val="both"/>
        <w:ind w:firstLine="1194"/>
        <w:spacing w:after="0" w:line="266" w:lineRule="auto"/>
        <w:rPr>
          <w:sz w:val="20"/>
          <w:szCs w:val="20"/>
          <w:color w:val="auto"/>
        </w:rPr>
      </w:pPr>
      <w:r>
        <w:rPr>
          <w:rFonts w:ascii="Times New Roman" w:cs="Times New Roman" w:eastAsia="Times New Roman" w:hAnsi="Times New Roman"/>
          <w:sz w:val="18"/>
          <w:szCs w:val="18"/>
          <w:color w:val="auto"/>
        </w:rPr>
        <w:t>A majority of our component sales are direct to large OEM customers through our factory-based sales and marketing professionals supported by engineers working in concert with field salespeople and independent manufacturer’s representatives. We select manufacturer’s representatives based on special skills in certain markets or relationships with current or potential customers.</w:t>
      </w:r>
    </w:p>
    <w:p>
      <w:pPr>
        <w:spacing w:after="0" w:line="176" w:lineRule="exact"/>
        <w:rPr>
          <w:sz w:val="20"/>
          <w:szCs w:val="20"/>
          <w:color w:val="auto"/>
        </w:rPr>
      </w:pPr>
    </w:p>
    <w:p>
      <w:pPr>
        <w:jc w:val="both"/>
        <w:ind w:firstLine="1194"/>
        <w:spacing w:after="0" w:line="261" w:lineRule="auto"/>
        <w:rPr>
          <w:sz w:val="20"/>
          <w:szCs w:val="20"/>
          <w:color w:val="auto"/>
        </w:rPr>
      </w:pPr>
      <w:r>
        <w:rPr>
          <w:rFonts w:ascii="Times New Roman" w:cs="Times New Roman" w:eastAsia="Times New Roman" w:hAnsi="Times New Roman"/>
          <w:sz w:val="18"/>
          <w:szCs w:val="18"/>
          <w:color w:val="auto"/>
        </w:rPr>
        <w:t>In addition to sales to large OEM customers, a substantial portion of our Security Products sales are made through distributors. We have a significant North American market share of cabinet lock security product sales as a result of the locksmith distribution channel. We support our locksmith distributor sales with a line of standardized products used by the largest segments of the marketplace. These products are packaged and merchandised for easy availability and handling by distributors and end users.</w:t>
      </w:r>
    </w:p>
    <w:p>
      <w:pPr>
        <w:spacing w:after="0" w:line="180" w:lineRule="exact"/>
        <w:rPr>
          <w:sz w:val="20"/>
          <w:szCs w:val="20"/>
          <w:color w:val="auto"/>
        </w:rPr>
      </w:pPr>
    </w:p>
    <w:p>
      <w:pPr>
        <w:jc w:val="both"/>
        <w:ind w:firstLine="1194"/>
        <w:spacing w:after="0" w:line="282" w:lineRule="auto"/>
        <w:rPr>
          <w:sz w:val="20"/>
          <w:szCs w:val="20"/>
          <w:color w:val="auto"/>
        </w:rPr>
      </w:pPr>
      <w:r>
        <w:rPr>
          <w:rFonts w:ascii="Times New Roman" w:cs="Times New Roman" w:eastAsia="Times New Roman" w:hAnsi="Times New Roman"/>
          <w:sz w:val="18"/>
          <w:szCs w:val="18"/>
          <w:color w:val="auto"/>
        </w:rPr>
        <w:t>We sell to a diverse customer base with only one customer representing 10% or more of our sales in 2018 (United States Postal Service representing 13%). Our largest ten customers accounted for approximately 44% of our sales in 2018.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jc w:val="both"/>
        <w:ind w:firstLine="1194"/>
        <w:spacing w:after="0" w:line="258" w:lineRule="auto"/>
        <w:rPr>
          <w:sz w:val="20"/>
          <w:szCs w:val="20"/>
          <w:color w:val="auto"/>
        </w:rPr>
      </w:pPr>
      <w:r>
        <w:rPr>
          <w:rFonts w:ascii="Times New Roman" w:cs="Times New Roman" w:eastAsia="Times New Roman" w:hAnsi="Times New Roman"/>
          <w:sz w:val="18"/>
          <w:szCs w:val="18"/>
          <w:color w:val="auto"/>
        </w:rPr>
        <w:t>The markets in which we participate are highly competitive. We compete primarily on the basis of product design, including space utilization and aesthetic factors, product quality and durability, price, on-time delivery, service and technical support. We focus our efforts on the middle and high-end segments of the market, where product design, quality, durability and service are valued by the customer. Our Security Products segment competes against a number of domestic and foreign manufacturers. Our Marine Components segment competes with small domestic manufacturers and is minimally affected by foreign competitors.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and Environmental Matters</w:t>
      </w:r>
    </w:p>
    <w:p>
      <w:pPr>
        <w:spacing w:after="0" w:line="121" w:lineRule="exact"/>
        <w:rPr>
          <w:sz w:val="20"/>
          <w:szCs w:val="20"/>
          <w:color w:val="auto"/>
        </w:rPr>
      </w:pPr>
    </w:p>
    <w:p>
      <w:pPr>
        <w:jc w:val="both"/>
        <w:ind w:firstLine="1194"/>
        <w:spacing w:after="0" w:line="256" w:lineRule="auto"/>
        <w:rPr>
          <w:sz w:val="20"/>
          <w:szCs w:val="20"/>
          <w:color w:val="auto"/>
        </w:rPr>
      </w:pPr>
      <w:r>
        <w:rPr>
          <w:rFonts w:ascii="Times New Roman" w:cs="Times New Roman" w:eastAsia="Times New Roman" w:hAnsi="Times New Roman"/>
          <w:sz w:val="18"/>
          <w:szCs w:val="18"/>
          <w:color w:val="auto"/>
        </w:rPr>
        <w:t>Our operations are subject to federal, state and local laws and regulations relating to the use, storage, handling, generation, transportation, treatment, emission, discharge, disposal, remediation of and exposure to hazardous and non-hazardous substances, materials and wastes (“Environmental Laws”). Our operations also are subject to federal, state and local laws and regulations relating to worker health and safety. We believe we are in substantial compliance with all such laws and regulations. To date, the costs of maintaining compliance with such laws and regulations have not significantly impacted our results. We currently do not anticipate any significant costs or expenses relating to such matters; however, it is possible future laws and regulations may require us to incur significant additional expenditures.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2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As of December 31, 2018, we employed 547 people, all in the United States. We believe our labor relations are good at all of our facilities.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Website and Available Information</w:t>
      </w:r>
    </w:p>
    <w:p>
      <w:pPr>
        <w:spacing w:after="0" w:line="121" w:lineRule="exact"/>
        <w:rPr>
          <w:sz w:val="20"/>
          <w:szCs w:val="20"/>
          <w:color w:val="auto"/>
        </w:rPr>
      </w:pPr>
    </w:p>
    <w:p>
      <w:pPr>
        <w:jc w:val="both"/>
        <w:ind w:firstLine="1194"/>
        <w:spacing w:after="0" w:line="255" w:lineRule="auto"/>
        <w:rPr>
          <w:sz w:val="20"/>
          <w:szCs w:val="20"/>
          <w:color w:val="auto"/>
        </w:rPr>
      </w:pPr>
      <w:r>
        <w:rPr>
          <w:rFonts w:ascii="Times New Roman" w:cs="Times New Roman" w:eastAsia="Times New Roman" w:hAnsi="Times New Roman"/>
          <w:sz w:val="18"/>
          <w:szCs w:val="18"/>
          <w:color w:val="auto"/>
        </w:rPr>
        <w:t xml:space="preserve">Our fiscal year end is always the Sunday closest to December 31, and our operations are reported on a 52 or 53-week fiscal year. For presentation purposes, annual and quarterly information in this Form 10-K are presented as ended on March 31, June 30, September 30, and December 31, as applicable. The actual date of our fiscal years ended December 31, 2016, 2017 and 2018 are January 1, 2017, December 31, 2017, and December 30, 2018, respectively. We furnish our stockholders with annual reports containing audited financial statements. In addition, we file annual, quarterly and current reports; proxy and information statements and other information with the SEC. We also make our annual report on Form 10-K, quarterly reports on Form 10-Q, current reports on Form 8-K and all related amendments, available free of charge through our website at </w:t>
      </w:r>
      <w:r>
        <w:rPr>
          <w:rFonts w:ascii="Times New Roman" w:cs="Times New Roman" w:eastAsia="Times New Roman" w:hAnsi="Times New Roman"/>
          <w:sz w:val="18"/>
          <w:szCs w:val="18"/>
          <w:u w:val="single" w:color="auto"/>
          <w:color w:val="auto"/>
        </w:rPr>
        <w:t>www.compx.com</w:t>
      </w:r>
      <w:r>
        <w:rPr>
          <w:rFonts w:ascii="Times New Roman" w:cs="Times New Roman" w:eastAsia="Times New Roman" w:hAnsi="Times New Roman"/>
          <w:sz w:val="18"/>
          <w:szCs w:val="18"/>
          <w:color w:val="auto"/>
        </w:rPr>
        <w:t xml:space="preserve"> as soon as reasonably practical after they have been filed with the SEC. We also provide to anyone, without charge, copies of the documents upon written request. Requests should be directed to the attention of the Corporate Secretary at our address on the cover page of this Form 10-K.</w:t>
      </w:r>
    </w:p>
    <w:p>
      <w:pPr>
        <w:spacing w:after="0" w:line="185" w:lineRule="exact"/>
        <w:rPr>
          <w:sz w:val="20"/>
          <w:szCs w:val="20"/>
          <w:color w:val="auto"/>
        </w:rPr>
      </w:pPr>
    </w:p>
    <w:p>
      <w:pPr>
        <w:jc w:val="both"/>
        <w:ind w:firstLine="1194"/>
        <w:spacing w:after="0" w:line="282" w:lineRule="auto"/>
        <w:rPr>
          <w:sz w:val="20"/>
          <w:szCs w:val="20"/>
          <w:color w:val="auto"/>
        </w:rPr>
      </w:pPr>
      <w:r>
        <w:rPr>
          <w:rFonts w:ascii="Times New Roman" w:cs="Times New Roman" w:eastAsia="Times New Roman" w:hAnsi="Times New Roman"/>
          <w:sz w:val="18"/>
          <w:szCs w:val="18"/>
          <w:color w:val="auto"/>
        </w:rPr>
        <w:t>Additional information, including our Audit Committee Charter, our Code of Business Conduct and Ethics and our Corporate Governance Guidelines, can also be found on our website. Information contained on our website is not a part of this Annual Report.</w:t>
      </w:r>
    </w:p>
    <w:p>
      <w:pPr>
        <w:spacing w:after="0" w:line="162" w:lineRule="exact"/>
        <w:rPr>
          <w:sz w:val="20"/>
          <w:szCs w:val="20"/>
          <w:color w:val="auto"/>
        </w:rPr>
      </w:pPr>
    </w:p>
    <w:p>
      <w:pPr>
        <w:jc w:val="both"/>
        <w:ind w:firstLine="1194"/>
        <w:spacing w:after="0" w:line="282" w:lineRule="auto"/>
        <w:rPr>
          <w:sz w:val="20"/>
          <w:szCs w:val="20"/>
          <w:color w:val="auto"/>
        </w:rPr>
      </w:pPr>
      <w:r>
        <w:rPr>
          <w:rFonts w:ascii="Times New Roman" w:cs="Times New Roman" w:eastAsia="Times New Roman" w:hAnsi="Times New Roman"/>
          <w:sz w:val="18"/>
          <w:szCs w:val="18"/>
          <w:color w:val="auto"/>
        </w:rPr>
        <w:t xml:space="preserve">We are an electronic filer. The SEC maintains an internet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issuers, such as us, that file electronically with the SEC.</w:t>
      </w:r>
    </w:p>
    <w:p>
      <w:pPr>
        <w:spacing w:after="0" w:line="30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firstLine="1194"/>
        <w:spacing w:after="0" w:line="266" w:lineRule="auto"/>
        <w:rPr>
          <w:sz w:val="20"/>
          <w:szCs w:val="20"/>
          <w:color w:val="auto"/>
        </w:rPr>
      </w:pPr>
      <w:r>
        <w:rPr>
          <w:rFonts w:ascii="Times New Roman" w:cs="Times New Roman" w:eastAsia="Times New Roman" w:hAnsi="Times New Roman"/>
          <w:sz w:val="18"/>
          <w:szCs w:val="18"/>
          <w:color w:val="auto"/>
        </w:rPr>
        <w:t>Listed below are certain risk factors associated with us and our businesses. In addition to the potential effect of these risk factors discussed below, any risk factor which could result in reduced earnings or operating losses, or reduced liquidity, could in turn adversely affect our ability to service our liabilities or pay dividends on our common stock or adversely affect the quoted market prices for our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operate in mature and highly competitive markets, resulting in pricing pressure and the need to continuously reduce costs.</w:t>
      </w:r>
    </w:p>
    <w:p>
      <w:pPr>
        <w:spacing w:after="0" w:line="121" w:lineRule="exact"/>
        <w:rPr>
          <w:sz w:val="20"/>
          <w:szCs w:val="20"/>
          <w:color w:val="auto"/>
        </w:rPr>
      </w:pPr>
    </w:p>
    <w:p>
      <w:pPr>
        <w:jc w:val="both"/>
        <w:ind w:firstLine="1194"/>
        <w:spacing w:after="0" w:line="261" w:lineRule="auto"/>
        <w:rPr>
          <w:sz w:val="20"/>
          <w:szCs w:val="20"/>
          <w:color w:val="auto"/>
        </w:rPr>
      </w:pPr>
      <w:r>
        <w:rPr>
          <w:rFonts w:ascii="Times New Roman" w:cs="Times New Roman" w:eastAsia="Times New Roman" w:hAnsi="Times New Roman"/>
          <w:sz w:val="18"/>
          <w:szCs w:val="18"/>
          <w:color w:val="auto"/>
        </w:rPr>
        <w:t>Many of the markets we serve are highly competitive, with a number of competitors offering similar products. We focus our efforts on the middle and high-end segment of the market where we feel that we can compete due to the importance of product design, quality and durability to the customer. However, our ability to effectively compete is impacted by a number of factors. The occurrence of any of these factors could result in reduced earnings or operating losses.</w:t>
      </w:r>
    </w:p>
    <w:p>
      <w:pPr>
        <w:spacing w:after="0" w:line="72" w:lineRule="exact"/>
        <w:rPr>
          <w:sz w:val="20"/>
          <w:szCs w:val="20"/>
          <w:color w:val="auto"/>
        </w:rPr>
      </w:pPr>
    </w:p>
    <w:p>
      <w:pPr>
        <w:ind w:left="1200" w:hanging="598"/>
        <w:spacing w:after="0" w:line="282" w:lineRule="auto"/>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be able to drive down prices for our products beyond our ability to adjust costs because their costs are lower than ours, especially products sourced from Asia.</w:t>
      </w:r>
    </w:p>
    <w:p>
      <w:pPr>
        <w:spacing w:after="0" w:line="161" w:lineRule="exact"/>
        <w:rPr>
          <w:rFonts w:ascii="Times New Roman" w:cs="Times New Roman" w:eastAsia="Times New Roman" w:hAnsi="Times New Roman"/>
          <w:sz w:val="18"/>
          <w:szCs w:val="18"/>
          <w:color w:val="auto"/>
        </w:rPr>
      </w:pPr>
    </w:p>
    <w:p>
      <w:pPr>
        <w:ind w:left="5660" w:hanging="96"/>
        <w:spacing w:after="0"/>
        <w:tabs>
          <w:tab w:leader="none" w:pos="5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6" w:name="page7"/>
    <w:bookmarkEnd w:id="6"/>
    <w:p>
      <w:pPr>
        <w:ind w:left="1200" w:hanging="598"/>
        <w:spacing w:after="0" w:line="282" w:lineRule="auto"/>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financial, technological and other resources may be greater than our resources, which may enable them to more effectively withstand changes in market conditions.</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be able to respond more quickly than we can to new or emerging technologies and changes in customer requirements.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our competitors or customers in any of the markets in which we compete may result in reduced demand for our products.</w:t>
      </w:r>
    </w:p>
    <w:p>
      <w:pPr>
        <w:spacing w:after="0" w:line="117"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our market share with one or more of our key customers, or a reduction in one or more of our key customers’ market share for their end-use products, may reduce demand for our products.</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competitors could emerge by modifying their existing production facilities to manufacture products that compete with our products.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sustain a cost structure that enables us to be competitive.</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may no longer value our product design, quality or durability over the lower cost products of our competitors.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development of innovative features for current products is critical to sustaining and growing our sales.</w:t>
      </w:r>
    </w:p>
    <w:p>
      <w:pPr>
        <w:spacing w:after="0" w:line="121" w:lineRule="exact"/>
        <w:rPr>
          <w:sz w:val="20"/>
          <w:szCs w:val="20"/>
          <w:color w:val="auto"/>
        </w:rPr>
      </w:pPr>
    </w:p>
    <w:p>
      <w:pPr>
        <w:jc w:val="both"/>
        <w:ind w:firstLine="1194"/>
        <w:spacing w:after="0" w:line="253" w:lineRule="auto"/>
        <w:rPr>
          <w:sz w:val="20"/>
          <w:szCs w:val="20"/>
          <w:color w:val="auto"/>
        </w:rPr>
      </w:pPr>
      <w:r>
        <w:rPr>
          <w:rFonts w:ascii="Times New Roman" w:cs="Times New Roman" w:eastAsia="Times New Roman" w:hAnsi="Times New Roman"/>
          <w:sz w:val="18"/>
          <w:szCs w:val="18"/>
          <w:color w:val="auto"/>
        </w:rPr>
        <w:t>Historically, our ability to provide value-added custom engineered products that address requirements of technology and space utilization has been a key element of our success. We spend a significant amount of time and effort to refine, improve and adapt our existing products for new customers and applications. Since expenditures for these types of activities are not considered research and development expense under accounting principles generally accepted in the United States of America (“GAAP”), the amount of our research and development expenditures, which is not significant, is not indicative of the overall effort involved in the development of new product features. The introduction of new product features requires the coordination of the design, manufacturing and marketing of the new product features with current and potential customers. The ability to coordinate these activities with current and potential customers may be affected by factors beyond our control. While we will continue to emphasize the introduction of innovative new product features that target customer-specific opportunities, we do not know if any new product features we introduce will achieve the same degree of success that we have achieved with our existing products. Introduction of new product features typically requires us to increase production volume on a timely basis while maintaining product quality. Manufacturers often encounter difficulties in increasing production volumes, including delays, quality control problems and shortages of qualified personnel or raw materials. As we attempt to introduce new product features in the future, we do not know if we will be able to increase production volumes without encountering these or other problems, which might negatively impact our financial condition or results of operations.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Higher costs of our commodity-related raw materials may decrease our liquidity.</w:t>
      </w:r>
    </w:p>
    <w:p>
      <w:pPr>
        <w:spacing w:after="0" w:line="121" w:lineRule="exact"/>
        <w:rPr>
          <w:sz w:val="20"/>
          <w:szCs w:val="20"/>
          <w:color w:val="auto"/>
        </w:rPr>
      </w:pPr>
    </w:p>
    <w:p>
      <w:pPr>
        <w:jc w:val="both"/>
        <w:ind w:firstLine="1194"/>
        <w:spacing w:after="0" w:line="254" w:lineRule="auto"/>
        <w:rPr>
          <w:sz w:val="20"/>
          <w:szCs w:val="20"/>
          <w:color w:val="auto"/>
        </w:rPr>
      </w:pPr>
      <w:r>
        <w:rPr>
          <w:rFonts w:ascii="Times New Roman" w:cs="Times New Roman" w:eastAsia="Times New Roman" w:hAnsi="Times New Roman"/>
          <w:sz w:val="18"/>
          <w:szCs w:val="18"/>
          <w:color w:val="auto"/>
        </w:rPr>
        <w:t>Certain raw materials used in our products are commodities that are subject to significant fluctuations in price in response to world-wide supply and demand as well as speculative investor activity. Zinc and brass are the principal raw materials used in the manufacture of security products. Stainless steel and aluminum are the major raw materials used in the manufacture of marine components. These raw materials are purchased from several suppliers and are generally readily available from numerous sources. We occasionally enter into short-term raw material supply arrangements to mitigate the impact of future increases in commodity-related raw material costs. Materials purchased outside of these arrangements are sometimes subject to unanticipated and sudden price increases. Should our vendors not be able to meet their contractual obligations or should we be otherwise unable to obtain necessary raw materials, we may incur higher costs for raw materials or may be required to reduce production levels, either of which may decrease our liquidity or negatively impact our financial condition or results of operations as we may be unable to offset the higher costs with increases in our selling prices or reductions in other operating costs.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to protect our intellectual property rights or claims by others that we infringe their intellectual property rights could substantially harm our business.</w:t>
      </w:r>
    </w:p>
    <w:p>
      <w:pPr>
        <w:spacing w:after="0" w:line="51" w:lineRule="exact"/>
        <w:rPr>
          <w:sz w:val="20"/>
          <w:szCs w:val="20"/>
          <w:color w:val="auto"/>
        </w:rPr>
      </w:pPr>
    </w:p>
    <w:p>
      <w:pPr>
        <w:jc w:val="both"/>
        <w:ind w:firstLine="1194"/>
        <w:spacing w:after="0" w:line="255" w:lineRule="auto"/>
        <w:rPr>
          <w:sz w:val="20"/>
          <w:szCs w:val="20"/>
          <w:color w:val="auto"/>
        </w:rPr>
      </w:pPr>
      <w:r>
        <w:rPr>
          <w:rFonts w:ascii="Times New Roman" w:cs="Times New Roman" w:eastAsia="Times New Roman" w:hAnsi="Times New Roman"/>
          <w:sz w:val="18"/>
          <w:szCs w:val="18"/>
          <w:color w:val="auto"/>
        </w:rPr>
        <w:t>We rely on patent, trademark and trade secret laws in the United States and similar laws in other countries to establish and maintain our intellectual property rights in our technology and designs. Despite these measures, any of our intellectual property rights could be challenged, invalidated, circumvented or misappropriated. Others may independently discover our trade secrets and proprietary information, and in such cases we could not assert any trade secret rights against such parties. Further, we do not know if any of our pending trademark or patent applications will be approved. Costly and time-consuming litigation could be necessary to enforce and determine the scope of our intellectual property rights. In addition, the laws of certain countries do not protect intellectual property rights to the same extent as the laws of the United States. Therefore, in certain jurisdictions, we may be unable to protect our technology and designs adequately against unauthorized third party use, which could adversely affect our competitive position.</w:t>
      </w:r>
    </w:p>
    <w:p>
      <w:pPr>
        <w:spacing w:after="0" w:line="189" w:lineRule="exact"/>
        <w:rPr>
          <w:sz w:val="20"/>
          <w:szCs w:val="20"/>
          <w:color w:val="auto"/>
        </w:rPr>
      </w:pPr>
    </w:p>
    <w:p>
      <w:pPr>
        <w:jc w:val="both"/>
        <w:ind w:firstLine="1194"/>
        <w:spacing w:after="0" w:line="257" w:lineRule="auto"/>
        <w:rPr>
          <w:sz w:val="20"/>
          <w:szCs w:val="20"/>
          <w:color w:val="auto"/>
        </w:rPr>
      </w:pPr>
      <w:r>
        <w:rPr>
          <w:rFonts w:ascii="Times New Roman" w:cs="Times New Roman" w:eastAsia="Times New Roman" w:hAnsi="Times New Roman"/>
          <w:sz w:val="18"/>
          <w:szCs w:val="18"/>
          <w:color w:val="auto"/>
        </w:rPr>
        <w:t>Third parties may claim that we or our customers are infringing upon their intellectual property rights. Even if we believe that such claims are without merit, they can be time-consuming and costly to defend and distract our management’s and technical staff’s attention and resources. Claims of intellectual property infringement also might require us to redesign affected technology, enter into costly settlement or license agreements or pay costly damage awards, or face a temporary or permanent injunction prohibiting us from marketing or selling certain of our technology. If we cannot or do not license the infringed technology on reasonable pricing terms or at all, or substitute similar technology from another source, our business could be adversely impacted.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climate change legislation could negatively impact our financial results or limit our ability to operate our businesses.</w:t>
      </w:r>
    </w:p>
    <w:p>
      <w:pPr>
        <w:spacing w:after="0" w:line="121" w:lineRule="exact"/>
        <w:rPr>
          <w:sz w:val="20"/>
          <w:szCs w:val="20"/>
          <w:color w:val="auto"/>
        </w:rPr>
      </w:pPr>
    </w:p>
    <w:p>
      <w:pPr>
        <w:jc w:val="both"/>
        <w:ind w:firstLine="1194"/>
        <w:spacing w:after="0" w:line="256" w:lineRule="auto"/>
        <w:rPr>
          <w:sz w:val="20"/>
          <w:szCs w:val="20"/>
          <w:color w:val="auto"/>
        </w:rPr>
      </w:pPr>
      <w:r>
        <w:rPr>
          <w:rFonts w:ascii="Times New Roman" w:cs="Times New Roman" w:eastAsia="Times New Roman" w:hAnsi="Times New Roman"/>
          <w:sz w:val="18"/>
          <w:szCs w:val="18"/>
          <w:color w:val="auto"/>
        </w:rPr>
        <w:t>All of our production facilities are located in the United States and we believe all of our production facilities are in substantial compliance with applicable environmental laws. To date, legislation and regulatory actions related to climate change have not had a material adverse effect on our financial results. However, if new legislation or regulatory actions related to climate change were to be enacted or implemented, it could negatively impact our future results from operations through increased costs of production, particularly as it relates to our energy requirements. If such increased costs of production were to materialize, we may be unable to pass price increases on to our customers to compensate for increased production costs, which may decrease our liquidity, operating income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failures or cyber security breaches could have a material adverse effect on our operations.</w:t>
      </w:r>
    </w:p>
    <w:p>
      <w:pPr>
        <w:spacing w:after="0" w:line="121" w:lineRule="exact"/>
        <w:rPr>
          <w:sz w:val="20"/>
          <w:szCs w:val="20"/>
          <w:color w:val="auto"/>
        </w:rPr>
      </w:pPr>
    </w:p>
    <w:p>
      <w:pPr>
        <w:jc w:val="both"/>
        <w:ind w:firstLine="1194"/>
        <w:spacing w:after="0" w:line="255" w:lineRule="auto"/>
        <w:rPr>
          <w:sz w:val="20"/>
          <w:szCs w:val="20"/>
          <w:color w:val="auto"/>
        </w:rPr>
      </w:pPr>
      <w:r>
        <w:rPr>
          <w:rFonts w:ascii="Times New Roman" w:cs="Times New Roman" w:eastAsia="Times New Roman" w:hAnsi="Times New Roman"/>
          <w:sz w:val="18"/>
          <w:szCs w:val="18"/>
          <w:color w:val="auto"/>
        </w:rPr>
        <w:t>We rely on information technology systems to manage, process and analyze data, as well as to facilitate the manufacture and distribution of our products to and from our plants. We receive, process and ship orders, manage the billing of and collections from our customers, and manage the accounting for and payment to our vendors. Although we have systems and procedures in place to protect our information technology systems, there can be no assurance that such systems and procedures would be sufficiently effective. Therefore, any of our information technology systems may be susceptible to outages, disruptions, or destruction as well as cyber security breaches or attacks, resulting in a disruption of our business operations, injury to people, harm to the environment or our assets, and/or the inability to access our information technology systems. If any of these events were to occur, our results of operations and financial condition could be adversely affected.</w:t>
      </w:r>
    </w:p>
    <w:p>
      <w:pPr>
        <w:spacing w:after="0" w:line="334"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1B</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8" w:name="page9"/>
    <w:bookmarkEnd w:id="8"/>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56" w:lineRule="exact"/>
        <w:rPr>
          <w:sz w:val="20"/>
          <w:szCs w:val="20"/>
          <w:color w:val="auto"/>
        </w:rPr>
      </w:pPr>
    </w:p>
    <w:p>
      <w:pPr>
        <w:ind w:right="20" w:firstLine="877"/>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in leased space at 5430 LBJ Freeway, Dallas, Texas 75240. The following table sets forth the location, size and business operating segment for each of our operating facilities.</w:t>
      </w:r>
    </w:p>
    <w:p>
      <w:pPr>
        <w:spacing w:after="0" w:line="14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7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Facility Name</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20" w:type="dxa"/>
            <w:vAlign w:val="bottom"/>
          </w:tcPr>
          <w:p>
            <w:pPr>
              <w:spacing w:after="0"/>
              <w:rPr>
                <w:sz w:val="13"/>
                <w:szCs w:val="13"/>
                <w:color w:val="auto"/>
              </w:rPr>
            </w:pPr>
          </w:p>
        </w:tc>
        <w:tc>
          <w:tcPr>
            <w:tcW w:w="262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8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Size</w:t>
            </w:r>
          </w:p>
        </w:tc>
        <w:tc>
          <w:tcPr>
            <w:tcW w:w="0" w:type="dxa"/>
            <w:vAlign w:val="bottom"/>
          </w:tcPr>
          <w:p>
            <w:pPr>
              <w:spacing w:after="0"/>
              <w:rPr>
                <w:sz w:val="1"/>
                <w:szCs w:val="1"/>
                <w:color w:val="auto"/>
              </w:rPr>
            </w:pPr>
          </w:p>
        </w:tc>
      </w:tr>
      <w:tr>
        <w:trPr>
          <w:trHeight w:val="173"/>
        </w:trPr>
        <w:tc>
          <w:tcPr>
            <w:tcW w:w="2760" w:type="dxa"/>
            <w:vAlign w:val="bottom"/>
            <w:gridSpan w:val="4"/>
            <w:vMerge w:val="continue"/>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tcPr>
          <w:p>
            <w:pPr>
              <w:spacing w:after="0"/>
              <w:rPr>
                <w:sz w:val="15"/>
                <w:szCs w:val="15"/>
                <w:color w:val="auto"/>
              </w:rPr>
            </w:pPr>
          </w:p>
        </w:tc>
        <w:tc>
          <w:tcPr>
            <w:tcW w:w="2620" w:type="dxa"/>
            <w:vAlign w:val="bottom"/>
            <w:gridSpan w:val="2"/>
            <w:vMerge w:val="continue"/>
          </w:tcPr>
          <w:p>
            <w:pPr>
              <w:spacing w:after="0"/>
              <w:rPr>
                <w:sz w:val="15"/>
                <w:szCs w:val="15"/>
                <w:color w:val="auto"/>
              </w:rPr>
            </w:pPr>
          </w:p>
        </w:tc>
        <w:tc>
          <w:tcPr>
            <w:tcW w:w="148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40" w:type="dxa"/>
            <w:vAlign w:val="bottom"/>
            <w:tcBorders>
              <w:top w:val="single" w:sz="8" w:color="auto"/>
            </w:tcBorders>
            <w:gridSpan w:val="2"/>
          </w:tcPr>
          <w:p>
            <w:pPr>
              <w:spacing w:after="0" w:line="170" w:lineRule="exact"/>
              <w:rPr>
                <w:sz w:val="20"/>
                <w:szCs w:val="20"/>
                <w:color w:val="auto"/>
              </w:rPr>
            </w:pPr>
            <w:r>
              <w:rPr>
                <w:rFonts w:ascii="Times New Roman" w:cs="Times New Roman" w:eastAsia="Times New Roman" w:hAnsi="Times New Roman"/>
                <w:sz w:val="18"/>
                <w:szCs w:val="18"/>
                <w:color w:val="auto"/>
              </w:rPr>
              <w:t>Owned Facilities:</w:t>
            </w:r>
          </w:p>
        </w:tc>
        <w:tc>
          <w:tcPr>
            <w:tcW w:w="100" w:type="dxa"/>
            <w:vAlign w:val="bottom"/>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540" w:type="dxa"/>
            <w:vAlign w:val="bottom"/>
            <w:tcBorders>
              <w:left w:val="single" w:sz="8" w:color="auto"/>
            </w:tcBorders>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gridSpan w:val="3"/>
          </w:tcPr>
          <w:p>
            <w:pPr>
              <w:ind w:left="420"/>
              <w:spacing w:after="0" w:line="219" w:lineRule="exact"/>
              <w:rPr>
                <w:sz w:val="20"/>
                <w:szCs w:val="20"/>
                <w:color w:val="auto"/>
              </w:rPr>
            </w:pPr>
            <w:r>
              <w:rPr>
                <w:rFonts w:ascii="Times New Roman" w:cs="Times New Roman" w:eastAsia="Times New Roman" w:hAnsi="Times New Roman"/>
                <w:sz w:val="17"/>
                <w:szCs w:val="17"/>
                <w:color w:val="auto"/>
              </w:rPr>
              <w:t xml:space="preserve">National </w:t>
            </w:r>
            <w:r>
              <w:rPr>
                <w:rFonts w:ascii="Times New Roman" w:cs="Times New Roman" w:eastAsia="Times New Roman" w:hAnsi="Times New Roman"/>
                <w:sz w:val="25"/>
                <w:szCs w:val="25"/>
                <w:color w:val="auto"/>
                <w:vertAlign w:val="superscript"/>
              </w:rPr>
              <w:t>(1)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SP</w:t>
            </w:r>
          </w:p>
        </w:tc>
        <w:tc>
          <w:tcPr>
            <w:tcW w:w="2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Mauldin, SC</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ind w:left="420"/>
              <w:spacing w:after="0" w:line="216" w:lineRule="exact"/>
              <w:rPr>
                <w:sz w:val="20"/>
                <w:szCs w:val="20"/>
                <w:color w:val="auto"/>
              </w:rPr>
            </w:pPr>
            <w:r>
              <w:rPr>
                <w:rFonts w:ascii="Times New Roman" w:cs="Times New Roman" w:eastAsia="Times New Roman" w:hAnsi="Times New Roman"/>
                <w:sz w:val="17"/>
                <w:szCs w:val="17"/>
                <w:color w:val="auto"/>
              </w:rPr>
              <w:t>Grayslake</w:t>
            </w:r>
            <w:r>
              <w:rPr>
                <w:rFonts w:ascii="Times New Roman" w:cs="Times New Roman" w:eastAsia="Times New Roman" w:hAnsi="Times New Roman"/>
                <w:sz w:val="25"/>
                <w:szCs w:val="25"/>
                <w:color w:val="auto"/>
                <w:vertAlign w:val="superscript"/>
              </w:rPr>
              <w:t>(1)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SP/MC</w:t>
            </w:r>
          </w:p>
        </w:tc>
        <w:tc>
          <w:tcPr>
            <w:tcW w:w="2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Grayslake, IL</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133,000</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27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Custom</w:t>
            </w:r>
            <w:r>
              <w:rPr>
                <w:rFonts w:ascii="Times New Roman" w:cs="Times New Roman" w:eastAsia="Times New Roman" w:hAnsi="Times New Roman"/>
                <w:sz w:val="26"/>
                <w:szCs w:val="26"/>
                <w:color w:val="auto"/>
                <w:vertAlign w:val="superscript"/>
              </w:rPr>
              <w:t>(1)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MC</w:t>
            </w:r>
          </w:p>
        </w:tc>
        <w:tc>
          <w:tcPr>
            <w:tcW w:w="2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Neenah, WI</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0" w:type="dxa"/>
            <w:vAlign w:val="bottom"/>
          </w:tcPr>
          <w:p>
            <w:pPr>
              <w:spacing w:after="0"/>
              <w:rPr>
                <w:sz w:val="1"/>
                <w:szCs w:val="1"/>
                <w:color w:val="auto"/>
              </w:rPr>
            </w:pPr>
          </w:p>
        </w:tc>
      </w:tr>
      <w:tr>
        <w:trPr>
          <w:trHeight w:val="194"/>
        </w:trPr>
        <w:tc>
          <w:tcPr>
            <w:tcW w:w="276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Leased Facilities:</w:t>
            </w: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Distribution Center</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SP/MC</w:t>
            </w:r>
          </w:p>
        </w:tc>
        <w:tc>
          <w:tcPr>
            <w:tcW w:w="2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Rancho Cucamonga, CA</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 – Security Products business segment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 – Marine Components business segment</w:t>
      </w:r>
    </w:p>
    <w:p>
      <w:pPr>
        <w:ind w:left="600" w:hanging="592"/>
        <w:spacing w:after="0" w:line="180" w:lineRule="auto"/>
        <w:tabs>
          <w:tab w:leader="none" w:pos="600" w:val="left"/>
        </w:tabs>
        <w:numPr>
          <w:ilvl w:val="0"/>
          <w:numId w:val="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ISO-9001 registered facilities</w:t>
      </w:r>
    </w:p>
    <w:p>
      <w:pPr>
        <w:spacing w:after="0" w:line="19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We believe all of our facilities are well maintained and satisfactory for their intended purposes.</w:t>
      </w:r>
    </w:p>
    <w:p>
      <w:pPr>
        <w:spacing w:after="0" w:line="37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firstLine="1194"/>
        <w:spacing w:after="0" w:line="261" w:lineRule="auto"/>
        <w:rPr>
          <w:sz w:val="20"/>
          <w:szCs w:val="20"/>
          <w:color w:val="auto"/>
        </w:rPr>
      </w:pPr>
      <w:r>
        <w:rPr>
          <w:rFonts w:ascii="Times New Roman" w:cs="Times New Roman" w:eastAsia="Times New Roman" w:hAnsi="Times New Roman"/>
          <w:sz w:val="18"/>
          <w:szCs w:val="18"/>
          <w:color w:val="auto"/>
        </w:rPr>
        <w:t>We are involved, from time to time, in various environmental, contractual, product liability, patent (or intellectual property), employment and other claims and disputes incidental to our business. See Note 10 to the Consolidated Financial Statements. We currently believe that the disposition of all claims and disputes, individually or in the aggregate, should not have a material adverse effect on our consolidated financial condition, results of operations or liquidity.</w:t>
      </w:r>
    </w:p>
    <w:p>
      <w:pPr>
        <w:spacing w:after="0" w:line="28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6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AND RELATED STOCKHOLDER MATTERS</w:t>
      </w:r>
    </w:p>
    <w:p>
      <w:pPr>
        <w:spacing w:after="0" w:line="117" w:lineRule="exact"/>
        <w:rPr>
          <w:sz w:val="20"/>
          <w:szCs w:val="20"/>
          <w:color w:val="auto"/>
        </w:rPr>
      </w:pPr>
    </w:p>
    <w:p>
      <w:pPr>
        <w:jc w:val="both"/>
        <w:ind w:firstLine="119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and Dividends. </w:t>
      </w:r>
      <w:r>
        <w:rPr>
          <w:rFonts w:ascii="Times New Roman" w:cs="Times New Roman" w:eastAsia="Times New Roman" w:hAnsi="Times New Roman"/>
          <w:sz w:val="18"/>
          <w:szCs w:val="18"/>
          <w:color w:val="auto"/>
        </w:rPr>
        <w:t>Our Class A common stock is listed and traded on the NYSE American (symbol: CIX). As of February 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there were approximately 16 holders of record of CompX Class A common stock.</w:t>
      </w:r>
    </w:p>
    <w:p>
      <w:pPr>
        <w:spacing w:after="0" w:line="155" w:lineRule="exact"/>
        <w:rPr>
          <w:sz w:val="20"/>
          <w:szCs w:val="20"/>
          <w:color w:val="auto"/>
        </w:rPr>
      </w:pPr>
    </w:p>
    <w:p>
      <w:pPr>
        <w:jc w:val="both"/>
        <w:ind w:firstLine="1194"/>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Performance Graph</w:t>
      </w:r>
      <w:r>
        <w:rPr>
          <w:rFonts w:ascii="Times New Roman" w:cs="Times New Roman" w:eastAsia="Times New Roman" w:hAnsi="Times New Roman"/>
          <w:sz w:val="18"/>
          <w:szCs w:val="18"/>
          <w:color w:val="auto"/>
        </w:rPr>
        <w:t>. Set forth below is a line graph comparing the yearly change in our cumulative total stockholder returns on our Class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against the cumulative total return of the Russell 2000 Index and an index of a self-selected peer group of companies for the period from December 31, 2013 through December 31, 2018. The peer group index is comprised of The Eastern Company and Strattec Security Corporation. The graph shows the value at December 31 of each year assuming an original investment of $100 at December 31, 2013 and reinvestment of dividends.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7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CompX International Inc.</w:t>
            </w:r>
          </w:p>
        </w:tc>
        <w:tc>
          <w:tcPr>
            <w:tcW w:w="68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160" w:type="dxa"/>
            <w:vAlign w:val="bottom"/>
            <w:vMerge w:val="continue"/>
          </w:tcPr>
          <w:p>
            <w:pPr>
              <w:spacing w:after="0"/>
              <w:rPr>
                <w:sz w:val="16"/>
                <w:szCs w:val="16"/>
                <w:color w:val="auto"/>
              </w:rPr>
            </w:pPr>
          </w:p>
        </w:tc>
        <w:tc>
          <w:tcPr>
            <w:tcW w:w="680" w:type="dxa"/>
            <w:vAlign w:val="bottom"/>
          </w:tcPr>
          <w:p>
            <w:pPr>
              <w:jc w:val="right"/>
              <w:ind w:right="522"/>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6"/>
                <w:szCs w:val="16"/>
                <w:color w:val="auto"/>
              </w:rPr>
            </w:pPr>
          </w:p>
        </w:tc>
        <w:tc>
          <w:tcPr>
            <w:tcW w:w="220" w:type="dxa"/>
            <w:vAlign w:val="bottom"/>
          </w:tcPr>
          <w:p>
            <w:pPr>
              <w:jc w:val="right"/>
              <w:ind w:right="55"/>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16"/>
                <w:szCs w:val="16"/>
                <w:color w:val="auto"/>
              </w:rPr>
            </w:pPr>
          </w:p>
        </w:tc>
        <w:tc>
          <w:tcPr>
            <w:tcW w:w="220" w:type="dxa"/>
            <w:vAlign w:val="bottom"/>
          </w:tcPr>
          <w:p>
            <w:pPr>
              <w:jc w:val="right"/>
              <w:ind w:right="55"/>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84</w:t>
            </w:r>
          </w:p>
        </w:tc>
        <w:tc>
          <w:tcPr>
            <w:tcW w:w="220" w:type="dxa"/>
            <w:vAlign w:val="bottom"/>
          </w:tcPr>
          <w:p>
            <w:pPr>
              <w:spacing w:after="0"/>
              <w:rPr>
                <w:sz w:val="16"/>
                <w:szCs w:val="16"/>
                <w:color w:val="auto"/>
              </w:rPr>
            </w:pPr>
          </w:p>
        </w:tc>
        <w:tc>
          <w:tcPr>
            <w:tcW w:w="22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121</w:t>
            </w:r>
          </w:p>
        </w:tc>
        <w:tc>
          <w:tcPr>
            <w:tcW w:w="220" w:type="dxa"/>
            <w:vAlign w:val="bottom"/>
          </w:tcPr>
          <w:p>
            <w:pPr>
              <w:spacing w:after="0"/>
              <w:rPr>
                <w:sz w:val="16"/>
                <w:szCs w:val="16"/>
                <w:color w:val="auto"/>
              </w:rPr>
            </w:pPr>
          </w:p>
        </w:tc>
        <w:tc>
          <w:tcPr>
            <w:tcW w:w="220" w:type="dxa"/>
            <w:vAlign w:val="bottom"/>
          </w:tcPr>
          <w:p>
            <w:pPr>
              <w:jc w:val="right"/>
              <w:ind w:right="55"/>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ind w:left="520"/>
              <w:spacing w:after="0" w:line="188" w:lineRule="exact"/>
              <w:rPr>
                <w:sz w:val="20"/>
                <w:szCs w:val="20"/>
                <w:color w:val="auto"/>
              </w:rPr>
            </w:pPr>
            <w:r>
              <w:rPr>
                <w:rFonts w:ascii="Times New Roman" w:cs="Times New Roman" w:eastAsia="Times New Roman" w:hAnsi="Times New Roman"/>
                <w:sz w:val="18"/>
                <w:szCs w:val="18"/>
                <w:color w:val="auto"/>
                <w:w w:val="88"/>
              </w:rPr>
              <w:t>101</w:t>
            </w:r>
          </w:p>
        </w:tc>
        <w:tc>
          <w:tcPr>
            <w:tcW w:w="220" w:type="dxa"/>
            <w:vAlign w:val="bottom"/>
          </w:tcPr>
          <w:p>
            <w:pPr>
              <w:spacing w:after="0"/>
              <w:rPr>
                <w:sz w:val="16"/>
                <w:szCs w:val="16"/>
                <w:color w:val="auto"/>
              </w:rPr>
            </w:pPr>
          </w:p>
        </w:tc>
        <w:tc>
          <w:tcPr>
            <w:tcW w:w="26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Russell 2000 Index</w:t>
            </w:r>
          </w:p>
        </w:tc>
        <w:tc>
          <w:tcPr>
            <w:tcW w:w="68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8"/>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Peer Group</w:t>
            </w:r>
          </w:p>
        </w:tc>
        <w:tc>
          <w:tcPr>
            <w:tcW w:w="68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Pr>
          <w:p>
            <w:pPr>
              <w:spacing w:after="0"/>
              <w:rPr>
                <w:sz w:val="20"/>
                <w:szCs w:val="20"/>
                <w:color w:val="auto"/>
              </w:rPr>
            </w:pPr>
          </w:p>
        </w:tc>
        <w:tc>
          <w:tcPr>
            <w:tcW w:w="10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154305</wp:posOffset>
            </wp:positionV>
            <wp:extent cx="5154295" cy="3447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54295" cy="344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97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compensation plan information. </w:t>
      </w:r>
      <w:r>
        <w:rPr>
          <w:rFonts w:ascii="Times New Roman" w:cs="Times New Roman" w:eastAsia="Times New Roman" w:hAnsi="Times New Roman"/>
          <w:sz w:val="18"/>
          <w:szCs w:val="18"/>
          <w:color w:val="auto"/>
        </w:rPr>
        <w:t>We have a share based incentive compensation plan, approved by our stockholders, pursuant to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aggregate of 200,000 shares of our common stock can be awarded to non-employee members of our board of directors. At December 31, 2018, 156,550 shares are available for award under this plan. See Note 8 to the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 w:name="page11"/>
    <w:bookmarkEnd w:id="10"/>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121" w:lineRule="exact"/>
        <w:rPr>
          <w:sz w:val="20"/>
          <w:szCs w:val="20"/>
          <w:color w:val="auto"/>
        </w:rPr>
      </w:pPr>
    </w:p>
    <w:p>
      <w:pPr>
        <w:ind w:firstLine="1194"/>
        <w:spacing w:after="0" w:line="282" w:lineRule="auto"/>
        <w:rPr>
          <w:sz w:val="20"/>
          <w:szCs w:val="20"/>
          <w:color w:val="auto"/>
        </w:rPr>
      </w:pPr>
      <w:r>
        <w:rPr>
          <w:rFonts w:ascii="Times New Roman" w:cs="Times New Roman" w:eastAsia="Times New Roman" w:hAnsi="Times New Roman"/>
          <w:sz w:val="18"/>
          <w:szCs w:val="18"/>
          <w:color w:val="auto"/>
        </w:rPr>
        <w:t>The following selected financial data should be read in conjunction with the Consolidated Financial Statements and Item 7 - “Management’s Discussion and Analysis of Financial Condition and Results of Operations.”</w:t>
      </w:r>
    </w:p>
    <w:p>
      <w:pPr>
        <w:spacing w:after="0" w:line="162" w:lineRule="exact"/>
        <w:rPr>
          <w:sz w:val="20"/>
          <w:szCs w:val="20"/>
          <w:color w:val="auto"/>
        </w:rPr>
      </w:pPr>
    </w:p>
    <w:p>
      <w:pPr>
        <w:ind w:firstLine="1194"/>
        <w:spacing w:after="0" w:line="282" w:lineRule="auto"/>
        <w:rPr>
          <w:sz w:val="20"/>
          <w:szCs w:val="20"/>
          <w:color w:val="auto"/>
        </w:rPr>
      </w:pPr>
      <w:r>
        <w:rPr>
          <w:rFonts w:ascii="Times New Roman" w:cs="Times New Roman" w:eastAsia="Times New Roman" w:hAnsi="Times New Roman"/>
          <w:sz w:val="18"/>
          <w:szCs w:val="18"/>
          <w:color w:val="auto"/>
        </w:rPr>
        <w:t>Our fiscal year end is always the Sunday closest to December 31, and our operations are reported on a 52 or 53-week fiscal year. 2015 was a 53-week year; all other years shown are 52-week years.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60" w:type="dxa"/>
            <w:vAlign w:val="bottom"/>
            <w:gridSpan w:val="5"/>
          </w:tcPr>
          <w:p>
            <w:pPr>
              <w:jc w:val="center"/>
              <w:ind w:right="291"/>
              <w:spacing w:after="0"/>
              <w:rPr>
                <w:sz w:val="20"/>
                <w:szCs w:val="20"/>
                <w:color w:val="auto"/>
              </w:rPr>
            </w:pPr>
            <w:r>
              <w:rPr>
                <w:rFonts w:ascii="Times New Roman" w:cs="Times New Roman" w:eastAsia="Times New Roman" w:hAnsi="Times New Roman"/>
                <w:sz w:val="14"/>
                <w:szCs w:val="14"/>
                <w:b w:val="1"/>
                <w:bCs w:val="1"/>
                <w:color w:val="auto"/>
              </w:rPr>
              <w:t>($ in millions, except per share data)</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3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103.8</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109.0</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108.9</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112.0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8"/>
                <w:szCs w:val="18"/>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32.2</w:t>
            </w:r>
          </w:p>
        </w:tc>
        <w:tc>
          <w:tcPr>
            <w:tcW w:w="32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33.4</w:t>
            </w:r>
          </w:p>
        </w:tc>
        <w:tc>
          <w:tcPr>
            <w:tcW w:w="320" w:type="dxa"/>
            <w:vAlign w:val="bottom"/>
          </w:tcPr>
          <w:p>
            <w:pPr>
              <w:spacing w:after="0"/>
              <w:rPr>
                <w:sz w:val="18"/>
                <w:szCs w:val="18"/>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35.2</w:t>
            </w:r>
          </w:p>
        </w:tc>
        <w:tc>
          <w:tcPr>
            <w:tcW w:w="30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34.8</w:t>
            </w: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8"/>
                <w:szCs w:val="18"/>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13.6</w:t>
            </w:r>
          </w:p>
        </w:tc>
        <w:tc>
          <w:tcPr>
            <w:tcW w:w="32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14.0</w:t>
            </w:r>
          </w:p>
        </w:tc>
        <w:tc>
          <w:tcPr>
            <w:tcW w:w="320" w:type="dxa"/>
            <w:vAlign w:val="bottom"/>
          </w:tcPr>
          <w:p>
            <w:pPr>
              <w:spacing w:after="0"/>
              <w:rPr>
                <w:sz w:val="18"/>
                <w:szCs w:val="18"/>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15.6</w:t>
            </w:r>
          </w:p>
        </w:tc>
        <w:tc>
          <w:tcPr>
            <w:tcW w:w="30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15.2</w:t>
            </w: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income – interest income</w:t>
            </w:r>
          </w:p>
        </w:tc>
        <w:tc>
          <w:tcPr>
            <w:tcW w:w="220" w:type="dxa"/>
            <w:vAlign w:val="bottom"/>
          </w:tcPr>
          <w:p>
            <w:pPr>
              <w:spacing w:after="0"/>
              <w:rPr>
                <w:sz w:val="18"/>
                <w:szCs w:val="18"/>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18"/>
                <w:szCs w:val="18"/>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spacing w:after="0"/>
              <w:rPr>
                <w:sz w:val="18"/>
                <w:szCs w:val="18"/>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tcPr>
          <w:p>
            <w:pPr>
              <w:spacing w:after="0"/>
              <w:rPr>
                <w:sz w:val="18"/>
                <w:szCs w:val="18"/>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5.5</w:t>
            </w:r>
          </w:p>
        </w:tc>
        <w:tc>
          <w:tcPr>
            <w:tcW w:w="30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20"/>
                <w:szCs w:val="20"/>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tcPr>
          <w:p>
            <w:pPr>
              <w:spacing w:after="0"/>
              <w:rPr>
                <w:sz w:val="20"/>
                <w:szCs w:val="20"/>
                <w:color w:val="auto"/>
              </w:rPr>
            </w:pP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tcPr>
          <w:p>
            <w:pPr>
              <w:spacing w:after="0"/>
              <w:rPr>
                <w:sz w:val="20"/>
                <w:szCs w:val="20"/>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10.5</w:t>
            </w:r>
          </w:p>
        </w:tc>
        <w:tc>
          <w:tcPr>
            <w:tcW w:w="300" w:type="dxa"/>
            <w:vAlign w:val="bottom"/>
          </w:tcPr>
          <w:p>
            <w:pPr>
              <w:spacing w:after="0"/>
              <w:rPr>
                <w:sz w:val="20"/>
                <w:szCs w:val="20"/>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13.2</w:t>
            </w:r>
          </w:p>
        </w:tc>
        <w:tc>
          <w:tcPr>
            <w:tcW w:w="3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473"/>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220" w:type="dxa"/>
            <w:vAlign w:val="bottom"/>
          </w:tcPr>
          <w:p>
            <w:pPr>
              <w:spacing w:after="0"/>
              <w:rPr>
                <w:sz w:val="18"/>
                <w:szCs w:val="18"/>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spacing w:after="0"/>
              <w:rPr>
                <w:sz w:val="18"/>
                <w:szCs w:val="18"/>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20" w:type="dxa"/>
            <w:vAlign w:val="bottom"/>
          </w:tcPr>
          <w:p>
            <w:pPr>
              <w:spacing w:after="0"/>
              <w:rPr>
                <w:sz w:val="20"/>
                <w:szCs w:val="20"/>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12.4</w:t>
            </w:r>
          </w:p>
        </w:tc>
        <w:tc>
          <w:tcPr>
            <w:tcW w:w="320" w:type="dxa"/>
            <w:vAlign w:val="bottom"/>
          </w:tcPr>
          <w:p>
            <w:pPr>
              <w:spacing w:after="0"/>
              <w:rPr>
                <w:sz w:val="20"/>
                <w:szCs w:val="20"/>
                <w:color w:val="auto"/>
              </w:rPr>
            </w:pP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12.4</w:t>
            </w:r>
          </w:p>
        </w:tc>
        <w:tc>
          <w:tcPr>
            <w:tcW w:w="320" w:type="dxa"/>
            <w:vAlign w:val="bottom"/>
          </w:tcPr>
          <w:p>
            <w:pPr>
              <w:spacing w:after="0"/>
              <w:rPr>
                <w:sz w:val="20"/>
                <w:szCs w:val="20"/>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12.4</w:t>
            </w:r>
          </w:p>
        </w:tc>
        <w:tc>
          <w:tcPr>
            <w:tcW w:w="300" w:type="dxa"/>
            <w:vAlign w:val="bottom"/>
          </w:tcPr>
          <w:p>
            <w:pPr>
              <w:spacing w:after="0"/>
              <w:rPr>
                <w:sz w:val="20"/>
                <w:szCs w:val="20"/>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12.4</w:t>
            </w:r>
          </w:p>
        </w:tc>
        <w:tc>
          <w:tcPr>
            <w:tcW w:w="3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338"/>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Sheet Data (at year end):</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Cash and other current assets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71.7</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76.9</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59.2</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56.4</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spacing w:after="0"/>
              <w:rPr>
                <w:sz w:val="18"/>
                <w:szCs w:val="18"/>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129.1</w:t>
            </w:r>
          </w:p>
        </w:tc>
        <w:tc>
          <w:tcPr>
            <w:tcW w:w="32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134.8</w:t>
            </w:r>
          </w:p>
        </w:tc>
        <w:tc>
          <w:tcPr>
            <w:tcW w:w="320" w:type="dxa"/>
            <w:vAlign w:val="bottom"/>
          </w:tcPr>
          <w:p>
            <w:pPr>
              <w:spacing w:after="0"/>
              <w:rPr>
                <w:sz w:val="18"/>
                <w:szCs w:val="18"/>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144.0</w:t>
            </w:r>
          </w:p>
        </w:tc>
        <w:tc>
          <w:tcPr>
            <w:tcW w:w="30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151.0</w:t>
            </w: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166.4</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13.2</w:t>
            </w:r>
          </w:p>
        </w:tc>
        <w:tc>
          <w:tcPr>
            <w:tcW w:w="32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12.1</w:t>
            </w:r>
          </w:p>
        </w:tc>
        <w:tc>
          <w:tcPr>
            <w:tcW w:w="320" w:type="dxa"/>
            <w:vAlign w:val="bottom"/>
          </w:tcPr>
          <w:p>
            <w:pPr>
              <w:spacing w:after="0"/>
              <w:rPr>
                <w:sz w:val="18"/>
                <w:szCs w:val="18"/>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13.3</w:t>
            </w:r>
          </w:p>
        </w:tc>
        <w:tc>
          <w:tcPr>
            <w:tcW w:w="30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11.3</w:t>
            </w: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20"/>
                <w:szCs w:val="20"/>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111.0</w:t>
            </w:r>
          </w:p>
        </w:tc>
        <w:tc>
          <w:tcPr>
            <w:tcW w:w="320" w:type="dxa"/>
            <w:vAlign w:val="bottom"/>
          </w:tcPr>
          <w:p>
            <w:pPr>
              <w:spacing w:after="0"/>
              <w:rPr>
                <w:sz w:val="20"/>
                <w:szCs w:val="20"/>
                <w:color w:val="auto"/>
              </w:rPr>
            </w:pP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117.7</w:t>
            </w:r>
          </w:p>
        </w:tc>
        <w:tc>
          <w:tcPr>
            <w:tcW w:w="320" w:type="dxa"/>
            <w:vAlign w:val="bottom"/>
          </w:tcPr>
          <w:p>
            <w:pPr>
              <w:spacing w:after="0"/>
              <w:rPr>
                <w:sz w:val="20"/>
                <w:szCs w:val="20"/>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125.8</w:t>
            </w:r>
          </w:p>
        </w:tc>
        <w:tc>
          <w:tcPr>
            <w:tcW w:w="300" w:type="dxa"/>
            <w:vAlign w:val="bottom"/>
          </w:tcPr>
          <w:p>
            <w:pPr>
              <w:spacing w:after="0"/>
              <w:rPr>
                <w:sz w:val="20"/>
                <w:szCs w:val="20"/>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136.6</w:t>
            </w:r>
          </w:p>
        </w:tc>
        <w:tc>
          <w:tcPr>
            <w:tcW w:w="3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149.6</w:t>
            </w:r>
          </w:p>
        </w:tc>
        <w:tc>
          <w:tcPr>
            <w:tcW w:w="0" w:type="dxa"/>
            <w:vAlign w:val="bottom"/>
          </w:tcPr>
          <w:p>
            <w:pPr>
              <w:spacing w:after="0"/>
              <w:rPr>
                <w:sz w:val="1"/>
                <w:szCs w:val="1"/>
                <w:color w:val="auto"/>
              </w:rPr>
            </w:pPr>
          </w:p>
        </w:tc>
      </w:tr>
      <w:tr>
        <w:trPr>
          <w:trHeight w:val="338"/>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Statements of Cash Flow Data:</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(used in):</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12.2</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13.5</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13.9</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12.6</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(30.6)</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4"/>
        </w:trPr>
        <w:tc>
          <w:tcPr>
            <w:tcW w:w="5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1" w:name="page12"/>
    <w:bookmarkEnd w:id="11"/>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jc w:val="both"/>
        <w:ind w:firstLine="1194"/>
        <w:spacing w:after="0" w:line="261" w:lineRule="auto"/>
        <w:rPr>
          <w:sz w:val="20"/>
          <w:szCs w:val="20"/>
          <w:color w:val="auto"/>
        </w:rPr>
      </w:pPr>
      <w:r>
        <w:rPr>
          <w:rFonts w:ascii="Times New Roman" w:cs="Times New Roman" w:eastAsia="Times New Roman" w:hAnsi="Times New Roman"/>
          <w:sz w:val="18"/>
          <w:szCs w:val="18"/>
          <w:color w:val="auto"/>
        </w:rPr>
        <w:t>We are a leading manufacturer of engineered components utilized in a variety of applications and industries. Through our Security Products segment we manufacture mechanical and electrical cabinet locks and other locking mechanisms used in recreational transportation, postal, office and institutional furniture, cabinetry, tool storage and healthcare applications. We also manufacture stainless steel exhaust systems, gauges, throttle controls, wake enhancement systems and trim tabs for the recreational marine and other industries through our Marine Components segment.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Overview</w:t>
      </w:r>
    </w:p>
    <w:p>
      <w:pPr>
        <w:spacing w:after="0" w:line="121" w:lineRule="exact"/>
        <w:rPr>
          <w:sz w:val="20"/>
          <w:szCs w:val="20"/>
          <w:color w:val="auto"/>
        </w:rPr>
      </w:pPr>
    </w:p>
    <w:p>
      <w:pPr>
        <w:jc w:val="both"/>
        <w:ind w:firstLine="1194"/>
        <w:spacing w:after="0" w:line="266" w:lineRule="auto"/>
        <w:rPr>
          <w:sz w:val="20"/>
          <w:szCs w:val="20"/>
          <w:color w:val="auto"/>
        </w:rPr>
      </w:pPr>
      <w:r>
        <w:rPr>
          <w:rFonts w:ascii="Times New Roman" w:cs="Times New Roman" w:eastAsia="Times New Roman" w:hAnsi="Times New Roman"/>
          <w:sz w:val="18"/>
          <w:szCs w:val="18"/>
          <w:color w:val="auto"/>
        </w:rPr>
        <w:t>We reported operating income of $17.8 million in 2018 compared to operating income of $15.2 million in 2017 and $15.6 million in 2016. The increase in operating income in 2018 over 2017 is primarily due to higher sales at both Security Products and Marine Components. Operating income in 2017 was comparable to operating income in 2016.</w:t>
      </w:r>
    </w:p>
    <w:p>
      <w:pPr>
        <w:spacing w:after="0" w:line="68" w:lineRule="exact"/>
        <w:rPr>
          <w:sz w:val="20"/>
          <w:szCs w:val="20"/>
          <w:color w:val="auto"/>
        </w:rPr>
      </w:pPr>
    </w:p>
    <w:p>
      <w:pPr>
        <w:jc w:val="both"/>
        <w:ind w:firstLine="1194"/>
        <w:spacing w:after="0" w:line="261" w:lineRule="auto"/>
        <w:rPr>
          <w:sz w:val="20"/>
          <w:szCs w:val="20"/>
          <w:color w:val="auto"/>
        </w:rPr>
      </w:pPr>
      <w:r>
        <w:rPr>
          <w:rFonts w:ascii="Times New Roman" w:cs="Times New Roman" w:eastAsia="Times New Roman" w:hAnsi="Times New Roman"/>
          <w:sz w:val="18"/>
          <w:szCs w:val="18"/>
          <w:color w:val="auto"/>
        </w:rPr>
        <w:t>Our product offerings consist of a large number of products that have a wide variation in selling price and manufacturing cost, which results in certain practical limitations on our ability to quantify the impact of changes in individual product sales quantities and selling prices on our net sales, cost of goods sold and gross profit. In addition, small variations in period-to-period net sales, cost of goods sold and gross profit can result from changes in the relative mix of our products sold.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1194"/>
        <w:spacing w:after="0" w:line="255" w:lineRule="auto"/>
        <w:rPr>
          <w:sz w:val="20"/>
          <w:szCs w:val="20"/>
          <w:color w:val="auto"/>
        </w:rPr>
      </w:pPr>
      <w:r>
        <w:rPr>
          <w:rFonts w:ascii="Times New Roman" w:cs="Times New Roman" w:eastAsia="Times New Roman" w:hAnsi="Times New Roman"/>
          <w:sz w:val="18"/>
          <w:szCs w:val="18"/>
          <w:color w:val="auto"/>
        </w:rPr>
        <w:t>We have based the accompanying “Management’s Discussion and Analysis of Financial Condition and Results of Operations” upon our Consolidated Financial Statements. We prepared our Consolidated Financial Statements in accordance with GAAP. In preparing our Consolidated Financial Statements, we are required to make estimates and judgments that affect the reported amounts of assets and liabilities and disclosure of contingent assets and liabilities at the date of the financial statements, and the reported amount of revenues and expenses during the reported period. On an on-going basis, we evaluate our estimates, including those related to inventory reserves, the recoverability of long-lived assets (including goodwill and other intangible assets) and the realization of deferred income tax assets. We base our estimates on historical experience and on various other assumptions we believe are reasonable under the circumstances, the results of which form the basis for making judgments about the reported amounts of assets, liabilities, revenues and expenses. Our actual future results might differ from previously estimated amounts under different assumptions or conditions.</w:t>
      </w:r>
    </w:p>
    <w:p>
      <w:pPr>
        <w:spacing w:after="0" w:line="18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We believe the following critical accounting policies affect our more significant judgments and estimates used in the preparation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 and are applicable to all of our operating segments:</w:t>
      </w:r>
    </w:p>
    <w:p>
      <w:pPr>
        <w:spacing w:after="0" w:line="97" w:lineRule="exact"/>
        <w:rPr>
          <w:sz w:val="20"/>
          <w:szCs w:val="20"/>
          <w:color w:val="auto"/>
        </w:rPr>
      </w:pPr>
    </w:p>
    <w:p>
      <w:pPr>
        <w:jc w:val="both"/>
        <w:ind w:left="1200" w:hanging="598"/>
        <w:spacing w:after="0" w:line="256" w:lineRule="auto"/>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Goodwill – </w:t>
      </w:r>
      <w:r>
        <w:rPr>
          <w:rFonts w:ascii="Times New Roman" w:cs="Times New Roman" w:eastAsia="Times New Roman" w:hAnsi="Times New Roman"/>
          <w:sz w:val="18"/>
          <w:szCs w:val="18"/>
          <w:color w:val="auto"/>
        </w:rPr>
        <w:t>Our goodwill totaled $23.7 million at December 31, 2018. We perform a goodwill impairment test annually in the third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each year. Goodwill is also evaluated for impairment at other times whenever an event occurs or circumstances change that would more-likely-than-not reduce the fair value of a reporting unit below its carrying value. All of our net consolidated goodwill at December 31, 2018 is related to our Security Products segment. In 2018, we used the qualitative assessment of Accounting Standards Codification (“ASC”) 350-20-35,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for our annual impairment test and determined it was not necessary to perform the quantitative goodwill impairment test, as we concluded it is more-likely-than-not that the fair value of the Security Products reporting unit exceeded its carrying amount. See Notes 1 and 5 to our Consolidated Financial Statements.</w:t>
      </w:r>
    </w:p>
    <w:p>
      <w:pPr>
        <w:spacing w:after="0" w:line="293" w:lineRule="exact"/>
        <w:rPr>
          <w:rFonts w:ascii="Times New Roman" w:cs="Times New Roman" w:eastAsia="Times New Roman" w:hAnsi="Times New Roman"/>
          <w:sz w:val="18"/>
          <w:szCs w:val="18"/>
          <w:color w:val="auto"/>
        </w:rPr>
      </w:pPr>
    </w:p>
    <w:p>
      <w:pPr>
        <w:jc w:val="both"/>
        <w:ind w:left="12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performing a qualitative assessment considerable management judgment is necessary to evaluate the qualitative impact of events and circumstances on the fair value of a reporting unit. Events and circumstances considered in our impairment evaluations, such as historical profits and stability of the</w:t>
      </w:r>
    </w:p>
    <w:p>
      <w:pPr>
        <w:spacing w:after="0" w:line="176"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12" w:name="page13"/>
    <w:bookmarkEnd w:id="12"/>
    <w:p>
      <w:pPr>
        <w:ind w:left="1200"/>
        <w:spacing w:after="0" w:line="282" w:lineRule="auto"/>
        <w:rPr>
          <w:sz w:val="20"/>
          <w:szCs w:val="20"/>
          <w:color w:val="auto"/>
        </w:rPr>
      </w:pPr>
      <w:r>
        <w:rPr>
          <w:rFonts w:ascii="Times New Roman" w:cs="Times New Roman" w:eastAsia="Times New Roman" w:hAnsi="Times New Roman"/>
          <w:sz w:val="18"/>
          <w:szCs w:val="18"/>
          <w:color w:val="auto"/>
        </w:rPr>
        <w:t>markets served, are consistent with factors utilized with our internal projections and operating plan. However, future events and circumstances could result in materially different findings which could result in the recognition of a material goodwill impairment.</w:t>
      </w:r>
    </w:p>
    <w:p>
      <w:pPr>
        <w:spacing w:after="0" w:line="52" w:lineRule="exact"/>
        <w:rPr>
          <w:sz w:val="20"/>
          <w:szCs w:val="20"/>
          <w:color w:val="auto"/>
        </w:rPr>
      </w:pPr>
    </w:p>
    <w:p>
      <w:pPr>
        <w:jc w:val="both"/>
        <w:ind w:left="1200" w:hanging="598"/>
        <w:spacing w:after="0" w:line="267" w:lineRule="auto"/>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Long-lived assets – </w:t>
      </w:r>
      <w:r>
        <w:rPr>
          <w:rFonts w:ascii="Times New Roman" w:cs="Times New Roman" w:eastAsia="Times New Roman" w:hAnsi="Times New Roman"/>
          <w:sz w:val="18"/>
          <w:szCs w:val="18"/>
          <w:color w:val="auto"/>
        </w:rPr>
        <w:t>We assess property and equipment for impairment only when circumstances (as specified in ASC 360-10-35,</w:t>
      </w:r>
      <w:r>
        <w:rPr>
          <w:rFonts w:ascii="Times New Roman" w:cs="Times New Roman" w:eastAsia="Times New Roman" w:hAnsi="Times New Roman"/>
          <w:sz w:val="18"/>
          <w:szCs w:val="18"/>
          <w:i w:val="1"/>
          <w:iCs w:val="1"/>
          <w:color w:val="auto"/>
        </w:rPr>
        <w:t xml:space="preserve"> Property, Plant, and Equipment</w:t>
      </w:r>
      <w:r>
        <w:rPr>
          <w:rFonts w:ascii="Times New Roman" w:cs="Times New Roman" w:eastAsia="Times New Roman" w:hAnsi="Times New Roman"/>
          <w:sz w:val="18"/>
          <w:szCs w:val="18"/>
          <w:color w:val="auto"/>
        </w:rPr>
        <w:t>) indicate an impairment may exist. Our determination is based upon, among other things, our estimates of the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future net cash flows to be generated by the long-lived asset (Level 3 inputs) and our estimates of the current fair value of the asset.</w:t>
      </w:r>
    </w:p>
    <w:p>
      <w:pPr>
        <w:spacing w:after="0" w:line="67" w:lineRule="exact"/>
        <w:rPr>
          <w:rFonts w:ascii="Times New Roman" w:cs="Times New Roman" w:eastAsia="Times New Roman" w:hAnsi="Times New Roman"/>
          <w:sz w:val="18"/>
          <w:szCs w:val="18"/>
          <w:color w:val="auto"/>
        </w:rPr>
      </w:pPr>
    </w:p>
    <w:p>
      <w:pPr>
        <w:jc w:val="both"/>
        <w:ind w:left="12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judgment is required in estimating such cash flows. Adverse changes in such estimates of future net cash flows or estimates of fair value could result in an inability to recover the carrying value of the long-lived asset, thereby possibly requiring an impairment charge to be recognized in the future. We do not assess our property and equipment for impairment unless certain impairment indicators specified in ASC Topic 360-10-35 are present. We did not evaluate any long-lived assets for impairment during 2018 because no such impairment indicators were present.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- 2018 Compared to 2017 and 2017 Compared to 2016</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Pr>
          <w:p>
            <w:pPr>
              <w:spacing w:after="0"/>
              <w:rPr>
                <w:sz w:val="12"/>
                <w:szCs w:val="12"/>
                <w:color w:val="auto"/>
              </w:rPr>
            </w:pPr>
          </w:p>
        </w:tc>
        <w:tc>
          <w:tcPr>
            <w:tcW w:w="800" w:type="dxa"/>
            <w:vAlign w:val="bottom"/>
            <w:tcBorders>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2016-17</w:t>
            </w: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2017-18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9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4"/>
          </w:tcPr>
          <w:p>
            <w:pPr>
              <w:jc w:val="right"/>
              <w:ind w:right="100"/>
              <w:spacing w:after="0" w:line="124"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108.9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112.0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73.7</w:t>
            </w:r>
          </w:p>
        </w:tc>
        <w:tc>
          <w:tcPr>
            <w:tcW w:w="240" w:type="dxa"/>
            <w:vAlign w:val="bottom"/>
          </w:tcPr>
          <w:p>
            <w:pPr>
              <w:spacing w:after="0"/>
              <w:rPr>
                <w:sz w:val="20"/>
                <w:szCs w:val="20"/>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77.2</w:t>
            </w:r>
          </w:p>
        </w:tc>
        <w:tc>
          <w:tcPr>
            <w:tcW w:w="2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8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Gross profit</w:t>
            </w:r>
          </w:p>
        </w:tc>
        <w:tc>
          <w:tcPr>
            <w:tcW w:w="1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92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35.2</w:t>
            </w:r>
          </w:p>
        </w:tc>
        <w:tc>
          <w:tcPr>
            <w:tcW w:w="240" w:type="dxa"/>
            <w:vAlign w:val="bottom"/>
          </w:tcPr>
          <w:p>
            <w:pPr>
              <w:spacing w:after="0"/>
              <w:rPr>
                <w:sz w:val="24"/>
                <w:szCs w:val="24"/>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80" w:type="dxa"/>
            <w:vAlign w:val="bottom"/>
          </w:tcPr>
          <w:p>
            <w:pPr>
              <w:spacing w:after="0"/>
              <w:rPr>
                <w:sz w:val="24"/>
                <w:szCs w:val="24"/>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51"/>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tcPr>
          <w:p>
            <w:pPr>
              <w:spacing w:after="0"/>
              <w:rPr>
                <w:sz w:val="24"/>
                <w:szCs w:val="24"/>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80" w:type="dxa"/>
            <w:vAlign w:val="bottom"/>
          </w:tcPr>
          <w:p>
            <w:pPr>
              <w:spacing w:after="0"/>
              <w:rPr>
                <w:sz w:val="24"/>
                <w:szCs w:val="24"/>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income</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17.8</w:t>
            </w:r>
          </w:p>
        </w:tc>
        <w:tc>
          <w:tcPr>
            <w:tcW w:w="280" w:type="dxa"/>
            <w:vAlign w:val="bottom"/>
          </w:tcPr>
          <w:p>
            <w:pPr>
              <w:spacing w:after="0"/>
              <w:rPr>
                <w:sz w:val="24"/>
                <w:szCs w:val="24"/>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Percent of net sales:</w:t>
            </w:r>
          </w:p>
        </w:tc>
        <w:tc>
          <w:tcPr>
            <w:tcW w:w="1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392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Cost of goods sold</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4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68.9%</w:t>
            </w:r>
          </w:p>
        </w:tc>
        <w:tc>
          <w:tcPr>
            <w:tcW w:w="200" w:type="dxa"/>
            <w:vAlign w:val="bottom"/>
          </w:tcPr>
          <w:p>
            <w:pPr>
              <w:spacing w:after="0"/>
              <w:rPr>
                <w:sz w:val="18"/>
                <w:szCs w:val="18"/>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67.6%</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Gross margin</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income</w:t>
            </w: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20"/>
                <w:szCs w:val="20"/>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119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increased approximately $6.2 million in 2018 compared to 2017 primarily due to higher Marine Components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volumes to manufacturers of ski/wakeboard boats and larger center-console boats, and to a lesser extent higher Security Products sales to certain markets, particularly transportation and office furniture. Relative changes in selling prices did not have a material impact on net sales comparisons.</w:t>
      </w:r>
    </w:p>
    <w:p>
      <w:pPr>
        <w:spacing w:after="0" w:line="176" w:lineRule="exact"/>
        <w:rPr>
          <w:sz w:val="20"/>
          <w:szCs w:val="20"/>
          <w:color w:val="auto"/>
        </w:rPr>
      </w:pPr>
    </w:p>
    <w:p>
      <w:pPr>
        <w:jc w:val="both"/>
        <w:ind w:firstLine="1194"/>
        <w:spacing w:after="0" w:line="261" w:lineRule="auto"/>
        <w:rPr>
          <w:sz w:val="20"/>
          <w:szCs w:val="20"/>
          <w:color w:val="auto"/>
        </w:rPr>
      </w:pPr>
      <w:r>
        <w:rPr>
          <w:rFonts w:ascii="Times New Roman" w:cs="Times New Roman" w:eastAsia="Times New Roman" w:hAnsi="Times New Roman"/>
          <w:sz w:val="18"/>
          <w:szCs w:val="18"/>
          <w:color w:val="auto"/>
        </w:rPr>
        <w:t>Net sales increased approximately $3.1 million in 2017 compared to 2016 primarily due to higher Security Products sales volumes to government security, electronic lock and other markets, partially offset by a decrease in sales of security products to an original equipment manufacturer of recreational transportation products. Marine Components also contributed with higher sales, primarily to the ski/wakeboard boat market. Relative changes in selling prices did not have a material impact on net sales comparisons.</w:t>
      </w:r>
    </w:p>
    <w:p>
      <w:pPr>
        <w:spacing w:after="0" w:line="178" w:lineRule="exact"/>
        <w:rPr>
          <w:sz w:val="20"/>
          <w:szCs w:val="20"/>
          <w:color w:val="auto"/>
        </w:rPr>
      </w:pPr>
    </w:p>
    <w:p>
      <w:pPr>
        <w:jc w:val="both"/>
        <w:ind w:firstLine="119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Goods Sold and Gross Profit. </w:t>
      </w:r>
      <w:r>
        <w:rPr>
          <w:rFonts w:ascii="Times New Roman" w:cs="Times New Roman" w:eastAsia="Times New Roman" w:hAnsi="Times New Roman"/>
          <w:sz w:val="18"/>
          <w:szCs w:val="18"/>
          <w:color w:val="auto"/>
        </w:rPr>
        <w:t>Cost of goods sold increased from 2017 to 2018 primarily due to increased sales volumes for both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Products and Marine Components segments. Gross profit dollars and gross profit as a percentage of sales increased from 2017 to 2018 primarily due to greater fixed cost leverage facilitated by higher production volumes for each of our business segments.</w:t>
      </w:r>
    </w:p>
    <w:p>
      <w:pPr>
        <w:spacing w:after="0" w:line="176" w:lineRule="exact"/>
        <w:rPr>
          <w:sz w:val="20"/>
          <w:szCs w:val="20"/>
          <w:color w:val="auto"/>
        </w:rPr>
      </w:pPr>
    </w:p>
    <w:p>
      <w:pPr>
        <w:jc w:val="both"/>
        <w:ind w:firstLine="1194"/>
        <w:spacing w:after="0" w:line="282" w:lineRule="auto"/>
        <w:rPr>
          <w:sz w:val="20"/>
          <w:szCs w:val="20"/>
          <w:color w:val="auto"/>
        </w:rPr>
      </w:pPr>
      <w:r>
        <w:rPr>
          <w:rFonts w:ascii="Times New Roman" w:cs="Times New Roman" w:eastAsia="Times New Roman" w:hAnsi="Times New Roman"/>
          <w:sz w:val="18"/>
          <w:szCs w:val="18"/>
          <w:color w:val="auto"/>
        </w:rPr>
        <w:t>Cost of goods sold increased from 2016 to 2017 primarily due to increased sales volumes for both the Security Products and Marine Components segments, and to a lesser extent higher raw material prices (mostly zinc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and brass) and increased employee medical costs. Gross profit dollars in 2017 were comparable to 2016. As a percentage of sales, gross profit for 2017 decreased compared to 2016 due primarily to unfavorable relative changes in customer and product mix, higher raw material prices and increased employee medical costs in the Security Products segment, as well as higher manufacturing costs for the Marine Components segment.</w:t>
      </w:r>
    </w:p>
    <w:p>
      <w:pPr>
        <w:spacing w:after="0" w:line="174" w:lineRule="exact"/>
        <w:rPr>
          <w:sz w:val="20"/>
          <w:szCs w:val="20"/>
          <w:color w:val="auto"/>
        </w:rPr>
      </w:pPr>
    </w:p>
    <w:p>
      <w:pPr>
        <w:jc w:val="both"/>
        <w:ind w:firstLine="1194"/>
        <w:spacing w:after="0" w:line="261" w:lineRule="auto"/>
        <w:rPr>
          <w:sz w:val="20"/>
          <w:szCs w:val="20"/>
          <w:color w:val="auto"/>
        </w:rPr>
      </w:pPr>
      <w:r>
        <w:rPr>
          <w:rFonts w:ascii="Times New Roman" w:cs="Times New Roman" w:eastAsia="Times New Roman" w:hAnsi="Times New Roman"/>
          <w:sz w:val="18"/>
          <w:szCs w:val="18"/>
          <w:i w:val="1"/>
          <w:iCs w:val="1"/>
          <w:color w:val="auto"/>
        </w:rPr>
        <w:t>Operating Costs and Expenses</w:t>
      </w:r>
      <w:r>
        <w:rPr>
          <w:rFonts w:ascii="Times New Roman" w:cs="Times New Roman" w:eastAsia="Times New Roman" w:hAnsi="Times New Roman"/>
          <w:sz w:val="18"/>
          <w:szCs w:val="18"/>
          <w:color w:val="auto"/>
        </w:rPr>
        <w:t>. Operating costs and expenses consist primarily of sales and administrative-related personnel costs,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commissions and advertising expenses directly related to product sales and administrative costs relating to business unit and corporate management activities, as well as gains and losses on sales of property, plant and equipment. Operating costs and expenses as a percentage of sales were comparable in 2016, 2017 and 2018.</w:t>
      </w:r>
    </w:p>
    <w:p>
      <w:pPr>
        <w:spacing w:after="0" w:line="180" w:lineRule="exact"/>
        <w:rPr>
          <w:sz w:val="20"/>
          <w:szCs w:val="20"/>
          <w:color w:val="auto"/>
        </w:rPr>
      </w:pPr>
    </w:p>
    <w:p>
      <w:pPr>
        <w:jc w:val="both"/>
        <w:ind w:firstLine="119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Income. </w:t>
      </w:r>
      <w:r>
        <w:rPr>
          <w:rFonts w:ascii="Times New Roman" w:cs="Times New Roman" w:eastAsia="Times New Roman" w:hAnsi="Times New Roman"/>
          <w:sz w:val="18"/>
          <w:szCs w:val="18"/>
          <w:color w:val="auto"/>
        </w:rPr>
        <w:t>As a percentage of net sales, operating income increased from 2017 to 2018 while operating income decreased slightly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2016 to 2017. Operating margins were primarily impacted by the factors impacting cost of goods sold, gross margin and operating costs discussed above.</w:t>
      </w:r>
    </w:p>
    <w:p>
      <w:pPr>
        <w:spacing w:after="0" w:line="174" w:lineRule="exact"/>
        <w:rPr>
          <w:sz w:val="20"/>
          <w:szCs w:val="20"/>
          <w:color w:val="auto"/>
        </w:rPr>
      </w:pPr>
    </w:p>
    <w:p>
      <w:pPr>
        <w:jc w:val="both"/>
        <w:ind w:firstLine="1194"/>
        <w:spacing w:after="0" w:line="254"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Our profitability primarily depends on our ability to utilize our production capacity effectively, which is affected by, among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things, the demand for our products and our ability to control our manufacturing costs, primarily comprised of labor costs and materials. The materials used in our products consist of purchased components and raw materials some of which are subject to fluctuations in the commodity markets such as zinc, brass and stainless steel. Total material costs represented approximately 45% of our cost of sales in 2018, with commodity-related raw materials accounting for approximately 12% of our cost of sales. During 2017 and 2018, markets for the primary commodity-related raw materials used in the manufacture of our locking mechanisms, primarily zinc and brass, generally strengthened, but were moderating at the end of 2018. Over that same period, the market for stainless steel, the primary raw material used for the manufacture of marine exhaust headers and pipes and wake enhancement systems, remained relatively stable. While we expect the markets for our primary commodity-related raw materials to remain stable during 2019, we recognize that economic conditions could introduce renewed volatility on these and other manufacturing materials.</w:t>
      </w:r>
    </w:p>
    <w:p>
      <w:pPr>
        <w:spacing w:after="0" w:line="191" w:lineRule="exact"/>
        <w:rPr>
          <w:sz w:val="20"/>
          <w:szCs w:val="20"/>
          <w:color w:val="auto"/>
        </w:rPr>
      </w:pPr>
    </w:p>
    <w:p>
      <w:pPr>
        <w:jc w:val="both"/>
        <w:ind w:right="20" w:firstLine="1194"/>
        <w:spacing w:after="0" w:line="282" w:lineRule="auto"/>
        <w:rPr>
          <w:sz w:val="20"/>
          <w:szCs w:val="20"/>
          <w:color w:val="auto"/>
        </w:rPr>
      </w:pPr>
      <w:r>
        <w:rPr>
          <w:rFonts w:ascii="Times New Roman" w:cs="Times New Roman" w:eastAsia="Times New Roman" w:hAnsi="Times New Roman"/>
          <w:sz w:val="18"/>
          <w:szCs w:val="18"/>
          <w:color w:val="auto"/>
        </w:rPr>
        <w:t>We occasionally enter into short-term commodity-related raw material supply arrangements to mitigate the impact of future increases in commodity related raw material costs. See Item 1 - “Business- Raw Materials.”</w:t>
      </w:r>
    </w:p>
    <w:p>
      <w:pPr>
        <w:spacing w:after="0" w:line="160" w:lineRule="exact"/>
        <w:rPr>
          <w:sz w:val="20"/>
          <w:szCs w:val="20"/>
          <w:color w:val="auto"/>
        </w:rPr>
      </w:pPr>
    </w:p>
    <w:p>
      <w:pPr>
        <w:jc w:val="both"/>
        <w:ind w:firstLine="1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in 2018 increased compared to 2017 primarily due to higher interest rates on our loan to an affiliate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(originated late in 2016) as well as our cash investments. Interest income in 2017 increased compared to 2016 due to higher average balances on our loan to an affiliate and to a lesser extent higher interest rates in 2017. See Note 9 to the Consolidated Financial Statements.</w:t>
      </w:r>
    </w:p>
    <w:p>
      <w:pPr>
        <w:spacing w:after="0" w:line="174" w:lineRule="exact"/>
        <w:rPr>
          <w:sz w:val="20"/>
          <w:szCs w:val="20"/>
          <w:color w:val="auto"/>
        </w:rPr>
      </w:pPr>
    </w:p>
    <w:p>
      <w:pPr>
        <w:jc w:val="both"/>
        <w:ind w:firstLine="119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A tabular reconciliation of our actual tax provision to the U.S. federal statutory income tax rate is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7 to the Consolidated Financial Statements. As a member of the group of companies consolidated for U.S. federal income tax purposes with Contran, the parent of our consolidated U.S. federal income tax group, we compute our provision for income taxes on a separate company basis, using the tax elections made by Contran.</w:t>
      </w:r>
    </w:p>
    <w:p>
      <w:pPr>
        <w:spacing w:after="0" w:line="182" w:lineRule="exact"/>
        <w:rPr>
          <w:sz w:val="20"/>
          <w:szCs w:val="20"/>
          <w:color w:val="auto"/>
        </w:rPr>
      </w:pPr>
    </w:p>
    <w:p>
      <w:pPr>
        <w:jc w:val="both"/>
        <w:ind w:firstLine="877"/>
        <w:spacing w:after="0" w:line="253" w:lineRule="auto"/>
        <w:rPr>
          <w:sz w:val="20"/>
          <w:szCs w:val="20"/>
          <w:color w:val="auto"/>
        </w:rPr>
      </w:pPr>
      <w:r>
        <w:rPr>
          <w:rFonts w:ascii="Times New Roman" w:cs="Times New Roman" w:eastAsia="Times New Roman" w:hAnsi="Times New Roman"/>
          <w:sz w:val="18"/>
          <w:szCs w:val="18"/>
          <w:color w:val="auto"/>
        </w:rPr>
        <w:t>Our effective income tax rate was 35% in 2016, 23% in 2017 and 25% in 2018. Our effective income tax rate was lower in 2017 and 2018 as compared to 2016 as a result of tax reform legislation. On December 22, 2017, H.R.1, formally known as the “Tax Cuts and Jobs Act” (“2017 Tax Act”) was enacted into law. This tax legislation, among other changes, (i) reduced the U.S Federal corporate income tax rate from 35% to 21% effective January 1, 2018; (ii) eliminated the domestic production activities deduction beginning in 2018; and (iii) allowed the expensing of certain capital expenditures. Following the enactment of the 2017 Tax Act, the Securities and Exchange Commission issued Staff Accounting Bulletin (SAB) 118 to provide guidance on the accounting and reporting impacts of the 2017 Tax Act. SAB 118 required that companies account for changes related to the 2017 Tax Act in the period of enactment unless the impact of such changes could not be reasonably estimated. Where the use of estimated provisional amounts was necessary, SAB 118 provided for a measurement period of no longer than one year during which companies could adjust those amounts as additional information became available. Therefore, as required under GAAP, we revalued our net deferred tax liability associated with our net taxable temporary differences based on deferred tax balances as of the enactment date to reflect the effect of the reduction in the corporate income tax rate. Our temporary differences as of December 31, 2017 were not materially different from</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8"/>
          <w:szCs w:val="18"/>
          <w:color w:val="auto"/>
        </w:rPr>
        <w:t>our temporary differences as of the enactment date; accordingly revaluation of our net taxable temporary differences was based on our net deferred tax liability as of December 31, 2017. Such revaluation resulted in a non-cash deferred income tax benefit of $1.9 million recognized in continuing operations for the period ended December 31, 2017, reducing our net deferred income tax liability as of that date. During 2018 we finalized our analysis of the 2017 Tax Act and recorded an immaterial adjustment within the defined measurement period. See Notes 7 and 10 to our Consolidated Financial Statements.</w:t>
      </w:r>
    </w:p>
    <w:p>
      <w:pPr>
        <w:spacing w:after="0" w:line="180" w:lineRule="exact"/>
        <w:rPr>
          <w:sz w:val="20"/>
          <w:szCs w:val="20"/>
          <w:color w:val="auto"/>
        </w:rPr>
      </w:pPr>
    </w:p>
    <w:p>
      <w:pPr>
        <w:jc w:val="both"/>
        <w:ind w:firstLine="877"/>
        <w:spacing w:after="0" w:line="261" w:lineRule="auto"/>
        <w:rPr>
          <w:sz w:val="20"/>
          <w:szCs w:val="20"/>
          <w:color w:val="auto"/>
        </w:rPr>
      </w:pPr>
      <w:r>
        <w:rPr>
          <w:rFonts w:ascii="Times New Roman" w:cs="Times New Roman" w:eastAsia="Times New Roman" w:hAnsi="Times New Roman"/>
          <w:sz w:val="18"/>
          <w:szCs w:val="18"/>
          <w:color w:val="auto"/>
        </w:rPr>
        <w:t>While our effective income tax rate for 2018 was favorably impacted by the reduction in the U.S. federal statutory income tax rate from 35% to 21%, our effective income tax rate was higher in 2018 as compared to 2017 due to the $1.9 million non-cash deferred income tax benefit recognized in 2017 resulting from the revaluation of our net deferred income tax liability discussed above. We currently expect our effective income tax rate for 2019 to be comparable to 2018.</w:t>
      </w:r>
    </w:p>
    <w:p>
      <w:pPr>
        <w:spacing w:after="0" w:line="17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21" w:lineRule="exact"/>
        <w:rPr>
          <w:sz w:val="20"/>
          <w:szCs w:val="20"/>
          <w:color w:val="auto"/>
        </w:rPr>
      </w:pPr>
    </w:p>
    <w:p>
      <w:pPr>
        <w:jc w:val="both"/>
        <w:ind w:firstLine="1194"/>
        <w:spacing w:after="0" w:line="282" w:lineRule="auto"/>
        <w:rPr>
          <w:sz w:val="20"/>
          <w:szCs w:val="20"/>
          <w:color w:val="auto"/>
        </w:rPr>
      </w:pPr>
      <w:r>
        <w:rPr>
          <w:rFonts w:ascii="Times New Roman" w:cs="Times New Roman" w:eastAsia="Times New Roman" w:hAnsi="Times New Roman"/>
          <w:sz w:val="18"/>
          <w:szCs w:val="18"/>
          <w:color w:val="auto"/>
        </w:rPr>
        <w:t>The key performance indicator for our segments is the level of their operating income (see discussion below). For additional information regarding our segments refer to Note 2 to our Consolidated Financial Statements.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Pr>
          <w:p>
            <w:pPr>
              <w:spacing w:after="0"/>
              <w:rPr>
                <w:sz w:val="12"/>
                <w:szCs w:val="12"/>
                <w:color w:val="auto"/>
              </w:rPr>
            </w:pPr>
          </w:p>
        </w:tc>
        <w:tc>
          <w:tcPr>
            <w:tcW w:w="1640" w:type="dxa"/>
            <w:vAlign w:val="bottom"/>
            <w:tcBorders>
              <w:bottom w:val="single" w:sz="8" w:color="auto"/>
            </w:tcBorders>
          </w:tcPr>
          <w:p>
            <w:pPr>
              <w:jc w:val="right"/>
              <w:ind w:right="673"/>
              <w:spacing w:after="0" w:line="142" w:lineRule="exact"/>
              <w:rPr>
                <w:sz w:val="20"/>
                <w:szCs w:val="20"/>
                <w:color w:val="auto"/>
              </w:rPr>
            </w:pPr>
            <w:r>
              <w:rPr>
                <w:rFonts w:ascii="Times New Roman" w:cs="Times New Roman" w:eastAsia="Times New Roman" w:hAnsi="Times New Roman"/>
                <w:sz w:val="14"/>
                <w:szCs w:val="14"/>
                <w:b w:val="1"/>
                <w:bCs w:val="1"/>
                <w:color w:val="auto"/>
              </w:rPr>
              <w:t>2016 – 2017</w:t>
            </w:r>
          </w:p>
        </w:tc>
        <w:tc>
          <w:tcPr>
            <w:tcW w:w="94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2017 – 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sales:</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58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Security Products</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94.7</w:t>
            </w:r>
          </w:p>
        </w:tc>
        <w:tc>
          <w:tcPr>
            <w:tcW w:w="34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96.6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420" w:type="dxa"/>
            <w:vAlign w:val="bottom"/>
          </w:tcPr>
          <w:p>
            <w:pPr>
              <w:spacing w:after="0"/>
              <w:rPr>
                <w:sz w:val="18"/>
                <w:szCs w:val="18"/>
                <w:color w:val="auto"/>
              </w:rPr>
            </w:pPr>
          </w:p>
        </w:tc>
        <w:tc>
          <w:tcPr>
            <w:tcW w:w="164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3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Marine Components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420" w:type="dxa"/>
            <w:vAlign w:val="bottom"/>
          </w:tcPr>
          <w:p>
            <w:pPr>
              <w:spacing w:after="0"/>
              <w:rPr>
                <w:sz w:val="20"/>
                <w:szCs w:val="20"/>
                <w:color w:val="auto"/>
              </w:rPr>
            </w:pPr>
          </w:p>
        </w:tc>
        <w:tc>
          <w:tcPr>
            <w:tcW w:w="164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35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net sales</w:t>
            </w:r>
          </w:p>
        </w:tc>
        <w:tc>
          <w:tcPr>
            <w:tcW w:w="9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4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420" w:type="dxa"/>
            <w:vAlign w:val="bottom"/>
          </w:tcPr>
          <w:p>
            <w:pPr>
              <w:spacing w:after="0"/>
              <w:rPr>
                <w:sz w:val="18"/>
                <w:szCs w:val="18"/>
                <w:color w:val="auto"/>
              </w:rPr>
            </w:pPr>
          </w:p>
        </w:tc>
        <w:tc>
          <w:tcPr>
            <w:tcW w:w="164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35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Security Products</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31.2</w:t>
            </w:r>
          </w:p>
        </w:tc>
        <w:tc>
          <w:tcPr>
            <w:tcW w:w="34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420" w:type="dxa"/>
            <w:vAlign w:val="bottom"/>
          </w:tcPr>
          <w:p>
            <w:pPr>
              <w:spacing w:after="0"/>
              <w:rPr>
                <w:sz w:val="18"/>
                <w:szCs w:val="18"/>
                <w:color w:val="auto"/>
              </w:rPr>
            </w:pPr>
          </w:p>
        </w:tc>
        <w:tc>
          <w:tcPr>
            <w:tcW w:w="164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3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Marine Components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20" w:type="dxa"/>
            <w:vAlign w:val="bottom"/>
          </w:tcPr>
          <w:p>
            <w:pPr>
              <w:spacing w:after="0"/>
              <w:rPr>
                <w:sz w:val="20"/>
                <w:szCs w:val="20"/>
                <w:color w:val="auto"/>
              </w:rPr>
            </w:pPr>
          </w:p>
        </w:tc>
        <w:tc>
          <w:tcPr>
            <w:tcW w:w="164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0"/>
        </w:trPr>
        <w:tc>
          <w:tcPr>
            <w:tcW w:w="35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gross profit</w:t>
            </w:r>
          </w:p>
        </w:tc>
        <w:tc>
          <w:tcPr>
            <w:tcW w:w="9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4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420" w:type="dxa"/>
            <w:vAlign w:val="bottom"/>
          </w:tcPr>
          <w:p>
            <w:pPr>
              <w:spacing w:after="0"/>
              <w:rPr>
                <w:sz w:val="18"/>
                <w:szCs w:val="18"/>
                <w:color w:val="auto"/>
              </w:rPr>
            </w:pPr>
          </w:p>
        </w:tc>
        <w:tc>
          <w:tcPr>
            <w:tcW w:w="164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35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Security Products</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20.0</w:t>
            </w:r>
          </w:p>
        </w:tc>
        <w:tc>
          <w:tcPr>
            <w:tcW w:w="34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420" w:type="dxa"/>
            <w:vAlign w:val="bottom"/>
          </w:tcPr>
          <w:p>
            <w:pPr>
              <w:spacing w:after="0"/>
              <w:rPr>
                <w:sz w:val="18"/>
                <w:szCs w:val="18"/>
                <w:color w:val="auto"/>
              </w:rPr>
            </w:pPr>
          </w:p>
        </w:tc>
        <w:tc>
          <w:tcPr>
            <w:tcW w:w="164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Marine Components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tcPr>
          <w:p>
            <w:pPr>
              <w:spacing w:after="0"/>
              <w:rPr>
                <w:sz w:val="18"/>
                <w:szCs w:val="18"/>
                <w:color w:val="auto"/>
              </w:rPr>
            </w:pPr>
          </w:p>
        </w:tc>
        <w:tc>
          <w:tcPr>
            <w:tcW w:w="164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-21</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4"/>
        </w:trPr>
        <w:tc>
          <w:tcPr>
            <w:tcW w:w="3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Corporate operating expenses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(6.9)</w:t>
            </w:r>
          </w:p>
        </w:tc>
        <w:tc>
          <w:tcPr>
            <w:tcW w:w="164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13</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35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operating income</w:t>
            </w:r>
          </w:p>
        </w:tc>
        <w:tc>
          <w:tcPr>
            <w:tcW w:w="9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4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420" w:type="dxa"/>
            <w:vAlign w:val="bottom"/>
          </w:tcPr>
          <w:p>
            <w:pPr>
              <w:spacing w:after="0"/>
              <w:rPr>
                <w:sz w:val="18"/>
                <w:szCs w:val="18"/>
                <w:color w:val="auto"/>
              </w:rPr>
            </w:pPr>
          </w:p>
        </w:tc>
        <w:tc>
          <w:tcPr>
            <w:tcW w:w="164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income margin:</w:t>
            </w: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35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Security Products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22.3%</w:t>
            </w:r>
          </w:p>
        </w:tc>
        <w:tc>
          <w:tcPr>
            <w:tcW w:w="1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Marine Components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operating income margin</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119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Security Products. </w:t>
      </w:r>
      <w:r>
        <w:rPr>
          <w:rFonts w:ascii="Times New Roman" w:cs="Times New Roman" w:eastAsia="Times New Roman" w:hAnsi="Times New Roman"/>
          <w:sz w:val="18"/>
          <w:szCs w:val="18"/>
          <w:color w:val="auto"/>
        </w:rPr>
        <w:t>Security Products net sales increased 2% to $98.4 million in 2018 compared to $96.6 million in 2017,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sales to the transportation and office furniture markets. As a percentage of sales, gross profit for 2018 increased slightly over 2017 due to lower production costs, including headcount reductions made during the second quarter of 2017, and improved coverage of fixed costs over increased production volumes. Operating costs and expenses for 2018 were slightly lower than 2017. As a result, Security Products operating income as a percentage of net sales for 2018 exceeded 2017.</w:t>
      </w:r>
    </w:p>
    <w:p>
      <w:pPr>
        <w:spacing w:after="0" w:line="182" w:lineRule="exact"/>
        <w:rPr>
          <w:sz w:val="20"/>
          <w:szCs w:val="20"/>
          <w:color w:val="auto"/>
        </w:rPr>
      </w:pPr>
    </w:p>
    <w:p>
      <w:pPr>
        <w:jc w:val="both"/>
        <w:ind w:firstLine="1194"/>
        <w:spacing w:after="0" w:line="261" w:lineRule="auto"/>
        <w:rPr>
          <w:sz w:val="20"/>
          <w:szCs w:val="20"/>
          <w:color w:val="auto"/>
        </w:rPr>
      </w:pPr>
      <w:r>
        <w:rPr>
          <w:rFonts w:ascii="Times New Roman" w:cs="Times New Roman" w:eastAsia="Times New Roman" w:hAnsi="Times New Roman"/>
          <w:sz w:val="18"/>
          <w:szCs w:val="18"/>
          <w:color w:val="auto"/>
        </w:rPr>
        <w:t>Security Products net sales increased 2% to $96.6 million in 2017 compared to $94.7 million in 2016, as improved sales to government security, electronic lock and other markets more than offset a decrease of approximately $2.9 million in sales to a customer serving the recreational transportation market. As a percentage of sales, gross profit for 2017 decreased compared to 2016 primarily due to unfavorable relative changes in customer and product mix, and to a lesser extent higher raw material prices (mostly zinc and brass) and increased employee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medical costs. Operating costs and expenses for 2017 were comparable to 2016. As a result, Security Products operating income as a percentage of net sales for 2017 was below 2016.</w:t>
      </w:r>
    </w:p>
    <w:p>
      <w:pPr>
        <w:spacing w:after="0" w:line="160" w:lineRule="exact"/>
        <w:rPr>
          <w:sz w:val="20"/>
          <w:szCs w:val="20"/>
          <w:color w:val="auto"/>
        </w:rPr>
      </w:pPr>
    </w:p>
    <w:p>
      <w:pPr>
        <w:jc w:val="both"/>
        <w:ind w:firstLine="119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Marine Components. </w:t>
      </w:r>
      <w:r>
        <w:rPr>
          <w:rFonts w:ascii="Times New Roman" w:cs="Times New Roman" w:eastAsia="Times New Roman" w:hAnsi="Times New Roman"/>
          <w:sz w:val="18"/>
          <w:szCs w:val="18"/>
          <w:color w:val="auto"/>
        </w:rPr>
        <w:t>Marine Components net sales increased 29% in 2018 as compared to 2017 as a result of continued strong demand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products, particularly those sold to the ski/wakeboard boat market as well as to manufacturers of large center-console boats and industrial customers. Gross profit margin and operating income as a percentage of net sales increased in 2018 compared to 2017 principally due to improved fixed cost leverage facilitated by higher production volumes.</w:t>
      </w:r>
    </w:p>
    <w:p>
      <w:pPr>
        <w:spacing w:after="0" w:line="182" w:lineRule="exact"/>
        <w:rPr>
          <w:sz w:val="20"/>
          <w:szCs w:val="20"/>
          <w:color w:val="auto"/>
        </w:rPr>
      </w:pPr>
    </w:p>
    <w:p>
      <w:pPr>
        <w:jc w:val="both"/>
        <w:ind w:firstLine="1194"/>
        <w:spacing w:after="0" w:line="261" w:lineRule="auto"/>
        <w:rPr>
          <w:sz w:val="20"/>
          <w:szCs w:val="20"/>
          <w:color w:val="auto"/>
        </w:rPr>
      </w:pPr>
      <w:r>
        <w:rPr>
          <w:rFonts w:ascii="Times New Roman" w:cs="Times New Roman" w:eastAsia="Times New Roman" w:hAnsi="Times New Roman"/>
          <w:sz w:val="18"/>
          <w:szCs w:val="18"/>
          <w:color w:val="auto"/>
        </w:rPr>
        <w:t>Marine Components net sales increased 8% in 2017 as compared to 2016 as a result of continued strong demand for our products, particularly those sold to the ski/wakeboard boat market. Gross profit margin and operating income as a percentage of net sales decreased in 2017 compared to 2016 principally due to unfavorable relative changes in customer and product mix and higher manufacturing costs, including the impact of personnel turnover in key manufacturing departments.</w:t>
      </w:r>
    </w:p>
    <w:p>
      <w:pPr>
        <w:spacing w:after="0" w:line="28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i w:val="1"/>
          <w:iCs w:val="1"/>
          <w:color w:val="auto"/>
        </w:rPr>
        <w:t>Outlook</w:t>
      </w:r>
    </w:p>
    <w:p>
      <w:pPr>
        <w:spacing w:after="0" w:line="227"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Our 2018 sales growth was largely attributable to high demand for our marine products, where we continue to benefit from innovation and diversification in our product offerings to the recreational boat markets. We also increased sales of security products, particularly to the transportation and office furniture markets. In 2019, we will seek to maintain the positive momentum in each of our business segments to grow sales and profitability. We will continue to monitor economic conditions and sales order rates and respond to fluctuations in customer demand through continuous evaluation of staffing levels and consistent execution of our lean manufacturing and cost improvement initiatives. Additionally, we continue to seek opportunities to gain market share in markets we currently serve, to expand into new markets and to develop new product features in order to mitigate the impact of changes in demand as well as broaden our sales base.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121" w:lineRule="exact"/>
        <w:rPr>
          <w:sz w:val="20"/>
          <w:szCs w:val="20"/>
          <w:color w:val="auto"/>
        </w:rPr>
      </w:pPr>
    </w:p>
    <w:p>
      <w:pPr>
        <w:jc w:val="both"/>
        <w:ind w:firstLine="1194"/>
        <w:spacing w:after="0" w:line="256" w:lineRule="auto"/>
        <w:rPr>
          <w:sz w:val="20"/>
          <w:szCs w:val="20"/>
          <w:color w:val="auto"/>
        </w:rPr>
      </w:pPr>
      <w:r>
        <w:rPr>
          <w:rFonts w:ascii="Times New Roman" w:cs="Times New Roman" w:eastAsia="Times New Roman" w:hAnsi="Times New Roman"/>
          <w:sz w:val="18"/>
          <w:szCs w:val="18"/>
          <w:color w:val="auto"/>
        </w:rPr>
        <w:t>Our primary source of liquidity on an on-going basis is our cash flow from operating activities, which is generally used to (i) fund capital expenditures, (ii) repay short-term or long-term indebtedness incurred primarily for capital expenditures, business combinations or buying back shares of our outstanding stock and (iii) provide for the payment of dividends (if declared). From time-to-time, we may incur indebtedness to fund capital expenditures, business combinations or other investment activities. In addition, from time-to-time, we may also sell assets outside the ordinary course of business, the proceeds of which are generally used to repay indebtedness (including indebtedness which may have been collateralized by the assets sold) or to fund capital expenditures or business combinations.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cash flows</w:t>
      </w:r>
    </w:p>
    <w:p>
      <w:pPr>
        <w:spacing w:after="0" w:line="119" w:lineRule="exact"/>
        <w:rPr>
          <w:sz w:val="20"/>
          <w:szCs w:val="20"/>
          <w:color w:val="auto"/>
        </w:rPr>
      </w:pPr>
    </w:p>
    <w:p>
      <w:pPr>
        <w:jc w:val="both"/>
        <w:ind w:firstLine="119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Trends in cash flows from operating activities, excluding changes in assets and liabilities, for the last three years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been similar to the trends in our earnings. Depreciation and amortization was comparable in each of 2018, 2017 and 2016. See Note 1 to our Consolidated Financial Statements.</w:t>
      </w:r>
    </w:p>
    <w:p>
      <w:pPr>
        <w:spacing w:after="0" w:line="176" w:lineRule="exact"/>
        <w:rPr>
          <w:sz w:val="20"/>
          <w:szCs w:val="20"/>
          <w:color w:val="auto"/>
        </w:rPr>
      </w:pPr>
    </w:p>
    <w:p>
      <w:pPr>
        <w:jc w:val="both"/>
        <w:ind w:firstLine="1194"/>
        <w:spacing w:after="0" w:line="261" w:lineRule="auto"/>
        <w:rPr>
          <w:sz w:val="20"/>
          <w:szCs w:val="20"/>
          <w:color w:val="auto"/>
        </w:rPr>
      </w:pPr>
      <w:r>
        <w:rPr>
          <w:rFonts w:ascii="Times New Roman" w:cs="Times New Roman" w:eastAsia="Times New Roman" w:hAnsi="Times New Roman"/>
          <w:sz w:val="18"/>
          <w:szCs w:val="18"/>
          <w:color w:val="auto"/>
        </w:rPr>
        <w:t>Changes in assets and liabilities result primarily from the timing of production, sales and purchases. Such changes in assets and liabilities generally tend to even out over time. However, year-to-year relative changes in assets and liabilities can significantly affect the comparability of cash flows from operating activities. Cash provided by operating activities was $17.2 million in 2018 compared to $12.6 million in 2017. The $4.6 million increase in cash provided by operating activities is primarily the net result of:</w:t>
      </w:r>
    </w:p>
    <w:p>
      <w:pPr>
        <w:spacing w:after="0" w:line="72" w:lineRule="exact"/>
        <w:rPr>
          <w:sz w:val="20"/>
          <w:szCs w:val="20"/>
          <w:color w:val="auto"/>
        </w:rPr>
      </w:pPr>
    </w:p>
    <w:p>
      <w:pPr>
        <w:ind w:left="1180" w:hanging="429"/>
        <w:spacing w:after="0"/>
        <w:tabs>
          <w:tab w:leader="none" w:pos="1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$2.6 million increase in operating income in 2018,</w:t>
      </w:r>
    </w:p>
    <w:p>
      <w:pPr>
        <w:spacing w:after="0" w:line="117" w:lineRule="exact"/>
        <w:rPr>
          <w:rFonts w:ascii="Times New Roman" w:cs="Times New Roman" w:eastAsia="Times New Roman" w:hAnsi="Times New Roman"/>
          <w:sz w:val="18"/>
          <w:szCs w:val="18"/>
          <w:color w:val="auto"/>
        </w:rPr>
      </w:pPr>
    </w:p>
    <w:p>
      <w:pPr>
        <w:ind w:left="1180" w:hanging="429"/>
        <w:spacing w:after="0" w:line="282" w:lineRule="auto"/>
        <w:tabs>
          <w:tab w:leader="none" w:pos="1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$2.3 million decrease in cash paid for taxes in 2018 as the favorable impact of the lower U.S. federal corporate income tax rate in 2018 more than offset the effect of increased profits in 2018, and</w:t>
      </w:r>
    </w:p>
    <w:p>
      <w:pPr>
        <w:spacing w:after="0" w:line="53" w:lineRule="exact"/>
        <w:rPr>
          <w:rFonts w:ascii="Times New Roman" w:cs="Times New Roman" w:eastAsia="Times New Roman" w:hAnsi="Times New Roman"/>
          <w:sz w:val="18"/>
          <w:szCs w:val="18"/>
          <w:color w:val="auto"/>
        </w:rPr>
      </w:pPr>
    </w:p>
    <w:p>
      <w:pPr>
        <w:ind w:left="1180" w:hanging="429"/>
        <w:spacing w:after="0"/>
        <w:tabs>
          <w:tab w:leader="none" w:pos="1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higher amount of net cash used by relative changes in inventories, receivables, payables and non-tax accruals of $0.4 million.</w:t>
      </w:r>
    </w:p>
    <w:p>
      <w:pPr>
        <w:spacing w:after="0" w:line="225" w:lineRule="exact"/>
        <w:rPr>
          <w:sz w:val="20"/>
          <w:szCs w:val="20"/>
          <w:color w:val="auto"/>
        </w:rPr>
      </w:pPr>
    </w:p>
    <w:p>
      <w:pPr>
        <w:ind w:firstLine="1194"/>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was $12.6 million in 2017 compared to $13.9 million in 2016. The $1.3 million decrease in cash provided by operating activities was primarily the net result of:</w:t>
      </w:r>
    </w:p>
    <w:p>
      <w:pPr>
        <w:spacing w:after="0" w:line="54" w:lineRule="exact"/>
        <w:rPr>
          <w:sz w:val="20"/>
          <w:szCs w:val="20"/>
          <w:color w:val="auto"/>
        </w:rPr>
      </w:pPr>
    </w:p>
    <w:p>
      <w:pPr>
        <w:ind w:left="1180" w:hanging="429"/>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$0.4 million decrease in operating income in 2017,</w:t>
      </w:r>
    </w:p>
    <w:p>
      <w:pPr>
        <w:spacing w:after="0" w:line="117" w:lineRule="exact"/>
        <w:rPr>
          <w:rFonts w:ascii="Times New Roman" w:cs="Times New Roman" w:eastAsia="Times New Roman" w:hAnsi="Times New Roman"/>
          <w:sz w:val="18"/>
          <w:szCs w:val="18"/>
          <w:color w:val="auto"/>
        </w:rPr>
      </w:pPr>
    </w:p>
    <w:p>
      <w:pPr>
        <w:ind w:left="1180" w:hanging="429"/>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 million increase in interest income in 2017,</w:t>
      </w:r>
    </w:p>
    <w:p>
      <w:pPr>
        <w:spacing w:after="0" w:line="117" w:lineRule="exact"/>
        <w:rPr>
          <w:rFonts w:ascii="Times New Roman" w:cs="Times New Roman" w:eastAsia="Times New Roman" w:hAnsi="Times New Roman"/>
          <w:sz w:val="18"/>
          <w:szCs w:val="18"/>
          <w:color w:val="auto"/>
        </w:rPr>
      </w:pPr>
    </w:p>
    <w:p>
      <w:pPr>
        <w:ind w:left="1180" w:hanging="429"/>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$2.1 million increase in cash paid for taxes in 2017 due to the relative timing of payments and increased profits, and</w:t>
      </w:r>
    </w:p>
    <w:p>
      <w:pPr>
        <w:spacing w:after="0" w:line="117" w:lineRule="exact"/>
        <w:rPr>
          <w:rFonts w:ascii="Times New Roman" w:cs="Times New Roman" w:eastAsia="Times New Roman" w:hAnsi="Times New Roman"/>
          <w:sz w:val="18"/>
          <w:szCs w:val="18"/>
          <w:color w:val="auto"/>
        </w:rPr>
      </w:pPr>
    </w:p>
    <w:p>
      <w:pPr>
        <w:ind w:left="1180" w:hanging="429"/>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higher amount of net cash used by relative changes in inventories, receivables, payables and non-tax accruals of $0.3 million.</w:t>
      </w:r>
    </w:p>
    <w:p>
      <w:pPr>
        <w:spacing w:after="0" w:line="225" w:lineRule="exact"/>
        <w:rPr>
          <w:sz w:val="20"/>
          <w:szCs w:val="20"/>
          <w:color w:val="auto"/>
        </w:rPr>
      </w:pPr>
    </w:p>
    <w:p>
      <w:pPr>
        <w:jc w:val="both"/>
        <w:ind w:firstLine="1194"/>
        <w:spacing w:after="0" w:line="266" w:lineRule="auto"/>
        <w:rPr>
          <w:sz w:val="20"/>
          <w:szCs w:val="20"/>
          <w:color w:val="auto"/>
        </w:rPr>
      </w:pPr>
      <w:r>
        <w:rPr>
          <w:rFonts w:ascii="Times New Roman" w:cs="Times New Roman" w:eastAsia="Times New Roman" w:hAnsi="Times New Roman"/>
          <w:sz w:val="18"/>
          <w:szCs w:val="18"/>
          <w:color w:val="auto"/>
        </w:rPr>
        <w:t>Relative changes in working capital can have a significant effect on cash flows from operating activities. As shown below, our total average days sales outstanding increased from December 31, 2017 to December 31, 2018 primarily as a result of the timing of sales and collections in the last month of 2018 as compared to 2017. For comparative purposes, we have provided 2016 numbers below.</w:t>
      </w:r>
    </w:p>
    <w:p>
      <w:pPr>
        <w:spacing w:after="0" w:line="18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Days Sales Outstanding:</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December 31,</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December 31,</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1"/>
        </w:trPr>
        <w:tc>
          <w:tcPr>
            <w:tcW w:w="5620" w:type="dxa"/>
            <w:vAlign w:val="bottom"/>
            <w:gridSpan w:val="2"/>
            <w:vMerge w:val="continue"/>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2016</w:t>
            </w:r>
          </w:p>
        </w:tc>
        <w:tc>
          <w:tcPr>
            <w:tcW w:w="2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1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2018</w:t>
            </w:r>
          </w:p>
        </w:tc>
        <w:tc>
          <w:tcPr>
            <w:tcW w:w="0" w:type="dxa"/>
            <w:vAlign w:val="bottom"/>
          </w:tcPr>
          <w:p>
            <w:pPr>
              <w:spacing w:after="0"/>
              <w:rPr>
                <w:sz w:val="1"/>
                <w:szCs w:val="1"/>
                <w:color w:val="auto"/>
              </w:rPr>
            </w:pPr>
          </w:p>
        </w:tc>
      </w:tr>
      <w:tr>
        <w:trPr>
          <w:trHeight w:val="191"/>
        </w:trPr>
        <w:tc>
          <w:tcPr>
            <w:tcW w:w="5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Security Products</w:t>
            </w:r>
          </w:p>
        </w:tc>
        <w:tc>
          <w:tcPr>
            <w:tcW w:w="14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36 Days</w:t>
            </w:r>
          </w:p>
        </w:tc>
        <w:tc>
          <w:tcPr>
            <w:tcW w:w="26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39 Days</w:t>
            </w:r>
          </w:p>
        </w:tc>
        <w:tc>
          <w:tcPr>
            <w:tcW w:w="18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43 Days</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Marine Components</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33 Days</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31 Days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 Days</w:t>
            </w:r>
          </w:p>
        </w:tc>
        <w:tc>
          <w:tcPr>
            <w:tcW w:w="0" w:type="dxa"/>
            <w:vAlign w:val="bottom"/>
          </w:tcPr>
          <w:p>
            <w:pPr>
              <w:spacing w:after="0"/>
              <w:rPr>
                <w:sz w:val="1"/>
                <w:szCs w:val="1"/>
                <w:color w:val="auto"/>
              </w:rPr>
            </w:pPr>
          </w:p>
        </w:tc>
      </w:tr>
      <w:tr>
        <w:trPr>
          <w:trHeight w:val="234"/>
        </w:trPr>
        <w:tc>
          <w:tcPr>
            <w:tcW w:w="56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36 Days</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38 Days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 Days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1194"/>
        <w:spacing w:after="0" w:line="282" w:lineRule="auto"/>
        <w:rPr>
          <w:sz w:val="20"/>
          <w:szCs w:val="20"/>
          <w:color w:val="auto"/>
        </w:rPr>
      </w:pPr>
      <w:r>
        <w:rPr>
          <w:rFonts w:ascii="Times New Roman" w:cs="Times New Roman" w:eastAsia="Times New Roman" w:hAnsi="Times New Roman"/>
          <w:sz w:val="18"/>
          <w:szCs w:val="18"/>
          <w:color w:val="auto"/>
        </w:rPr>
        <w:t>As shown below, our average number of days in inventory at December 31, 2018 is comparable to December 31, 2017. The variability in days in inventory among our segments primarily relates to the complexity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the production processes, and therefore the length of time it takes to produce end products, as well as seasonal cycles. For comparative purposes, we have provided 2016 numbers below.</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Days in Inventory:</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December 31,</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December 31,</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1"/>
        </w:trPr>
        <w:tc>
          <w:tcPr>
            <w:tcW w:w="5640" w:type="dxa"/>
            <w:vAlign w:val="bottom"/>
            <w:gridSpan w:val="2"/>
            <w:vMerge w:val="continue"/>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2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2017</w:t>
            </w:r>
          </w:p>
        </w:tc>
        <w:tc>
          <w:tcPr>
            <w:tcW w:w="1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2018</w:t>
            </w:r>
          </w:p>
        </w:tc>
        <w:tc>
          <w:tcPr>
            <w:tcW w:w="0" w:type="dxa"/>
            <w:vAlign w:val="bottom"/>
          </w:tcPr>
          <w:p>
            <w:pPr>
              <w:spacing w:after="0"/>
              <w:rPr>
                <w:sz w:val="1"/>
                <w:szCs w:val="1"/>
                <w:color w:val="auto"/>
              </w:rPr>
            </w:pPr>
          </w:p>
        </w:tc>
      </w:tr>
      <w:tr>
        <w:trPr>
          <w:trHeight w:val="191"/>
        </w:trPr>
        <w:tc>
          <w:tcPr>
            <w:tcW w:w="5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Security Products</w:t>
            </w:r>
          </w:p>
        </w:tc>
        <w:tc>
          <w:tcPr>
            <w:tcW w:w="14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73 Days</w:t>
            </w:r>
          </w:p>
        </w:tc>
        <w:tc>
          <w:tcPr>
            <w:tcW w:w="24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76 Days</w:t>
            </w:r>
          </w:p>
        </w:tc>
        <w:tc>
          <w:tcPr>
            <w:tcW w:w="18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77 Days</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Marine Components</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122 Days</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96 Days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 Days</w:t>
            </w:r>
          </w:p>
        </w:tc>
        <w:tc>
          <w:tcPr>
            <w:tcW w:w="0" w:type="dxa"/>
            <w:vAlign w:val="bottom"/>
          </w:tcPr>
          <w:p>
            <w:pPr>
              <w:spacing w:after="0"/>
              <w:rPr>
                <w:sz w:val="1"/>
                <w:szCs w:val="1"/>
                <w:color w:val="auto"/>
              </w:rPr>
            </w:pPr>
          </w:p>
        </w:tc>
      </w:tr>
      <w:tr>
        <w:trPr>
          <w:trHeight w:val="234"/>
        </w:trPr>
        <w:tc>
          <w:tcPr>
            <w:tcW w:w="56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79 Days</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79 Days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 Days</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1194"/>
        <w:spacing w:after="0" w:line="259"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Capital expenditures have primarily emphasized improving our manufacturing facilities and investing in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utilizing new technologies and increased automation of the manufacturing process, to provide for increased productivity and efficiency in order to meet expected customer demand and properly maintain our facilities and technology infrastructure. Capital expenditures were $3.2 million in 2016, $2.8 million in 2017 and $3.1 million in 2018. See Note 2 to our Consolidated Financial Statements. Capital expenditures in 2016 include approximately $1.0 million for an expansion to our Grayslake facility which was completed in April 2016.</w:t>
      </w:r>
    </w:p>
    <w:p>
      <w:pPr>
        <w:spacing w:after="0" w:line="182" w:lineRule="exact"/>
        <w:rPr>
          <w:sz w:val="20"/>
          <w:szCs w:val="20"/>
          <w:color w:val="auto"/>
        </w:rPr>
      </w:pPr>
    </w:p>
    <w:p>
      <w:pPr>
        <w:jc w:val="both"/>
        <w:ind w:firstLine="1194"/>
        <w:spacing w:after="0" w:line="282" w:lineRule="auto"/>
        <w:rPr>
          <w:sz w:val="20"/>
          <w:szCs w:val="20"/>
          <w:color w:val="auto"/>
        </w:rPr>
      </w:pPr>
      <w:r>
        <w:rPr>
          <w:rFonts w:ascii="Times New Roman" w:cs="Times New Roman" w:eastAsia="Times New Roman" w:hAnsi="Times New Roman"/>
          <w:sz w:val="18"/>
          <w:szCs w:val="18"/>
          <w:color w:val="auto"/>
        </w:rPr>
        <w:t>Capital expenditures for 2019 are estimated at approximately $4.8 million primarily to maintain and improve the cost-effectiveness of our facilities and equipment. Capital spending for 2019 is expected to be funded through cash on hand and cash generated from operations.</w:t>
      </w:r>
    </w:p>
    <w:p>
      <w:pPr>
        <w:spacing w:after="0" w:line="162" w:lineRule="exact"/>
        <w:rPr>
          <w:sz w:val="20"/>
          <w:szCs w:val="20"/>
          <w:color w:val="auto"/>
        </w:rPr>
      </w:pPr>
    </w:p>
    <w:p>
      <w:pPr>
        <w:jc w:val="both"/>
        <w:ind w:firstLine="1194"/>
        <w:spacing w:after="0" w:line="255" w:lineRule="auto"/>
        <w:rPr>
          <w:sz w:val="20"/>
          <w:szCs w:val="20"/>
          <w:color w:val="auto"/>
        </w:rPr>
      </w:pPr>
      <w:r>
        <w:rPr>
          <w:rFonts w:ascii="Times New Roman" w:cs="Times New Roman" w:eastAsia="Times New Roman" w:hAnsi="Times New Roman"/>
          <w:sz w:val="18"/>
          <w:szCs w:val="18"/>
          <w:color w:val="auto"/>
        </w:rPr>
        <w:t>In August 2016, we entered into an unsecured revolving demand promissory note with Valhi whereby we have agreed to loan Valhi up to $40 million. Our loan to Valhi, as amended, bears interest at prime rate plus 1.00%, payable quarterly, with all principal due on demand, but in any event no earlier than December 31, 2020. Loans made to Valhi at any time under the agreement are at our discretion. During the third and fourth quarters of 2016, Valhi borrowed a net $27.4 million under the promissory note ($36.6 million of gross borrowings and $9.2 million of gross repayments). During 2017, Valhi borrowed a net $10.8 million under the promissory note for an outstanding balance of $38.2 million at December 31, 2017 ($52.1 million of gross borrowings and $41.3 million of gross repayments). During 2018, Valhi repaid a net $4.2 million under the promissory note for an outstanding balance of $34.0 million at December 31, 2018 ($46.8 million of gross borrowings and $51.0 million of gross repayments). See Note 9 to our Consolidated Financial Statements.</w:t>
      </w:r>
    </w:p>
    <w:p>
      <w:pPr>
        <w:spacing w:after="0" w:line="187" w:lineRule="exact"/>
        <w:rPr>
          <w:sz w:val="20"/>
          <w:szCs w:val="20"/>
          <w:color w:val="auto"/>
        </w:rPr>
      </w:pPr>
    </w:p>
    <w:p>
      <w:pPr>
        <w:jc w:val="both"/>
        <w:ind w:firstLine="119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dividends paid totaled $2.5 million ($.20 per share, or $.05 per share per quarter) in each of 2016, 2017 and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February 27, 2019 our board of directors declared a first quarter 2019 dividend of $.07 per share, to be paid on March 19, 2019 to CompX stockholders of record as of March 11, 2019. The declaration and payment of future dividends and the amount thereof, if any, is discretionary and is dependent upon our results of operations, financial condition, cash requirements for our businesses, contractual requirements and restrictions and other factors deemed relevant by our board of directors. The amount and timing of past dividends is not necessarily indicative of the amount or timing of any future dividends which we might pay.</w:t>
      </w:r>
    </w:p>
    <w:p>
      <w:pPr>
        <w:spacing w:after="0" w:line="39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i w:val="1"/>
          <w:iCs w:val="1"/>
          <w:color w:val="auto"/>
        </w:rPr>
        <w:t>Future Cash Requirements</w:t>
      </w:r>
    </w:p>
    <w:p>
      <w:pPr>
        <w:spacing w:after="0" w:line="121" w:lineRule="exact"/>
        <w:rPr>
          <w:sz w:val="20"/>
          <w:szCs w:val="20"/>
          <w:color w:val="auto"/>
        </w:rPr>
      </w:pPr>
    </w:p>
    <w:p>
      <w:pPr>
        <w:jc w:val="both"/>
        <w:ind w:firstLine="1194"/>
        <w:spacing w:after="0" w:line="266" w:lineRule="auto"/>
        <w:rPr>
          <w:sz w:val="20"/>
          <w:szCs w:val="20"/>
          <w:color w:val="auto"/>
        </w:rPr>
      </w:pPr>
      <w:r>
        <w:rPr>
          <w:rFonts w:ascii="Times New Roman" w:cs="Times New Roman" w:eastAsia="Times New Roman" w:hAnsi="Times New Roman"/>
          <w:sz w:val="18"/>
          <w:szCs w:val="18"/>
          <w:color w:val="auto"/>
        </w:rPr>
        <w:t>We believe cash generated from operations together with cash on hand will be sufficient to meet our liquidity needs for working capital, capital expenditures, debt service and dividends (if declared) for the next twelve months and our long term obligations for the next five years. To the extent that actual operating results or other developments differ materially from our expectations, our liquidity could be adversely affected.</w:t>
      </w:r>
    </w:p>
    <w:p>
      <w:pPr>
        <w:spacing w:after="0" w:line="17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All of our $45.4 million aggregate cash and cash equivalents at December 31, 2018 were held in the U.S.</w:t>
      </w:r>
    </w:p>
    <w:p>
      <w:pPr>
        <w:spacing w:after="0" w:line="225" w:lineRule="exact"/>
        <w:rPr>
          <w:sz w:val="20"/>
          <w:szCs w:val="20"/>
          <w:color w:val="auto"/>
        </w:rPr>
      </w:pPr>
    </w:p>
    <w:p>
      <w:pPr>
        <w:jc w:val="both"/>
        <w:ind w:firstLine="1194"/>
        <w:spacing w:after="0" w:line="261" w:lineRule="auto"/>
        <w:rPr>
          <w:sz w:val="20"/>
          <w:szCs w:val="20"/>
          <w:color w:val="auto"/>
        </w:rPr>
      </w:pPr>
      <w:r>
        <w:rPr>
          <w:rFonts w:ascii="Times New Roman" w:cs="Times New Roman" w:eastAsia="Times New Roman" w:hAnsi="Times New Roman"/>
          <w:sz w:val="18"/>
          <w:szCs w:val="18"/>
          <w:color w:val="auto"/>
        </w:rPr>
        <w:t>We periodically evaluate our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repurchase shares of our common stock, modify our dividend policy or take a combination of such steps to manage our liquidity and capital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 balance sheet financing arrangements</w:t>
      </w:r>
    </w:p>
    <w:p>
      <w:pPr>
        <w:spacing w:after="0" w:line="229" w:lineRule="exact"/>
        <w:rPr>
          <w:sz w:val="20"/>
          <w:szCs w:val="20"/>
          <w:color w:val="auto"/>
        </w:rPr>
      </w:pPr>
    </w:p>
    <w:p>
      <w:pPr>
        <w:jc w:val="both"/>
        <w:ind w:right="20" w:firstLine="1194"/>
        <w:spacing w:after="0" w:line="282" w:lineRule="auto"/>
        <w:rPr>
          <w:sz w:val="20"/>
          <w:szCs w:val="20"/>
          <w:color w:val="auto"/>
        </w:rPr>
      </w:pPr>
      <w:r>
        <w:rPr>
          <w:rFonts w:ascii="Times New Roman" w:cs="Times New Roman" w:eastAsia="Times New Roman" w:hAnsi="Times New Roman"/>
          <w:sz w:val="18"/>
          <w:szCs w:val="18"/>
          <w:color w:val="auto"/>
        </w:rPr>
        <w:t>Other than certain operating leases discussed in Note 10 to our Consolidated Financial Statements, neither we nor any of our subsidiaries or affiliates are parties to any off-balance sheet financing arrangements.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jc w:val="both"/>
        <w:ind w:firstLine="1194"/>
        <w:spacing w:after="0" w:line="266" w:lineRule="auto"/>
        <w:rPr>
          <w:sz w:val="20"/>
          <w:szCs w:val="20"/>
          <w:color w:val="auto"/>
        </w:rPr>
      </w:pPr>
      <w:r>
        <w:rPr>
          <w:rFonts w:ascii="Times New Roman" w:cs="Times New Roman" w:eastAsia="Times New Roman" w:hAnsi="Times New Roman"/>
          <w:sz w:val="18"/>
          <w:szCs w:val="18"/>
          <w:color w:val="auto"/>
        </w:rPr>
        <w:t>As more fully described in the notes to the Consolidated Financial Statements, we are a party to various leases and other agreements that contractually and unconditionally commit us to pay certain amounts in the future. See Note 10 to our Consolidated Financial Statements. The following table summarizes such contractual commitments as of December 31, 2018 by the type and date of payment.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0"/>
                <w:szCs w:val="10"/>
                <w:color w:val="auto"/>
              </w:rPr>
            </w:pPr>
          </w:p>
        </w:tc>
        <w:tc>
          <w:tcPr>
            <w:tcW w:w="76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2020–2021</w:t>
            </w:r>
          </w:p>
        </w:tc>
        <w:tc>
          <w:tcPr>
            <w:tcW w:w="120" w:type="dxa"/>
            <w:vAlign w:val="bottom"/>
          </w:tcPr>
          <w:p>
            <w:pPr>
              <w:spacing w:after="0"/>
              <w:rPr>
                <w:sz w:val="10"/>
                <w:szCs w:val="10"/>
                <w:color w:val="auto"/>
              </w:rPr>
            </w:pPr>
          </w:p>
        </w:tc>
        <w:tc>
          <w:tcPr>
            <w:tcW w:w="11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2022–2023</w:t>
            </w:r>
          </w:p>
        </w:tc>
        <w:tc>
          <w:tcPr>
            <w:tcW w:w="140" w:type="dxa"/>
            <w:vAlign w:val="bottom"/>
          </w:tcPr>
          <w:p>
            <w:pPr>
              <w:spacing w:after="0"/>
              <w:rPr>
                <w:sz w:val="10"/>
                <w:szCs w:val="10"/>
                <w:color w:val="auto"/>
              </w:rPr>
            </w:pPr>
          </w:p>
        </w:tc>
        <w:tc>
          <w:tcPr>
            <w:tcW w:w="840" w:type="dxa"/>
            <w:vAlign w:val="bottom"/>
          </w:tcPr>
          <w:p>
            <w:pPr>
              <w:jc w:val="center"/>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2024 and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after</w:t>
            </w:r>
          </w:p>
        </w:tc>
        <w:tc>
          <w:tcPr>
            <w:tcW w:w="0" w:type="dxa"/>
            <w:vAlign w:val="bottom"/>
          </w:tcPr>
          <w:p>
            <w:pPr>
              <w:spacing w:after="0"/>
              <w:rPr>
                <w:sz w:val="1"/>
                <w:szCs w:val="1"/>
                <w:color w:val="auto"/>
              </w:rPr>
            </w:pPr>
          </w:p>
        </w:tc>
      </w:tr>
      <w:tr>
        <w:trPr>
          <w:trHeight w:val="124"/>
        </w:trPr>
        <w:tc>
          <w:tcPr>
            <w:tcW w:w="38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3"/>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12,784</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2,007</w:t>
            </w: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1,165</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Fixed asset acquisitions</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289</w:t>
            </w:r>
          </w:p>
        </w:tc>
        <w:tc>
          <w:tcPr>
            <w:tcW w:w="2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1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88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14,513</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12,344</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2,169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1194"/>
        <w:spacing w:after="0" w:line="258" w:lineRule="auto"/>
        <w:rPr>
          <w:sz w:val="20"/>
          <w:szCs w:val="20"/>
          <w:color w:val="auto"/>
        </w:rPr>
      </w:pPr>
      <w:r>
        <w:rPr>
          <w:rFonts w:ascii="Times New Roman" w:cs="Times New Roman" w:eastAsia="Times New Roman" w:hAnsi="Times New Roman"/>
          <w:sz w:val="18"/>
          <w:szCs w:val="18"/>
          <w:color w:val="auto"/>
        </w:rPr>
        <w:t>The timing and amount shown for our commitments related to operating leases and fixed asset acquisitions are based upon the contractual payment amount and the contractual payment date for those commitments. The timing and amount shown for purchase obligations, which consist of all open purchase orders and contractual obligations (primarily commitments to purchase raw materials) is also based on the contractual payment amount and the contractual payment date for those commitments. The amount shown for income taxes is the consolidated amount of income taxes payable at December 31, 2018, which is assumed to be paid during 2019. Fixed asset acquisitions include firm purchase commitments for capital projects.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See Note 12 to our Consolidated Financial Statements.</w:t>
      </w:r>
    </w:p>
    <w:p>
      <w:pPr>
        <w:spacing w:after="0" w:line="370"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We are exposed to market risk from changes in interest rates and raw materials prices.</w:t>
      </w:r>
    </w:p>
    <w:p>
      <w:pPr>
        <w:spacing w:after="0" w:line="252" w:lineRule="exact"/>
        <w:rPr>
          <w:sz w:val="20"/>
          <w:szCs w:val="20"/>
          <w:color w:val="auto"/>
        </w:rPr>
      </w:pPr>
    </w:p>
    <w:p>
      <w:pPr>
        <w:jc w:val="both"/>
        <w:ind w:firstLine="1194"/>
        <w:spacing w:after="0" w:line="267" w:lineRule="auto"/>
        <w:rPr>
          <w:sz w:val="20"/>
          <w:szCs w:val="20"/>
          <w:color w:val="auto"/>
        </w:rPr>
      </w:pPr>
      <w:r>
        <w:rPr>
          <w:rFonts w:ascii="Times New Roman" w:cs="Times New Roman" w:eastAsia="Times New Roman" w:hAnsi="Times New Roman"/>
          <w:sz w:val="18"/>
          <w:szCs w:val="18"/>
          <w:i w:val="1"/>
          <w:iCs w:val="1"/>
          <w:color w:val="auto"/>
        </w:rPr>
        <w:t>Interest rates</w:t>
      </w:r>
      <w:r>
        <w:rPr>
          <w:rFonts w:ascii="Times New Roman" w:cs="Times New Roman" w:eastAsia="Times New Roman" w:hAnsi="Times New Roman"/>
          <w:sz w:val="18"/>
          <w:szCs w:val="18"/>
          <w:color w:val="auto"/>
        </w:rPr>
        <w:t>. We are exposed to market risk from changes in interest rates, primarily related to our note receivable from affiliate.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principal amount of indebtedness of $34.0 million at December 31, 2018 bears interest at prime plus 1.0% (6.5% at December 31, 2018). We received interest income of $2.1 million from the note during 2018.</w:t>
      </w:r>
    </w:p>
    <w:p>
      <w:pPr>
        <w:spacing w:after="0" w:line="174" w:lineRule="exact"/>
        <w:rPr>
          <w:sz w:val="20"/>
          <w:szCs w:val="20"/>
          <w:color w:val="auto"/>
        </w:rPr>
      </w:pPr>
    </w:p>
    <w:p>
      <w:pPr>
        <w:jc w:val="both"/>
        <w:ind w:firstLine="119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Raw materials. </w:t>
      </w:r>
      <w:r>
        <w:rPr>
          <w:rFonts w:ascii="Times New Roman" w:cs="Times New Roman" w:eastAsia="Times New Roman" w:hAnsi="Times New Roman"/>
          <w:sz w:val="18"/>
          <w:szCs w:val="18"/>
          <w:color w:val="auto"/>
        </w:rPr>
        <w:t>We will occasionally enter into short term commodity-related raw material supply arrangements to mitigate the impact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increases in commodity-related raw material costs. We do not have long-term supply agreements for our raw material requirements because either we believe the risk of unavailability of those raw materials is low and we believe the downside risk of price volatility to be too great or because long-term supply agreements for those materials are generally not available. We do not engage in commodity raw material hedging programs.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2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information called for by this Item is contained in a separate section of this Annual Report. See “Index of Financial Statements” (page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F-1).</w:t>
      </w:r>
    </w:p>
    <w:p>
      <w:pPr>
        <w:spacing w:after="0" w:line="35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jc w:val="both"/>
        <w:ind w:firstLine="119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Evaluation of Disclosure Controls and Procedures. </w:t>
      </w:r>
      <w:r>
        <w:rPr>
          <w:rFonts w:ascii="Times New Roman" w:cs="Times New Roman" w:eastAsia="Times New Roman" w:hAnsi="Times New Roman"/>
          <w:sz w:val="18"/>
          <w:szCs w:val="18"/>
          <w:color w:val="auto"/>
        </w:rPr>
        <w:t>We maintain disclosure controls and procedures which, as defined in Exchange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Our management with the participation of Scott C. James, our President and Chief Executive Officer, and James W. Brown, our Vice President, Chief Financial Officer and Controller, has evaluated the design and operating effectiveness of our disclosure controls and procedures as of December 31, 2018. Based upon their evaluation, these executive officers have concluded that our disclosure controls and procedures are effective as of the date of such evaluation.</w:t>
      </w:r>
    </w:p>
    <w:p>
      <w:pPr>
        <w:spacing w:after="0" w:line="200" w:lineRule="exact"/>
        <w:rPr>
          <w:sz w:val="20"/>
          <w:szCs w:val="20"/>
          <w:color w:val="auto"/>
        </w:rPr>
      </w:pPr>
    </w:p>
    <w:p>
      <w:pPr>
        <w:jc w:val="both"/>
        <w:ind w:firstLine="119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Management’s Report on Internal Control Over Financial Reporting. </w:t>
      </w:r>
      <w:r>
        <w:rPr>
          <w:rFonts w:ascii="Times New Roman" w:cs="Times New Roman" w:eastAsia="Times New Roman" w:hAnsi="Times New Roman"/>
          <w:sz w:val="18"/>
          <w:szCs w:val="18"/>
          <w:color w:val="auto"/>
        </w:rPr>
        <w:t>Our management is responsible for establishing and maintaining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adequate internal control over financial reporting which, as defined in Exchange Act Rule 13a-15(f), means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(“GAAP”), and includes those policies and procedures that:</w:t>
      </w:r>
    </w:p>
    <w:p>
      <w:pPr>
        <w:spacing w:after="0" w:line="292" w:lineRule="exact"/>
        <w:rPr>
          <w:sz w:val="20"/>
          <w:szCs w:val="20"/>
          <w:color w:val="auto"/>
        </w:rPr>
      </w:pPr>
    </w:p>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27" w:lineRule="exact"/>
        <w:rPr>
          <w:rFonts w:ascii="Times New Roman" w:cs="Times New Roman" w:eastAsia="Times New Roman" w:hAnsi="Times New Roman"/>
          <w:sz w:val="18"/>
          <w:szCs w:val="18"/>
          <w:color w:val="auto"/>
        </w:rPr>
      </w:pPr>
    </w:p>
    <w:p>
      <w:pPr>
        <w:ind w:left="880" w:hanging="440"/>
        <w:spacing w:after="0" w:line="250"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p>
      <w:pPr>
        <w:ind w:left="880" w:right="20" w:hanging="440"/>
        <w:spacing w:after="0" w:line="261"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consolidated financial statements.</w:t>
      </w:r>
    </w:p>
    <w:p>
      <w:pPr>
        <w:spacing w:after="0" w:line="180"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Our evaluation of the effectiveness of our internal control over financial reporting is based upon the framework established in Internal Control – Integrated Framework issued by the Committee of Sponsoring Organizations of the Treadway Commission in 2013 (commonly referred to as the “2013 COSO” framework). Based on our evaluation under that framework, our management has concluded that our internal control over financial reporting was effective as of December 31, 2018.</w:t>
      </w:r>
    </w:p>
    <w:p>
      <w:pPr>
        <w:spacing w:after="0" w:line="180"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regarding internal control over financial reporting. Management’s report was not subject to attestation by our registered public accounting firm pursuant to rules of the SEC that permit us to provide only management’s report in this annual report.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0" w:name="page21"/>
    <w:bookmarkEnd w:id="20"/>
    <w:p>
      <w:pPr>
        <w:jc w:val="both"/>
        <w:ind w:firstLine="1194"/>
        <w:spacing w:after="0" w:line="278" w:lineRule="auto"/>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r>
        <w:rPr>
          <w:rFonts w:ascii="Times New Roman" w:cs="Times New Roman" w:eastAsia="Times New Roman" w:hAnsi="Times New Roman"/>
          <w:sz w:val="18"/>
          <w:szCs w:val="18"/>
          <w:color w:val="auto"/>
        </w:rPr>
        <w:t>. There have been no changes in our internal control over financial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quarter ended December 31, 2018 that have materially affected, or are reasonably likely to materially affect, our internal control over financial reporting.</w:t>
      </w:r>
    </w:p>
    <w:p>
      <w:pPr>
        <w:spacing w:after="0" w:line="385" w:lineRule="exact"/>
        <w:rPr>
          <w:sz w:val="20"/>
          <w:szCs w:val="20"/>
          <w:color w:val="auto"/>
        </w:rPr>
      </w:pPr>
    </w:p>
    <w:p>
      <w:pPr>
        <w:jc w:val="both"/>
        <w:ind w:firstLine="119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Certifications. </w:t>
      </w:r>
      <w:r>
        <w:rPr>
          <w:rFonts w:ascii="Times New Roman" w:cs="Times New Roman" w:eastAsia="Times New Roman" w:hAnsi="Times New Roman"/>
          <w:sz w:val="18"/>
          <w:szCs w:val="18"/>
          <w:color w:val="auto"/>
        </w:rPr>
        <w:t>Our chief executive officer and chief financial officer are required to, among other things, quarterly file a certification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 regarding the quality of our public disclosures, as required by Section 302 of the Sarbanes-Oxley Act of 2002. We have filed the certifications for the quarter ended December 31, 2018 as exhibits 31.1 and 31.2 to this Annual Report on Form 10-K.</w:t>
      </w:r>
    </w:p>
    <w:p>
      <w:pPr>
        <w:spacing w:after="0" w:line="319"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3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jc w:val="both"/>
        <w:ind w:right="20" w:firstLine="119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to be filed with the Securities and Exchange Commission pursuant to Regulation 14A within 120 days after the end of the fiscal year covered by this report (“Proxy Statement”).</w:t>
      </w: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w:t>
      </w:r>
    </w:p>
    <w:p>
      <w:pPr>
        <w:spacing w:after="0" w:line="37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w:t>
      </w:r>
    </w:p>
    <w:p>
      <w:pPr>
        <w:spacing w:after="0" w:line="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MATTERS</w:t>
      </w:r>
    </w:p>
    <w:p>
      <w:pPr>
        <w:spacing w:after="0" w:line="9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w:t>
      </w:r>
    </w:p>
    <w:p>
      <w:pPr>
        <w:spacing w:after="0" w:line="35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See also Note 9 to the Consolidated Financial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w:t>
      </w:r>
    </w:p>
    <w:p>
      <w:pPr>
        <w:spacing w:after="0" w:line="35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2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1" w:name="page22"/>
    <w:bookmarkEnd w:id="21"/>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6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and (c) Financial Statements</w:t>
      </w:r>
    </w:p>
    <w:p>
      <w:pPr>
        <w:spacing w:after="0" w:line="117" w:lineRule="exact"/>
        <w:rPr>
          <w:sz w:val="20"/>
          <w:szCs w:val="20"/>
          <w:color w:val="auto"/>
        </w:rPr>
      </w:pPr>
    </w:p>
    <w:p>
      <w:pPr>
        <w:ind w:left="600" w:right="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listed on the accompanying Index of Financial Statements (see page F-1) are filed as part of this Annual Report.</w:t>
      </w:r>
    </w:p>
    <w:p>
      <w:pPr>
        <w:spacing w:after="0" w:line="54" w:lineRule="exact"/>
        <w:rPr>
          <w:sz w:val="20"/>
          <w:szCs w:val="20"/>
          <w:color w:val="auto"/>
        </w:rPr>
      </w:pPr>
    </w:p>
    <w:p>
      <w:pPr>
        <w:ind w:left="600" w:right="2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either because they are not applicable or required, or the information that would be required to be included is disclosed in the notes to the consolidated financial statements.</w:t>
      </w:r>
    </w:p>
    <w:p>
      <w:pPr>
        <w:spacing w:after="0" w:line="162" w:lineRule="exact"/>
        <w:rPr>
          <w:sz w:val="20"/>
          <w:szCs w:val="20"/>
          <w:color w:val="auto"/>
        </w:rPr>
      </w:pPr>
    </w:p>
    <w:p>
      <w:pPr>
        <w:ind w:left="600" w:hanging="592"/>
        <w:spacing w:after="0"/>
        <w:tabs>
          <w:tab w:leader="none" w:pos="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rFonts w:ascii="Times New Roman" w:cs="Times New Roman" w:eastAsia="Times New Roman" w:hAnsi="Times New Roman"/>
          <w:sz w:val="18"/>
          <w:szCs w:val="18"/>
          <w:color w:val="auto"/>
        </w:rPr>
      </w:pPr>
    </w:p>
    <w:p>
      <w:pPr>
        <w:jc w:val="both"/>
        <w:ind w:left="600"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retained a signed original of any of these exhibits that contain signatures, and we will provide such exhibits to the Commission or its staff. Included as exhibits are the items listed in the Exhibit Index. We, upon request, will furnish a copy of any of the exhibits listed below upon payment of $4.00 per exhibit to cover our costs of furnishing the exhibits. Instruments defining the rights of holders of long-term debt issues which do not exceed 10% of consolidated total assets will be furnished to the Commission upon request. Such requests should be directed to the attention of our Corporate Secretary at our corporate offices located at 5430 LBJ Freeway, Suite 1700, Dallas, Texas 75240.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Item No.</w:t>
            </w: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Exhibit Item</w:t>
            </w:r>
          </w:p>
        </w:tc>
      </w:tr>
      <w:tr>
        <w:trPr>
          <w:trHeight w:val="27"/>
        </w:trPr>
        <w:tc>
          <w:tcPr>
            <w:tcW w:w="7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7"/>
        </w:trPr>
        <w:tc>
          <w:tcPr>
            <w:tcW w:w="7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7"/>
              </w:rPr>
              <w:t>3.1</w:t>
            </w:r>
          </w:p>
        </w:tc>
        <w:tc>
          <w:tcPr>
            <w:tcW w:w="440" w:type="dxa"/>
            <w:vAlign w:val="bottom"/>
          </w:tcPr>
          <w:p>
            <w:pPr>
              <w:spacing w:after="0"/>
              <w:rPr>
                <w:sz w:val="24"/>
                <w:szCs w:val="24"/>
                <w:color w:val="auto"/>
              </w:rPr>
            </w:pPr>
          </w:p>
        </w:tc>
        <w:tc>
          <w:tcPr>
            <w:tcW w:w="10280" w:type="dxa"/>
            <w:vAlign w:val="bottom"/>
            <w:gridSpan w:val="14"/>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Second Amended and Restated Certificate of Incorporation of Registrant – incorporated by reference to Exhibit 3.1 of the Registrant’s</w:t>
              </w:r>
            </w:hyperlink>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Quarterly Report on Form 10-Q for quarter ended June 30, 2018.</w:t>
              </w:r>
            </w:hyperlink>
          </w:p>
        </w:tc>
        <w:tc>
          <w:tcPr>
            <w:tcW w:w="5560" w:type="dxa"/>
            <w:vAlign w:val="bottom"/>
            <w:tcBorders>
              <w:top w:val="single" w:sz="8" w:color="0000EE"/>
            </w:tcBorders>
            <w:gridSpan w:val="7"/>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18"/>
        </w:trPr>
        <w:tc>
          <w:tcPr>
            <w:tcW w:w="7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7"/>
              </w:rPr>
              <w:t>3.2</w:t>
            </w:r>
          </w:p>
        </w:tc>
        <w:tc>
          <w:tcPr>
            <w:tcW w:w="440" w:type="dxa"/>
            <w:vAlign w:val="bottom"/>
          </w:tcPr>
          <w:p>
            <w:pPr>
              <w:spacing w:after="0"/>
              <w:rPr>
                <w:sz w:val="24"/>
                <w:szCs w:val="24"/>
                <w:color w:val="auto"/>
              </w:rPr>
            </w:pPr>
          </w:p>
        </w:tc>
        <w:tc>
          <w:tcPr>
            <w:tcW w:w="10280" w:type="dxa"/>
            <w:vAlign w:val="bottom"/>
            <w:gridSpan w:val="14"/>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Certificate of Retirement – incorporated by reference to Exhibit 3.1 of the Registrant’s Current Report on Form 8-K filed November 5, 2018.</w:t>
              </w:r>
            </w:hyperlink>
          </w:p>
        </w:tc>
      </w:tr>
      <w:tr>
        <w:trPr>
          <w:trHeight w:val="20"/>
        </w:trPr>
        <w:tc>
          <w:tcPr>
            <w:tcW w:w="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7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7"/>
              </w:rPr>
              <w:t>3.3</w:t>
            </w:r>
          </w:p>
        </w:tc>
        <w:tc>
          <w:tcPr>
            <w:tcW w:w="440" w:type="dxa"/>
            <w:vAlign w:val="bottom"/>
          </w:tcPr>
          <w:p>
            <w:pPr>
              <w:spacing w:after="0"/>
              <w:rPr>
                <w:sz w:val="24"/>
                <w:szCs w:val="24"/>
                <w:color w:val="auto"/>
              </w:rPr>
            </w:pPr>
          </w:p>
        </w:tc>
        <w:tc>
          <w:tcPr>
            <w:tcW w:w="102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Amended and Restated Bylaws of Registrant, adopted by the Board of Directors October 24, 2007 – incorporated by reference to Exhibit 3.1</w:t>
              </w:r>
            </w:hyperlink>
          </w:p>
        </w:tc>
        <w:tc>
          <w:tcPr>
            <w:tcW w:w="2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80" w:type="dxa"/>
            <w:vAlign w:val="bottom"/>
            <w:gridSpan w:val="14"/>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of the Registrant’s Current Report on Form 8-K filed October 30, 2007 (File No 1-13905).</w:t>
              </w:r>
            </w:hyperlink>
          </w:p>
        </w:tc>
      </w:tr>
      <w:tr>
        <w:trPr>
          <w:trHeight w:val="20"/>
        </w:trPr>
        <w:tc>
          <w:tcPr>
            <w:tcW w:w="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72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rPr>
              <w:t>10.1</w:t>
            </w:r>
          </w:p>
        </w:tc>
        <w:tc>
          <w:tcPr>
            <w:tcW w:w="440" w:type="dxa"/>
            <w:vAlign w:val="bottom"/>
          </w:tcPr>
          <w:p>
            <w:pPr>
              <w:spacing w:after="0"/>
              <w:rPr>
                <w:sz w:val="24"/>
                <w:szCs w:val="24"/>
                <w:color w:val="auto"/>
              </w:rPr>
            </w:pPr>
          </w:p>
        </w:tc>
        <w:tc>
          <w:tcPr>
            <w:tcW w:w="102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Intercorporate Services Agreement between the Registrant and Contran Corporation effective as of January 1, 2004 – incorporated by</w:t>
              </w:r>
            </w:hyperlink>
          </w:p>
        </w:tc>
        <w:tc>
          <w:tcPr>
            <w:tcW w:w="2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reference to Exhibit 10.2 of the Registrant’s Annual Report on Form 10-K for the year ended December 31, 2003 (File No. 1-13905) filed on</w:t>
              </w:r>
            </w:hyperlink>
          </w:p>
        </w:tc>
        <w:tc>
          <w:tcPr>
            <w:tcW w:w="2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45">
              <w:r>
                <w:rPr>
                  <w:rFonts w:ascii="Times New Roman" w:cs="Times New Roman" w:eastAsia="Times New Roman" w:hAnsi="Times New Roman"/>
                  <w:sz w:val="18"/>
                  <w:szCs w:val="18"/>
                  <w:color w:val="0000EE"/>
                  <w:w w:val="98"/>
                </w:rPr>
                <w:t>March 4, 2004.</w:t>
              </w:r>
            </w:hyperlink>
          </w:p>
        </w:tc>
        <w:tc>
          <w:tcPr>
            <w:tcW w:w="9180" w:type="dxa"/>
            <w:vAlign w:val="bottom"/>
            <w:gridSpan w:val="13"/>
          </w:tcPr>
          <w:p>
            <w:pPr>
              <w:spacing w:after="0"/>
              <w:rPr>
                <w:sz w:val="17"/>
                <w:szCs w:val="17"/>
                <w:color w:val="auto"/>
              </w:rPr>
            </w:pPr>
          </w:p>
        </w:tc>
      </w:tr>
      <w:tr>
        <w:trPr>
          <w:trHeight w:val="318"/>
        </w:trPr>
        <w:tc>
          <w:tcPr>
            <w:tcW w:w="72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w w:val="98"/>
              </w:rPr>
              <w:t>10.2*</w:t>
            </w:r>
          </w:p>
        </w:tc>
        <w:tc>
          <w:tcPr>
            <w:tcW w:w="440" w:type="dxa"/>
            <w:vAlign w:val="bottom"/>
          </w:tcPr>
          <w:p>
            <w:pPr>
              <w:spacing w:after="0"/>
              <w:rPr>
                <w:sz w:val="24"/>
                <w:szCs w:val="24"/>
                <w:color w:val="auto"/>
              </w:rPr>
            </w:pPr>
          </w:p>
        </w:tc>
        <w:tc>
          <w:tcPr>
            <w:tcW w:w="10280" w:type="dxa"/>
            <w:vAlign w:val="bottom"/>
            <w:gridSpan w:val="14"/>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CompX International Inc. 2012 Director Stock Plan – incorporated by reference to Exhibit 10.2 of the Registrant’s Annual Report on Form</w:t>
              </w:r>
            </w:hyperlink>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3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10-K for the year ended December 31, 2012 (File No. 1-13905) filed on March 6, 2013.</w:t>
              </w:r>
            </w:hyperlink>
          </w:p>
        </w:tc>
        <w:tc>
          <w:tcPr>
            <w:tcW w:w="3920" w:type="dxa"/>
            <w:vAlign w:val="bottom"/>
            <w:tcBorders>
              <w:top w:val="single" w:sz="8" w:color="0000EE"/>
            </w:tcBorders>
            <w:gridSpan w:val="4"/>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18"/>
        </w:trPr>
        <w:tc>
          <w:tcPr>
            <w:tcW w:w="72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rPr>
              <w:t>10.3</w:t>
            </w:r>
          </w:p>
        </w:tc>
        <w:tc>
          <w:tcPr>
            <w:tcW w:w="440" w:type="dxa"/>
            <w:vAlign w:val="bottom"/>
          </w:tcPr>
          <w:p>
            <w:pPr>
              <w:spacing w:after="0"/>
              <w:rPr>
                <w:sz w:val="24"/>
                <w:szCs w:val="24"/>
                <w:color w:val="auto"/>
              </w:rPr>
            </w:pPr>
          </w:p>
        </w:tc>
        <w:tc>
          <w:tcPr>
            <w:tcW w:w="10280" w:type="dxa"/>
            <w:vAlign w:val="bottom"/>
            <w:gridSpan w:val="14"/>
          </w:tcPr>
          <w:p>
            <w:pPr>
              <w:spacing w:after="0"/>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Tax Sharing Agreement between the Registrant, NL Industries, Inc. and Contran Corporation dated as of December 1, 2012 - incorporated by</w:t>
              </w:r>
            </w:hyperlink>
          </w:p>
        </w:tc>
      </w:tr>
      <w:tr>
        <w:trPr>
          <w:trHeight w:val="20"/>
        </w:trPr>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580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reference to Exhibit 10.3 of the Registrant’s Annual Report on Form 10-K for the year ended December 31, 2012 (File No. 1-13905) filed on</w:t>
              </w:r>
            </w:hyperlink>
          </w:p>
        </w:tc>
        <w:tc>
          <w:tcPr>
            <w:tcW w:w="2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47">
              <w:r>
                <w:rPr>
                  <w:rFonts w:ascii="Times New Roman" w:cs="Times New Roman" w:eastAsia="Times New Roman" w:hAnsi="Times New Roman"/>
                  <w:sz w:val="18"/>
                  <w:szCs w:val="18"/>
                  <w:color w:val="0000EE"/>
                  <w:w w:val="98"/>
                </w:rPr>
                <w:t>March 6, 2013.</w:t>
              </w:r>
            </w:hyperlink>
          </w:p>
        </w:tc>
        <w:tc>
          <w:tcPr>
            <w:tcW w:w="9180" w:type="dxa"/>
            <w:vAlign w:val="bottom"/>
            <w:gridSpan w:val="13"/>
          </w:tcPr>
          <w:p>
            <w:pPr>
              <w:spacing w:after="0"/>
              <w:rPr>
                <w:sz w:val="17"/>
                <w:szCs w:val="17"/>
                <w:color w:val="auto"/>
              </w:rPr>
            </w:pPr>
          </w:p>
        </w:tc>
      </w:tr>
      <w:tr>
        <w:trPr>
          <w:trHeight w:val="318"/>
        </w:trPr>
        <w:tc>
          <w:tcPr>
            <w:tcW w:w="7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4"/>
                <w:szCs w:val="24"/>
                <w:color w:val="auto"/>
              </w:rPr>
            </w:pPr>
          </w:p>
        </w:tc>
        <w:tc>
          <w:tcPr>
            <w:tcW w:w="10280" w:type="dxa"/>
            <w:vAlign w:val="bottom"/>
            <w:gridSpan w:val="14"/>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Second Amended and Restated Agreement Regarding Shared Insurance among the Registrant, Contran Corporation, Kronos Worldwide, Inc.,</w:t>
              </w:r>
            </w:hyperlink>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4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NL Industries, Inc., and Valhi.Inc. dated January 25, 2019.</w:t>
              </w:r>
            </w:hyperlink>
          </w:p>
        </w:tc>
        <w:tc>
          <w:tcPr>
            <w:tcW w:w="40" w:type="dxa"/>
            <w:vAlign w:val="bottom"/>
            <w:gridSpan w:val="2"/>
          </w:tcPr>
          <w:p>
            <w:pPr>
              <w:spacing w:after="0"/>
              <w:rPr>
                <w:sz w:val="17"/>
                <w:szCs w:val="17"/>
                <w:color w:val="auto"/>
              </w:rPr>
            </w:pPr>
          </w:p>
        </w:tc>
      </w:tr>
      <w:tr>
        <w:trPr>
          <w:trHeight w:val="20"/>
        </w:trPr>
        <w:tc>
          <w:tcPr>
            <w:tcW w:w="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580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7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rPr>
              <w:t>10.5**</w:t>
            </w:r>
          </w:p>
        </w:tc>
        <w:tc>
          <w:tcPr>
            <w:tcW w:w="440" w:type="dxa"/>
            <w:vAlign w:val="bottom"/>
          </w:tcPr>
          <w:p>
            <w:pPr>
              <w:spacing w:after="0"/>
              <w:rPr>
                <w:sz w:val="24"/>
                <w:szCs w:val="24"/>
                <w:color w:val="auto"/>
              </w:rPr>
            </w:pPr>
          </w:p>
        </w:tc>
        <w:tc>
          <w:tcPr>
            <w:tcW w:w="102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 xml:space="preserve">Unsecured Revolving Demand Promissory Note dated December 31, 2018 in the original principal amount of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40 million executed by Valhi,</w:t>
              </w:r>
            </w:hyperlink>
          </w:p>
        </w:tc>
        <w:tc>
          <w:tcPr>
            <w:tcW w:w="2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80" w:type="dxa"/>
            <w:vAlign w:val="bottom"/>
            <w:gridSpan w:val="14"/>
          </w:tcPr>
          <w:p>
            <w:pPr>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Inc. and payable to the Registrant.</w:t>
              </w:r>
            </w:hyperlink>
          </w:p>
        </w:tc>
      </w:tr>
      <w:tr>
        <w:trPr>
          <w:trHeight w:val="20"/>
        </w:trPr>
        <w:tc>
          <w:tcPr>
            <w:tcW w:w="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540" w:type="dxa"/>
            <w:vAlign w:val="bottom"/>
            <w:gridSpan w:val="7"/>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318"/>
        </w:trPr>
        <w:tc>
          <w:tcPr>
            <w:tcW w:w="72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w w:val="98"/>
              </w:rPr>
              <w:t>10.6*</w:t>
            </w:r>
          </w:p>
        </w:tc>
        <w:tc>
          <w:tcPr>
            <w:tcW w:w="440" w:type="dxa"/>
            <w:vAlign w:val="bottom"/>
          </w:tcPr>
          <w:p>
            <w:pPr>
              <w:spacing w:after="0"/>
              <w:rPr>
                <w:sz w:val="24"/>
                <w:szCs w:val="24"/>
                <w:color w:val="auto"/>
              </w:rPr>
            </w:pPr>
          </w:p>
        </w:tc>
        <w:tc>
          <w:tcPr>
            <w:tcW w:w="100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Form of Indemnification Agreement – incorporated by reference to Exhibit 10.1 of the Registrant’s Current Report on Form 8-K filed May</w:t>
              </w:r>
            </w:hyperlink>
          </w:p>
        </w:tc>
        <w:tc>
          <w:tcPr>
            <w:tcW w:w="280" w:type="dxa"/>
            <w:vAlign w:val="bottom"/>
            <w:gridSpan w:val="4"/>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80" w:type="dxa"/>
            <w:vAlign w:val="bottom"/>
            <w:gridSpan w:val="14"/>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26, 2016 (File No 1-13905).</w:t>
              </w:r>
            </w:hyperlink>
          </w:p>
        </w:tc>
      </w:tr>
      <w:tr>
        <w:trPr>
          <w:trHeight w:val="885"/>
        </w:trPr>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20" w:type="dxa"/>
            <w:vAlign w:val="bottom"/>
            <w:tcBorders>
              <w:top w:val="single" w:sz="8" w:color="0000EE"/>
            </w:tcBorders>
            <w:gridSpan w:val="2"/>
          </w:tcPr>
          <w:p>
            <w:pPr>
              <w:spacing w:after="0"/>
              <w:rPr>
                <w:sz w:val="24"/>
                <w:szCs w:val="24"/>
                <w:color w:val="auto"/>
              </w:rPr>
            </w:pPr>
          </w:p>
        </w:tc>
        <w:tc>
          <w:tcPr>
            <w:tcW w:w="2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- 22 -</w:t>
            </w: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22" w:name="page23"/>
    <w:bookmarkEnd w:id="22"/>
    <w:p>
      <w:pPr>
        <w:spacing w:after="0" w:line="6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Item No.</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412"/>
        </w:trPr>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21.1**</w:t>
            </w:r>
          </w:p>
        </w:tc>
        <w:tc>
          <w:tcPr>
            <w:tcW w:w="360" w:type="dxa"/>
            <w:vAlign w:val="bottom"/>
          </w:tcPr>
          <w:p>
            <w:pPr>
              <w:spacing w:after="0"/>
              <w:rPr>
                <w:sz w:val="24"/>
                <w:szCs w:val="24"/>
                <w:color w:val="auto"/>
              </w:rPr>
            </w:pPr>
          </w:p>
        </w:tc>
        <w:tc>
          <w:tcPr>
            <w:tcW w:w="3780" w:type="dxa"/>
            <w:vAlign w:val="bottom"/>
            <w:gridSpan w:val="4"/>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Subsidiaries of the Registrant.</w:t>
              </w:r>
            </w:hyperlink>
          </w:p>
        </w:tc>
      </w:tr>
      <w:tr>
        <w:trPr>
          <w:trHeight w:val="20"/>
        </w:trPr>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23.1**</w:t>
            </w:r>
          </w:p>
        </w:tc>
        <w:tc>
          <w:tcPr>
            <w:tcW w:w="360" w:type="dxa"/>
            <w:vAlign w:val="bottom"/>
          </w:tcPr>
          <w:p>
            <w:pPr>
              <w:spacing w:after="0"/>
              <w:rPr>
                <w:sz w:val="24"/>
                <w:szCs w:val="24"/>
                <w:color w:val="auto"/>
              </w:rPr>
            </w:pPr>
          </w:p>
        </w:tc>
        <w:tc>
          <w:tcPr>
            <w:tcW w:w="3780" w:type="dxa"/>
            <w:vAlign w:val="bottom"/>
            <w:gridSpan w:val="4"/>
          </w:tcPr>
          <w:p>
            <w:pPr>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Consent of PricewaterhouseCoopers LLP.</w:t>
              </w:r>
            </w:hyperlink>
          </w:p>
        </w:tc>
      </w:tr>
      <w:tr>
        <w:trPr>
          <w:trHeight w:val="318"/>
        </w:trPr>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31.1**</w:t>
            </w:r>
          </w:p>
        </w:tc>
        <w:tc>
          <w:tcPr>
            <w:tcW w:w="360" w:type="dxa"/>
            <w:vAlign w:val="bottom"/>
          </w:tcPr>
          <w:p>
            <w:pPr>
              <w:spacing w:after="0"/>
              <w:rPr>
                <w:sz w:val="24"/>
                <w:szCs w:val="24"/>
                <w:color w:val="auto"/>
              </w:rPr>
            </w:pPr>
          </w:p>
        </w:tc>
        <w:tc>
          <w:tcPr>
            <w:tcW w:w="300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Certification</w:t>
              </w:r>
            </w:hyperlink>
          </w:p>
        </w:tc>
        <w:tc>
          <w:tcPr>
            <w:tcW w:w="780" w:type="dxa"/>
            <w:vAlign w:val="bottom"/>
          </w:tcPr>
          <w:p>
            <w:pPr>
              <w:spacing w:after="0"/>
              <w:rPr>
                <w:sz w:val="24"/>
                <w:szCs w:val="24"/>
                <w:color w:val="auto"/>
              </w:rPr>
            </w:pPr>
          </w:p>
        </w:tc>
      </w:tr>
      <w:tr>
        <w:trPr>
          <w:trHeight w:val="20"/>
        </w:trPr>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r>
      <w:tr>
        <w:trPr>
          <w:trHeight w:val="318"/>
        </w:trPr>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31.2**</w:t>
            </w:r>
          </w:p>
        </w:tc>
        <w:tc>
          <w:tcPr>
            <w:tcW w:w="360" w:type="dxa"/>
            <w:vAlign w:val="bottom"/>
          </w:tcPr>
          <w:p>
            <w:pPr>
              <w:spacing w:after="0"/>
              <w:rPr>
                <w:sz w:val="24"/>
                <w:szCs w:val="24"/>
                <w:color w:val="auto"/>
              </w:rPr>
            </w:pPr>
          </w:p>
        </w:tc>
        <w:tc>
          <w:tcPr>
            <w:tcW w:w="3780" w:type="dxa"/>
            <w:vAlign w:val="bottom"/>
            <w:gridSpan w:val="4"/>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Certification</w:t>
              </w:r>
            </w:hyperlink>
          </w:p>
        </w:tc>
      </w:tr>
      <w:tr>
        <w:trPr>
          <w:trHeight w:val="20"/>
        </w:trPr>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r>
      <w:tr>
        <w:trPr>
          <w:trHeight w:val="318"/>
        </w:trPr>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32.1**</w:t>
            </w:r>
          </w:p>
        </w:tc>
        <w:tc>
          <w:tcPr>
            <w:tcW w:w="360" w:type="dxa"/>
            <w:vAlign w:val="bottom"/>
          </w:tcPr>
          <w:p>
            <w:pPr>
              <w:spacing w:after="0"/>
              <w:rPr>
                <w:sz w:val="24"/>
                <w:szCs w:val="24"/>
                <w:color w:val="auto"/>
              </w:rPr>
            </w:pPr>
          </w:p>
        </w:tc>
        <w:tc>
          <w:tcPr>
            <w:tcW w:w="3780" w:type="dxa"/>
            <w:vAlign w:val="bottom"/>
            <w:gridSpan w:val="4"/>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Certification</w:t>
              </w:r>
            </w:hyperlink>
          </w:p>
        </w:tc>
      </w:tr>
      <w:tr>
        <w:trPr>
          <w:trHeight w:val="20"/>
        </w:trPr>
        <w:tc>
          <w:tcPr>
            <w:tcW w:w="1020" w:type="dxa"/>
            <w:vAlign w:val="bottom"/>
            <w:gridSpan w:val="3"/>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r>
      <w:tr>
        <w:trPr>
          <w:trHeight w:val="358"/>
        </w:trPr>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101.INS**</w:t>
            </w:r>
          </w:p>
        </w:tc>
        <w:tc>
          <w:tcPr>
            <w:tcW w:w="37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38"/>
        </w:trPr>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101.SCH**</w:t>
            </w:r>
          </w:p>
        </w:tc>
        <w:tc>
          <w:tcPr>
            <w:tcW w:w="37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338"/>
        </w:trPr>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101.CAL**</w:t>
            </w:r>
          </w:p>
        </w:tc>
        <w:tc>
          <w:tcPr>
            <w:tcW w:w="37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338"/>
        </w:trPr>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101.DEF**</w:t>
            </w:r>
          </w:p>
        </w:tc>
        <w:tc>
          <w:tcPr>
            <w:tcW w:w="37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38"/>
        </w:trPr>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101.LAB**</w:t>
            </w:r>
          </w:p>
        </w:tc>
        <w:tc>
          <w:tcPr>
            <w:tcW w:w="37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338"/>
        </w:trPr>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101.PRE**</w:t>
            </w:r>
          </w:p>
        </w:tc>
        <w:tc>
          <w:tcPr>
            <w:tcW w:w="37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w w:val="98"/>
              </w:rPr>
              <w:t>XBRL Taxonomy Extension Presentation Linkbase</w:t>
            </w:r>
          </w:p>
        </w:tc>
      </w:tr>
    </w:tbl>
    <w:p>
      <w:pPr>
        <w:spacing w:after="0" w:line="200" w:lineRule="exact"/>
        <w:rPr>
          <w:sz w:val="20"/>
          <w:szCs w:val="20"/>
          <w:color w:val="auto"/>
        </w:rPr>
      </w:pPr>
    </w:p>
    <w:p>
      <w:pPr>
        <w:spacing w:after="0" w:line="214" w:lineRule="exact"/>
        <w:rPr>
          <w:sz w:val="20"/>
          <w:szCs w:val="20"/>
          <w:color w:val="auto"/>
        </w:rPr>
      </w:pPr>
    </w:p>
    <w:p>
      <w:pPr>
        <w:ind w:left="600" w:hanging="592"/>
        <w:spacing w:after="0"/>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compensatory plan or agreement.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Times New Roman" w:cs="Times New Roman" w:eastAsia="Times New Roman" w:hAnsi="Times New Roman"/>
          <w:sz w:val="14"/>
          <w:szCs w:val="14"/>
          <w:u w:val="single" w:color="auto"/>
          <w:color w:val="auto"/>
        </w:rPr>
        <w:t xml:space="preserve">Exhibit Item </w:t>
      </w:r>
      <w:r>
        <w:rPr>
          <w:rFonts w:ascii="Times New Roman" w:cs="Times New Roman" w:eastAsia="Times New Roman" w:hAnsi="Times New Roman"/>
          <w:sz w:val="17"/>
          <w:szCs w:val="17"/>
          <w:u w:val="single" w:color="auto"/>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4980" w:space="540"/>
            <w:col w:w="4699"/>
          </w:cols>
          <w:pgMar w:left="240" w:top="337" w:right="1440"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119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7440" w:type="dxa"/>
            <w:vAlign w:val="bottom"/>
            <w:gridSpan w:val="2"/>
          </w:tcPr>
          <w:p>
            <w:pPr>
              <w:ind w:left="2200"/>
              <w:spacing w:after="0"/>
              <w:rPr>
                <w:sz w:val="20"/>
                <w:szCs w:val="20"/>
                <w:color w:val="auto"/>
              </w:rPr>
            </w:pPr>
            <w:r>
              <w:rPr>
                <w:rFonts w:ascii="Times New Roman" w:cs="Times New Roman" w:eastAsia="Times New Roman" w:hAnsi="Times New Roman"/>
                <w:sz w:val="18"/>
                <w:szCs w:val="18"/>
                <w:b w:val="1"/>
                <w:bCs w:val="1"/>
                <w:color w:val="auto"/>
              </w:rPr>
              <w:t>COMPX INTERNATIONAL INC.</w:t>
            </w:r>
          </w:p>
        </w:tc>
      </w:tr>
      <w:tr>
        <w:trPr>
          <w:trHeight w:val="45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2019</w:t>
            </w:r>
          </w:p>
        </w:tc>
        <w:tc>
          <w:tcPr>
            <w:tcW w:w="28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C. James</w:t>
            </w:r>
          </w:p>
        </w:tc>
      </w:tr>
      <w:tr>
        <w:trPr>
          <w:trHeight w:val="191"/>
        </w:trPr>
        <w:tc>
          <w:tcPr>
            <w:tcW w:w="39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C. James</w:t>
            </w:r>
          </w:p>
        </w:tc>
      </w:tr>
      <w:tr>
        <w:trPr>
          <w:trHeight w:val="216"/>
        </w:trPr>
        <w:tc>
          <w:tcPr>
            <w:tcW w:w="39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9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14" w:lineRule="exact"/>
        <w:rPr>
          <w:sz w:val="20"/>
          <w:szCs w:val="20"/>
          <w:color w:val="auto"/>
        </w:rPr>
      </w:pPr>
    </w:p>
    <w:p>
      <w:pPr>
        <w:jc w:val="both"/>
        <w:ind w:firstLine="119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in the capacities and on the dates indicated.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80" w:type="dxa"/>
            <w:vAlign w:val="bottom"/>
            <w:gridSpan w:val="3"/>
          </w:tcPr>
          <w:p>
            <w:pPr>
              <w:ind w:left="18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400" w:type="dxa"/>
            <w:vAlign w:val="bottom"/>
          </w:tcPr>
          <w:p>
            <w:pPr>
              <w:spacing w:after="0"/>
              <w:rPr>
                <w:sz w:val="15"/>
                <w:szCs w:val="15"/>
                <w:color w:val="auto"/>
              </w:rPr>
            </w:pPr>
          </w:p>
        </w:tc>
        <w:tc>
          <w:tcPr>
            <w:tcW w:w="2400" w:type="dxa"/>
            <w:vAlign w:val="bottom"/>
            <w:gridSpan w:val="2"/>
          </w:tcPr>
          <w:p>
            <w:pPr>
              <w:jc w:val="center"/>
              <w:ind w:right="212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140" w:type="dxa"/>
            <w:vAlign w:val="bottom"/>
          </w:tcPr>
          <w:p>
            <w:pPr>
              <w:spacing w:after="0"/>
              <w:rPr>
                <w:sz w:val="15"/>
                <w:szCs w:val="15"/>
                <w:color w:val="auto"/>
              </w:rPr>
            </w:pPr>
          </w:p>
        </w:tc>
        <w:tc>
          <w:tcPr>
            <w:tcW w:w="8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7"/>
        </w:trPr>
        <w:tc>
          <w:tcPr>
            <w:tcW w:w="4280" w:type="dxa"/>
            <w:vAlign w:val="bottom"/>
            <w:gridSpan w:val="3"/>
          </w:tcPr>
          <w:p>
            <w:pPr>
              <w:spacing w:after="0"/>
              <w:rPr>
                <w:sz w:val="2"/>
                <w:szCs w:val="2"/>
                <w:color w:val="auto"/>
              </w:rPr>
            </w:pPr>
          </w:p>
        </w:tc>
        <w:tc>
          <w:tcPr>
            <w:tcW w:w="2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r>
      <w:tr>
        <w:trPr>
          <w:trHeight w:val="432"/>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Loretta J. Feehan</w:t>
            </w:r>
          </w:p>
        </w:tc>
        <w:tc>
          <w:tcPr>
            <w:tcW w:w="480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Chair of the Board</w:t>
            </w:r>
          </w:p>
        </w:tc>
        <w:tc>
          <w:tcPr>
            <w:tcW w:w="19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February 27, 2019</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Loretta J. Feehan</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33"/>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Robert D. Graham</w:t>
            </w:r>
          </w:p>
        </w:tc>
        <w:tc>
          <w:tcPr>
            <w:tcW w:w="480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Vice Chairman of the Board</w:t>
            </w:r>
          </w:p>
        </w:tc>
        <w:tc>
          <w:tcPr>
            <w:tcW w:w="19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February 27, 2019</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D. Graham</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19"/>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James W. Brown</w:t>
            </w:r>
          </w:p>
        </w:tc>
        <w:tc>
          <w:tcPr>
            <w:tcW w:w="480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8"/>
              </w:rPr>
              <w:t>Vice President,</w:t>
            </w:r>
          </w:p>
        </w:tc>
        <w:tc>
          <w:tcPr>
            <w:tcW w:w="19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February 27, 2019</w:t>
            </w:r>
          </w:p>
        </w:tc>
      </w:tr>
      <w:tr>
        <w:trPr>
          <w:trHeight w:val="191"/>
        </w:trPr>
        <w:tc>
          <w:tcPr>
            <w:tcW w:w="428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James W. Brown</w:t>
            </w:r>
          </w:p>
        </w:tc>
        <w:tc>
          <w:tcPr>
            <w:tcW w:w="4800" w:type="dxa"/>
            <w:vAlign w:val="bottom"/>
            <w:gridSpan w:val="3"/>
          </w:tcPr>
          <w:p>
            <w:pPr>
              <w:jc w:val="center"/>
              <w:ind w:left="190"/>
              <w:spacing w:after="0" w:line="191" w:lineRule="exact"/>
              <w:rPr>
                <w:sz w:val="20"/>
                <w:szCs w:val="20"/>
                <w:color w:val="auto"/>
              </w:rPr>
            </w:pPr>
            <w:r>
              <w:rPr>
                <w:rFonts w:ascii="Times New Roman" w:cs="Times New Roman" w:eastAsia="Times New Roman" w:hAnsi="Times New Roman"/>
                <w:sz w:val="18"/>
                <w:szCs w:val="18"/>
                <w:color w:val="auto"/>
                <w:w w:val="99"/>
              </w:rPr>
              <w:t>Chief Financial Officer</w:t>
            </w: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16"/>
        </w:trPr>
        <w:tc>
          <w:tcPr>
            <w:tcW w:w="1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80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and Controller</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4"/>
        </w:trPr>
        <w:tc>
          <w:tcPr>
            <w:tcW w:w="1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80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38"/>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Thomas E. Barry</w:t>
            </w:r>
          </w:p>
        </w:tc>
        <w:tc>
          <w:tcPr>
            <w:tcW w:w="480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February 27, 2019</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Thomas E. Barry</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19"/>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David A. Bowers</w:t>
            </w:r>
          </w:p>
        </w:tc>
        <w:tc>
          <w:tcPr>
            <w:tcW w:w="480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February 27, 2019</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A. Bowers</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19"/>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Terri L. Herrington</w:t>
            </w:r>
          </w:p>
        </w:tc>
        <w:tc>
          <w:tcPr>
            <w:tcW w:w="480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February 27, 2019</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Terri L. Herrington</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19"/>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Ann Manix</w:t>
            </w:r>
          </w:p>
        </w:tc>
        <w:tc>
          <w:tcPr>
            <w:tcW w:w="480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February 27, 2019</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 Manix</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19"/>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Cecil H. Moore, Jr.</w:t>
            </w:r>
          </w:p>
        </w:tc>
        <w:tc>
          <w:tcPr>
            <w:tcW w:w="480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February 27, 2019</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Cecil H. Moore, Jr.</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19"/>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Mary A. Tidlund</w:t>
            </w:r>
          </w:p>
        </w:tc>
        <w:tc>
          <w:tcPr>
            <w:tcW w:w="480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February 27, 2019</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Mary A. Tidlund</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Items 8 and 15(a)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of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9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Financial Statements</w:t>
            </w:r>
          </w:p>
        </w:tc>
        <w:tc>
          <w:tcPr>
            <w:tcW w:w="100" w:type="dxa"/>
            <w:vAlign w:val="bottom"/>
          </w:tcPr>
          <w:p>
            <w:pPr>
              <w:spacing w:after="0"/>
              <w:rPr>
                <w:sz w:val="16"/>
                <w:szCs w:val="16"/>
                <w:color w:val="auto"/>
              </w:rPr>
            </w:pPr>
          </w:p>
        </w:tc>
        <w:tc>
          <w:tcPr>
            <w:tcW w:w="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1"/>
        </w:trPr>
        <w:tc>
          <w:tcPr>
            <w:tcW w:w="11000" w:type="dxa"/>
            <w:vAlign w:val="bottom"/>
            <w:gridSpan w:val="8"/>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Report of Independent Registered Public Accounting Firm</w:t>
              </w:r>
            </w:hyperlink>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2</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8"/>
        </w:trPr>
        <w:tc>
          <w:tcPr>
            <w:tcW w:w="11000" w:type="dxa"/>
            <w:vAlign w:val="bottom"/>
            <w:gridSpan w:val="8"/>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Consolidated Balance Sheets—December 31, 2017 and 2018</w:t>
              </w:r>
            </w:hyperlink>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3</w:t>
            </w:r>
          </w:p>
        </w:tc>
      </w:tr>
      <w:tr>
        <w:trPr>
          <w:trHeight w:val="20"/>
        </w:trPr>
        <w:tc>
          <w:tcPr>
            <w:tcW w:w="316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8"/>
        </w:trPr>
        <w:tc>
          <w:tcPr>
            <w:tcW w:w="11000" w:type="dxa"/>
            <w:vAlign w:val="bottom"/>
            <w:gridSpan w:val="8"/>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Consolidated Statements of Income—Years ended December 31, 2016, 2017 and 2018</w:t>
              </w:r>
            </w:hyperlink>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5</w:t>
            </w:r>
          </w:p>
        </w:tc>
      </w:tr>
      <w:tr>
        <w:trPr>
          <w:trHeight w:val="20"/>
        </w:trPr>
        <w:tc>
          <w:tcPr>
            <w:tcW w:w="3160" w:type="dxa"/>
            <w:vAlign w:val="bottom"/>
            <w:shd w:val="clear" w:color="auto" w:fill="0000EE"/>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8"/>
        </w:trPr>
        <w:tc>
          <w:tcPr>
            <w:tcW w:w="65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Consolidated Statements of Cash Flows—Years ended December 31, 2016, 2017 and 2018</w:t>
              </w:r>
            </w:hyperlink>
          </w:p>
        </w:tc>
        <w:tc>
          <w:tcPr>
            <w:tcW w:w="4440" w:type="dxa"/>
            <w:vAlign w:val="bottom"/>
            <w:gridSpan w:val="3"/>
          </w:tcPr>
          <w:p>
            <w:pPr>
              <w:spacing w:after="0"/>
              <w:rPr>
                <w:sz w:val="24"/>
                <w:szCs w:val="24"/>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6</w:t>
            </w:r>
          </w:p>
        </w:tc>
      </w:tr>
      <w:tr>
        <w:trPr>
          <w:trHeight w:val="318"/>
        </w:trPr>
        <w:tc>
          <w:tcPr>
            <w:tcW w:w="72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Consolidated Statements of Stockholders’ Equity—Years ended December 31, 2016, 2017 and 2018</w:t>
              </w:r>
            </w:hyperlink>
          </w:p>
        </w:tc>
        <w:tc>
          <w:tcPr>
            <w:tcW w:w="3760" w:type="dxa"/>
            <w:vAlign w:val="bottom"/>
            <w:gridSpan w:val="2"/>
          </w:tcPr>
          <w:p>
            <w:pPr>
              <w:spacing w:after="0"/>
              <w:rPr>
                <w:sz w:val="24"/>
                <w:szCs w:val="24"/>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7</w:t>
            </w:r>
          </w:p>
        </w:tc>
      </w:tr>
      <w:tr>
        <w:trPr>
          <w:trHeight w:val="318"/>
        </w:trPr>
        <w:tc>
          <w:tcPr>
            <w:tcW w:w="3160" w:type="dxa"/>
            <w:vAlign w:val="bottom"/>
            <w:tcBorders>
              <w:bottom w:val="single" w:sz="8" w:color="0000EE"/>
            </w:tcBorders>
          </w:tcPr>
          <w:p>
            <w:pPr>
              <w:spacing w:after="0"/>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Notes to Consolidated Financial Statements</w:t>
              </w:r>
            </w:hyperlink>
          </w:p>
        </w:tc>
        <w:tc>
          <w:tcPr>
            <w:tcW w:w="7840" w:type="dxa"/>
            <w:vAlign w:val="bottom"/>
            <w:gridSpan w:val="7"/>
          </w:tcPr>
          <w:p>
            <w:pPr>
              <w:spacing w:after="0"/>
              <w:rPr>
                <w:sz w:val="24"/>
                <w:szCs w:val="24"/>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8</w:t>
            </w: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either because they are not applicable or required, or the information that would be required to be included is disclosed in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719455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5" w:name="page26"/>
    <w:bookmarkEnd w:id="25"/>
    <w:p>
      <w:pPr>
        <w:ind w:left="34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CompX International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CompX International Inc. and its subsidiaries (the “Company”) as of December 30, 2018 and December 31, 2017, and the related consolidated statements of income, stockholders’ equity and cash flows for each of the three years in the period ending December 30, 2018, including the related notes (collectively referred to as the “consolidated financial statements”). In our opinion, the consolidated financial statements present fairly, in all material respects, the financial position of the Company as of December 30, 2018 and December 31, 2017, and the results of its operations and its cash flows for each of the three years in the period ending December 30, 2018 in conformity with accounting principles generally accepted in the United States of America.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8" w:right="239" w:bottom="1440" w:gutter="0" w:footer="0" w:header="0"/>
        </w:sectPr>
      </w:pPr>
    </w:p>
    <w:bookmarkStart w:id="26" w:name="page27"/>
    <w:bookmarkEnd w:id="2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COMPX INTERNATIONAL INC. AND SUBSIDIARIES</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5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19"/>
                <w:szCs w:val="19"/>
                <w:color w:val="auto"/>
              </w:rPr>
            </w:pPr>
          </w:p>
        </w:tc>
      </w:tr>
      <w:tr>
        <w:trPr>
          <w:trHeight w:val="44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29,655</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45,414</w:t>
            </w:r>
          </w:p>
        </w:tc>
        <w:tc>
          <w:tcPr>
            <w:tcW w:w="120" w:type="dxa"/>
            <w:vAlign w:val="bottom"/>
          </w:tcPr>
          <w:p>
            <w:pPr>
              <w:spacing w:after="0"/>
              <w:rPr>
                <w:sz w:val="19"/>
                <w:szCs w:val="19"/>
                <w:color w:val="auto"/>
              </w:rPr>
            </w:pPr>
          </w:p>
        </w:tc>
      </w:tr>
      <w:tr>
        <w:trPr>
          <w:trHeight w:val="230"/>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10,446</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12,140</w:t>
            </w:r>
          </w:p>
        </w:tc>
        <w:tc>
          <w:tcPr>
            <w:tcW w:w="120" w:type="dxa"/>
            <w:vAlign w:val="bottom"/>
          </w:tcPr>
          <w:p>
            <w:pPr>
              <w:spacing w:after="0"/>
              <w:rPr>
                <w:sz w:val="19"/>
                <w:szCs w:val="19"/>
                <w:color w:val="auto"/>
              </w:rPr>
            </w:pPr>
          </w:p>
        </w:tc>
      </w:tr>
      <w:tr>
        <w:trPr>
          <w:trHeight w:val="230"/>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3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15,382</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17,102</w:t>
            </w:r>
          </w:p>
        </w:tc>
        <w:tc>
          <w:tcPr>
            <w:tcW w:w="120" w:type="dxa"/>
            <w:vAlign w:val="bottom"/>
          </w:tcPr>
          <w:p>
            <w:pPr>
              <w:spacing w:after="0"/>
              <w:rPr>
                <w:sz w:val="19"/>
                <w:szCs w:val="19"/>
                <w:color w:val="auto"/>
              </w:rPr>
            </w:pPr>
          </w:p>
        </w:tc>
      </w:tr>
      <w:tr>
        <w:trPr>
          <w:trHeight w:val="234"/>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5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20" w:type="dxa"/>
            <w:vAlign w:val="bottom"/>
          </w:tcPr>
          <w:p>
            <w:pPr>
              <w:spacing w:after="0"/>
              <w:rPr>
                <w:sz w:val="20"/>
                <w:szCs w:val="20"/>
                <w:color w:val="auto"/>
              </w:rPr>
            </w:pPr>
          </w:p>
        </w:tc>
      </w:tr>
      <w:tr>
        <w:trPr>
          <w:trHeight w:val="45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56,362</w:t>
            </w:r>
          </w:p>
        </w:tc>
        <w:tc>
          <w:tcPr>
            <w:tcW w:w="5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76,285</w:t>
            </w:r>
          </w:p>
        </w:tc>
        <w:tc>
          <w:tcPr>
            <w:tcW w:w="120" w:type="dxa"/>
            <w:vAlign w:val="bottom"/>
          </w:tcPr>
          <w:p>
            <w:pPr>
              <w:spacing w:after="0"/>
              <w:rPr>
                <w:sz w:val="24"/>
                <w:szCs w:val="24"/>
                <w:color w:val="auto"/>
              </w:rPr>
            </w:pPr>
          </w:p>
        </w:tc>
      </w:tr>
      <w:tr>
        <w:trPr>
          <w:trHeight w:val="44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 receivable from affiliate</w:t>
            </w:r>
          </w:p>
        </w:tc>
        <w:tc>
          <w:tcPr>
            <w:tcW w:w="3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38,200</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34,000</w:t>
            </w:r>
          </w:p>
        </w:tc>
        <w:tc>
          <w:tcPr>
            <w:tcW w:w="120" w:type="dxa"/>
            <w:vAlign w:val="bottom"/>
          </w:tcPr>
          <w:p>
            <w:pPr>
              <w:spacing w:after="0"/>
              <w:rPr>
                <w:sz w:val="19"/>
                <w:szCs w:val="19"/>
                <w:color w:val="auto"/>
              </w:rPr>
            </w:pPr>
          </w:p>
        </w:tc>
      </w:tr>
      <w:tr>
        <w:trPr>
          <w:trHeight w:val="230"/>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3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23,742</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23,742</w:t>
            </w:r>
          </w:p>
        </w:tc>
        <w:tc>
          <w:tcPr>
            <w:tcW w:w="120" w:type="dxa"/>
            <w:vAlign w:val="bottom"/>
          </w:tcPr>
          <w:p>
            <w:pPr>
              <w:spacing w:after="0"/>
              <w:rPr>
                <w:sz w:val="19"/>
                <w:szCs w:val="19"/>
                <w:color w:val="auto"/>
              </w:rPr>
            </w:pPr>
          </w:p>
        </w:tc>
      </w:tr>
      <w:tr>
        <w:trPr>
          <w:trHeight w:val="234"/>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w:t>
            </w:r>
          </w:p>
        </w:tc>
        <w:tc>
          <w:tcPr>
            <w:tcW w:w="3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5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Pr>
          <w:p>
            <w:pPr>
              <w:spacing w:after="0"/>
              <w:rPr>
                <w:sz w:val="20"/>
                <w:szCs w:val="20"/>
                <w:color w:val="auto"/>
              </w:rPr>
            </w:pPr>
          </w:p>
        </w:tc>
      </w:tr>
      <w:tr>
        <w:trPr>
          <w:trHeight w:val="45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assets</w:t>
            </w:r>
          </w:p>
        </w:tc>
        <w:tc>
          <w:tcPr>
            <w:tcW w:w="3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62,532</w:t>
            </w:r>
          </w:p>
        </w:tc>
        <w:tc>
          <w:tcPr>
            <w:tcW w:w="5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58,332</w:t>
            </w:r>
          </w:p>
        </w:tc>
        <w:tc>
          <w:tcPr>
            <w:tcW w:w="120" w:type="dxa"/>
            <w:vAlign w:val="bottom"/>
          </w:tcPr>
          <w:p>
            <w:pPr>
              <w:spacing w:after="0"/>
              <w:rPr>
                <w:sz w:val="24"/>
                <w:szCs w:val="24"/>
                <w:color w:val="auto"/>
              </w:rPr>
            </w:pPr>
          </w:p>
        </w:tc>
      </w:tr>
      <w:tr>
        <w:trPr>
          <w:trHeight w:val="44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3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120" w:type="dxa"/>
            <w:vAlign w:val="bottom"/>
          </w:tcPr>
          <w:p>
            <w:pPr>
              <w:spacing w:after="0"/>
              <w:rPr>
                <w:sz w:val="19"/>
                <w:szCs w:val="19"/>
                <w:color w:val="auto"/>
              </w:rPr>
            </w:pPr>
          </w:p>
        </w:tc>
      </w:tr>
      <w:tr>
        <w:trPr>
          <w:trHeight w:val="230"/>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Buildings</w:t>
            </w:r>
          </w:p>
        </w:tc>
        <w:tc>
          <w:tcPr>
            <w:tcW w:w="3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22,774</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22,835</w:t>
            </w:r>
          </w:p>
        </w:tc>
        <w:tc>
          <w:tcPr>
            <w:tcW w:w="120" w:type="dxa"/>
            <w:vAlign w:val="bottom"/>
          </w:tcPr>
          <w:p>
            <w:pPr>
              <w:spacing w:after="0"/>
              <w:rPr>
                <w:sz w:val="19"/>
                <w:szCs w:val="19"/>
                <w:color w:val="auto"/>
              </w:rPr>
            </w:pPr>
          </w:p>
        </w:tc>
      </w:tr>
      <w:tr>
        <w:trPr>
          <w:trHeight w:val="230"/>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Equipment</w:t>
            </w:r>
          </w:p>
        </w:tc>
        <w:tc>
          <w:tcPr>
            <w:tcW w:w="3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67,373</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67,073</w:t>
            </w:r>
          </w:p>
        </w:tc>
        <w:tc>
          <w:tcPr>
            <w:tcW w:w="120" w:type="dxa"/>
            <w:vAlign w:val="bottom"/>
          </w:tcPr>
          <w:p>
            <w:pPr>
              <w:spacing w:after="0"/>
              <w:rPr>
                <w:sz w:val="19"/>
                <w:szCs w:val="19"/>
                <w:color w:val="auto"/>
              </w:rPr>
            </w:pPr>
          </w:p>
        </w:tc>
      </w:tr>
      <w:tr>
        <w:trPr>
          <w:trHeight w:val="234"/>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5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Pr>
          <w:p>
            <w:pPr>
              <w:spacing w:after="0"/>
              <w:rPr>
                <w:sz w:val="20"/>
                <w:szCs w:val="20"/>
                <w:color w:val="auto"/>
              </w:rPr>
            </w:pPr>
          </w:p>
        </w:tc>
      </w:tr>
      <w:tr>
        <w:trPr>
          <w:trHeight w:val="228"/>
        </w:trPr>
        <w:tc>
          <w:tcPr>
            <w:tcW w:w="40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95,651</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95,451</w:t>
            </w:r>
          </w:p>
        </w:tc>
        <w:tc>
          <w:tcPr>
            <w:tcW w:w="120" w:type="dxa"/>
            <w:vAlign w:val="bottom"/>
          </w:tcPr>
          <w:p>
            <w:pPr>
              <w:spacing w:after="0"/>
              <w:rPr>
                <w:sz w:val="19"/>
                <w:szCs w:val="19"/>
                <w:color w:val="auto"/>
              </w:rPr>
            </w:pPr>
          </w:p>
        </w:tc>
      </w:tr>
      <w:tr>
        <w:trPr>
          <w:trHeight w:val="454"/>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63,586</w:t>
            </w:r>
          </w:p>
        </w:tc>
        <w:tc>
          <w:tcPr>
            <w:tcW w:w="5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63,639</w:t>
            </w:r>
          </w:p>
        </w:tc>
        <w:tc>
          <w:tcPr>
            <w:tcW w:w="120" w:type="dxa"/>
            <w:vAlign w:val="bottom"/>
          </w:tcPr>
          <w:p>
            <w:pPr>
              <w:spacing w:after="0"/>
              <w:rPr>
                <w:sz w:val="24"/>
                <w:szCs w:val="24"/>
                <w:color w:val="auto"/>
              </w:rPr>
            </w:pPr>
          </w:p>
        </w:tc>
      </w:tr>
      <w:tr>
        <w:trPr>
          <w:trHeight w:val="45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3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32,065</w:t>
            </w:r>
          </w:p>
        </w:tc>
        <w:tc>
          <w:tcPr>
            <w:tcW w:w="5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31,812</w:t>
            </w:r>
          </w:p>
        </w:tc>
        <w:tc>
          <w:tcPr>
            <w:tcW w:w="120" w:type="dxa"/>
            <w:vAlign w:val="bottom"/>
          </w:tcPr>
          <w:p>
            <w:pPr>
              <w:spacing w:after="0"/>
              <w:rPr>
                <w:sz w:val="24"/>
                <w:szCs w:val="24"/>
                <w:color w:val="auto"/>
              </w:rPr>
            </w:pPr>
          </w:p>
        </w:tc>
      </w:tr>
      <w:tr>
        <w:trPr>
          <w:trHeight w:val="45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150,959</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166,429</w:t>
            </w:r>
          </w:p>
        </w:tc>
        <w:tc>
          <w:tcPr>
            <w:tcW w:w="120" w:type="dxa"/>
            <w:vAlign w:val="bottom"/>
          </w:tcPr>
          <w:p>
            <w:pPr>
              <w:spacing w:after="0"/>
              <w:rPr>
                <w:sz w:val="24"/>
                <w:szCs w:val="24"/>
                <w:color w:val="auto"/>
              </w:rPr>
            </w:pPr>
          </w:p>
        </w:tc>
      </w:tr>
      <w:tr>
        <w:trPr>
          <w:trHeight w:val="20"/>
        </w:trPr>
        <w:tc>
          <w:tcPr>
            <w:tcW w:w="40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45"/>
        </w:trPr>
        <w:tc>
          <w:tcPr>
            <w:tcW w:w="4000" w:type="dxa"/>
            <w:vAlign w:val="bottom"/>
          </w:tcPr>
          <w:p>
            <w:pPr>
              <w:spacing w:after="0"/>
              <w:rPr>
                <w:sz w:val="24"/>
                <w:szCs w:val="24"/>
                <w:color w:val="auto"/>
              </w:rPr>
            </w:pPr>
          </w:p>
        </w:tc>
        <w:tc>
          <w:tcPr>
            <w:tcW w:w="3520" w:type="dxa"/>
            <w:vAlign w:val="bottom"/>
            <w:gridSpan w:val="2"/>
          </w:tcPr>
          <w:p>
            <w:pPr>
              <w:jc w:val="right"/>
              <w:ind w:right="1680"/>
              <w:spacing w:after="0"/>
              <w:rPr>
                <w:sz w:val="20"/>
                <w:szCs w:val="20"/>
                <w:color w:val="auto"/>
              </w:rPr>
            </w:pPr>
            <w:r>
              <w:rPr>
                <w:rFonts w:ascii="Times New Roman" w:cs="Times New Roman" w:eastAsia="Times New Roman" w:hAnsi="Times New Roman"/>
                <w:sz w:val="18"/>
                <w:szCs w:val="18"/>
                <w:color w:val="auto"/>
              </w:rPr>
              <w:t>F-3</w:t>
            </w: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27" w:name="page28"/>
    <w:bookmarkEnd w:id="2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COMPX INTERNATIONAL INC. AND SUBSIDIARIES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60" w:type="dxa"/>
            <w:vAlign w:val="bottom"/>
            <w:tcBorders>
              <w:bottom w:val="single" w:sz="8" w:color="auto"/>
            </w:tcBorders>
          </w:tcPr>
          <w:p>
            <w:pPr>
              <w:spacing w:after="0"/>
              <w:rPr>
                <w:sz w:val="20"/>
                <w:szCs w:val="20"/>
                <w:color w:val="auto"/>
              </w:rPr>
            </w:pPr>
          </w:p>
        </w:tc>
      </w:tr>
      <w:tr>
        <w:trPr>
          <w:trHeight w:val="223"/>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5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448"/>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10,792</w:t>
            </w:r>
          </w:p>
        </w:tc>
        <w:tc>
          <w:tcPr>
            <w:tcW w:w="5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12,504</w:t>
            </w:r>
          </w:p>
        </w:tc>
      </w:tr>
      <w:tr>
        <w:trPr>
          <w:trHeight w:val="234"/>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payable to affiliate</w:t>
            </w: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5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r>
      <w:tr>
        <w:trPr>
          <w:trHeight w:val="453"/>
        </w:trPr>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11,262</w:t>
            </w:r>
          </w:p>
        </w:tc>
        <w:tc>
          <w:tcPr>
            <w:tcW w:w="5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13,669</w:t>
            </w:r>
          </w:p>
        </w:tc>
      </w:tr>
      <w:tr>
        <w:trPr>
          <w:trHeight w:val="448"/>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 -</w:t>
            </w: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4"/>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5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3,198</w:t>
            </w:r>
          </w:p>
        </w:tc>
      </w:tr>
      <w:tr>
        <w:trPr>
          <w:trHeight w:val="448"/>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$.01 par value; 1,000 shares</w:t>
            </w: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authorized, none issued</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 common stock, $.01 par value;</w:t>
            </w: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20,000,000 shares authorized; 2,426,107 and</w:t>
            </w: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12,435,557 shares issued and outstanding</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0"/>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B common stock, $.01 par value;</w:t>
            </w: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10,000,000 and nil shares authorized, 10,000,000 and</w:t>
            </w: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nil issued and outstanding</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55,612</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55,751</w:t>
            </w:r>
          </w:p>
        </w:tc>
      </w:tr>
      <w:tr>
        <w:trPr>
          <w:trHeight w:val="234"/>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80,849</w:t>
            </w:r>
          </w:p>
        </w:tc>
        <w:tc>
          <w:tcPr>
            <w:tcW w:w="5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93,687</w:t>
            </w:r>
          </w:p>
        </w:tc>
      </w:tr>
      <w:tr>
        <w:trPr>
          <w:trHeight w:val="453"/>
        </w:trPr>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136,585</w:t>
            </w:r>
          </w:p>
        </w:tc>
        <w:tc>
          <w:tcPr>
            <w:tcW w:w="5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149,562</w:t>
            </w:r>
          </w:p>
        </w:tc>
      </w:tr>
      <w:tr>
        <w:trPr>
          <w:trHeight w:val="453"/>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150,959</w:t>
            </w:r>
          </w:p>
        </w:tc>
        <w:tc>
          <w:tcPr>
            <w:tcW w:w="520" w:type="dxa"/>
            <w:vAlign w:val="bottom"/>
          </w:tcPr>
          <w:p>
            <w:pPr>
              <w:spacing w:after="0"/>
              <w:rPr>
                <w:sz w:val="24"/>
                <w:szCs w:val="24"/>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166,429</w:t>
            </w:r>
          </w:p>
        </w:tc>
      </w:tr>
      <w:tr>
        <w:trPr>
          <w:trHeight w:val="20"/>
        </w:trPr>
        <w:tc>
          <w:tcPr>
            <w:tcW w:w="7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and contingencies (Note 10)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3" w:right="339" w:bottom="1440" w:gutter="0" w:footer="0" w:header="0"/>
        </w:sectPr>
      </w:pPr>
    </w:p>
    <w:bookmarkStart w:id="28" w:name="page29"/>
    <w:bookmarkEnd w:id="28"/>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COMPX INTERNATIONAL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6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448"/>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0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108,920</w:t>
            </w:r>
          </w:p>
        </w:tc>
        <w:tc>
          <w:tcPr>
            <w:tcW w:w="8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112,035</w:t>
            </w:r>
          </w:p>
        </w:tc>
        <w:tc>
          <w:tcPr>
            <w:tcW w:w="48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118,217</w:t>
            </w:r>
          </w:p>
        </w:tc>
        <w:tc>
          <w:tcPr>
            <w:tcW w:w="0" w:type="dxa"/>
            <w:vAlign w:val="bottom"/>
          </w:tcPr>
          <w:p>
            <w:pPr>
              <w:spacing w:after="0"/>
              <w:rPr>
                <w:sz w:val="1"/>
                <w:szCs w:val="1"/>
                <w:color w:val="auto"/>
              </w:rPr>
            </w:pP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73,753</w:t>
            </w:r>
          </w:p>
        </w:tc>
        <w:tc>
          <w:tcPr>
            <w:tcW w:w="4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77,210</w:t>
            </w:r>
          </w:p>
        </w:tc>
        <w:tc>
          <w:tcPr>
            <w:tcW w:w="4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79,946</w:t>
            </w:r>
          </w:p>
        </w:tc>
        <w:tc>
          <w:tcPr>
            <w:tcW w:w="0" w:type="dxa"/>
            <w:vAlign w:val="bottom"/>
          </w:tcPr>
          <w:p>
            <w:pPr>
              <w:spacing w:after="0"/>
              <w:rPr>
                <w:sz w:val="1"/>
                <w:szCs w:val="1"/>
                <w:color w:val="auto"/>
              </w:rPr>
            </w:pPr>
          </w:p>
        </w:tc>
      </w:tr>
      <w:tr>
        <w:trPr>
          <w:trHeight w:val="453"/>
        </w:trPr>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35,167</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34,825</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38,271</w:t>
            </w:r>
          </w:p>
        </w:tc>
        <w:tc>
          <w:tcPr>
            <w:tcW w:w="0" w:type="dxa"/>
            <w:vAlign w:val="bottom"/>
          </w:tcPr>
          <w:p>
            <w:pPr>
              <w:spacing w:after="0"/>
              <w:rPr>
                <w:sz w:val="1"/>
                <w:szCs w:val="1"/>
                <w:color w:val="auto"/>
              </w:rPr>
            </w:pPr>
          </w:p>
        </w:tc>
      </w:tr>
      <w:tr>
        <w:trPr>
          <w:trHeight w:val="45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0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19,593</w:t>
            </w:r>
          </w:p>
        </w:tc>
        <w:tc>
          <w:tcPr>
            <w:tcW w:w="4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19,590</w:t>
            </w:r>
          </w:p>
        </w:tc>
        <w:tc>
          <w:tcPr>
            <w:tcW w:w="4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20,460</w:t>
            </w:r>
          </w:p>
        </w:tc>
        <w:tc>
          <w:tcPr>
            <w:tcW w:w="0" w:type="dxa"/>
            <w:vAlign w:val="bottom"/>
          </w:tcPr>
          <w:p>
            <w:pPr>
              <w:spacing w:after="0"/>
              <w:rPr>
                <w:sz w:val="1"/>
                <w:szCs w:val="1"/>
                <w:color w:val="auto"/>
              </w:rPr>
            </w:pPr>
          </w:p>
        </w:tc>
      </w:tr>
      <w:tr>
        <w:trPr>
          <w:trHeight w:val="453"/>
        </w:trPr>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income</w:t>
            </w: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15,574</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15,235</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17,811</w:t>
            </w:r>
          </w:p>
        </w:tc>
        <w:tc>
          <w:tcPr>
            <w:tcW w:w="0" w:type="dxa"/>
            <w:vAlign w:val="bottom"/>
          </w:tcPr>
          <w:p>
            <w:pPr>
              <w:spacing w:after="0"/>
              <w:rPr>
                <w:sz w:val="1"/>
                <w:szCs w:val="1"/>
                <w:color w:val="auto"/>
              </w:rPr>
            </w:pPr>
          </w:p>
        </w:tc>
      </w:tr>
      <w:tr>
        <w:trPr>
          <w:trHeight w:val="45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4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4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0" w:type="dxa"/>
            <w:vAlign w:val="bottom"/>
          </w:tcPr>
          <w:p>
            <w:pPr>
              <w:spacing w:after="0"/>
              <w:rPr>
                <w:sz w:val="1"/>
                <w:szCs w:val="1"/>
                <w:color w:val="auto"/>
              </w:rPr>
            </w:pPr>
          </w:p>
        </w:tc>
      </w:tr>
      <w:tr>
        <w:trPr>
          <w:trHeight w:val="453"/>
        </w:trPr>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15,964</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17,164</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20,475</w:t>
            </w:r>
          </w:p>
        </w:tc>
        <w:tc>
          <w:tcPr>
            <w:tcW w:w="0" w:type="dxa"/>
            <w:vAlign w:val="bottom"/>
          </w:tcPr>
          <w:p>
            <w:pPr>
              <w:spacing w:after="0"/>
              <w:rPr>
                <w:sz w:val="1"/>
                <w:szCs w:val="1"/>
                <w:color w:val="auto"/>
              </w:rPr>
            </w:pPr>
          </w:p>
        </w:tc>
      </w:tr>
      <w:tr>
        <w:trPr>
          <w:trHeight w:val="45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4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4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0" w:type="dxa"/>
            <w:vAlign w:val="bottom"/>
          </w:tcPr>
          <w:p>
            <w:pPr>
              <w:spacing w:after="0"/>
              <w:rPr>
                <w:sz w:val="1"/>
                <w:szCs w:val="1"/>
                <w:color w:val="auto"/>
              </w:rPr>
            </w:pPr>
          </w:p>
        </w:tc>
      </w:tr>
      <w:tr>
        <w:trPr>
          <w:trHeight w:val="453"/>
        </w:trPr>
        <w:tc>
          <w:tcPr>
            <w:tcW w:w="4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spacing w:after="0"/>
              <w:rPr>
                <w:sz w:val="24"/>
                <w:szCs w:val="24"/>
                <w:color w:val="auto"/>
              </w:rPr>
            </w:pP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10,457</w:t>
            </w:r>
          </w:p>
        </w:tc>
        <w:tc>
          <w:tcPr>
            <w:tcW w:w="480" w:type="dxa"/>
            <w:vAlign w:val="bottom"/>
          </w:tcPr>
          <w:p>
            <w:pPr>
              <w:spacing w:after="0"/>
              <w:rPr>
                <w:sz w:val="24"/>
                <w:szCs w:val="24"/>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13,203</w:t>
            </w:r>
          </w:p>
        </w:tc>
        <w:tc>
          <w:tcPr>
            <w:tcW w:w="480" w:type="dxa"/>
            <w:vAlign w:val="bottom"/>
          </w:tcPr>
          <w:p>
            <w:pPr>
              <w:spacing w:after="0"/>
              <w:rPr>
                <w:sz w:val="24"/>
                <w:szCs w:val="24"/>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15,325</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earnings per common share</w:t>
            </w:r>
          </w:p>
        </w:tc>
        <w:tc>
          <w:tcPr>
            <w:tcW w:w="1000" w:type="dxa"/>
            <w:vAlign w:val="bottom"/>
          </w:tcPr>
          <w:p>
            <w:pPr>
              <w:spacing w:after="0"/>
              <w:rPr>
                <w:sz w:val="24"/>
                <w:szCs w:val="24"/>
                <w:color w:val="auto"/>
              </w:rPr>
            </w:pP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480" w:type="dxa"/>
            <w:vAlign w:val="bottom"/>
          </w:tcPr>
          <w:p>
            <w:pPr>
              <w:spacing w:after="0"/>
              <w:rPr>
                <w:sz w:val="24"/>
                <w:szCs w:val="24"/>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80" w:type="dxa"/>
            <w:vAlign w:val="bottom"/>
          </w:tcPr>
          <w:p>
            <w:pPr>
              <w:spacing w:after="0"/>
              <w:rPr>
                <w:sz w:val="24"/>
                <w:szCs w:val="24"/>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per share</w:t>
            </w:r>
          </w:p>
        </w:tc>
        <w:tc>
          <w:tcPr>
            <w:tcW w:w="20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8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48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weighted average</w:t>
            </w:r>
          </w:p>
        </w:tc>
        <w:tc>
          <w:tcPr>
            <w:tcW w:w="10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4"/>
        </w:trPr>
        <w:tc>
          <w:tcPr>
            <w:tcW w:w="43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outstanding</w:t>
            </w:r>
          </w:p>
        </w:tc>
        <w:tc>
          <w:tcPr>
            <w:tcW w:w="10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12,416</w:t>
            </w:r>
          </w:p>
        </w:tc>
        <w:tc>
          <w:tcPr>
            <w:tcW w:w="4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12,423</w:t>
            </w:r>
          </w:p>
        </w:tc>
        <w:tc>
          <w:tcPr>
            <w:tcW w:w="4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12,432</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17" w:right="359" w:bottom="1440" w:gutter="0" w:footer="0" w:header="0"/>
        </w:sectPr>
      </w:pPr>
    </w:p>
    <w:bookmarkStart w:id="29" w:name="page30"/>
    <w:bookmarkEnd w:id="2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COMPX INTERNATIONAL INC. AND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10,457</w:t>
            </w:r>
          </w:p>
        </w:tc>
        <w:tc>
          <w:tcPr>
            <w:tcW w:w="1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13,203</w:t>
            </w:r>
          </w:p>
        </w:tc>
        <w:tc>
          <w:tcPr>
            <w:tcW w:w="36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9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0" w:type="dxa"/>
            <w:vAlign w:val="bottom"/>
          </w:tcPr>
          <w:p>
            <w:pPr>
              <w:spacing w:after="0"/>
              <w:rPr>
                <w:sz w:val="1"/>
                <w:szCs w:val="1"/>
                <w:color w:val="auto"/>
              </w:rPr>
            </w:pPr>
          </w:p>
        </w:tc>
      </w:tr>
      <w:tr>
        <w:trPr>
          <w:trHeight w:val="230"/>
        </w:trPr>
        <w:tc>
          <w:tcPr>
            <w:tcW w:w="5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 net</w:t>
            </w:r>
          </w:p>
        </w:tc>
        <w:tc>
          <w:tcPr>
            <w:tcW w:w="9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0" w:type="dxa"/>
            <w:vAlign w:val="bottom"/>
          </w:tcPr>
          <w:p>
            <w:pPr>
              <w:spacing w:after="0"/>
              <w:rPr>
                <w:sz w:val="1"/>
                <w:szCs w:val="1"/>
                <w:color w:val="auto"/>
              </w:rPr>
            </w:pPr>
          </w:p>
        </w:tc>
      </w:tr>
      <w:tr>
        <w:trPr>
          <w:trHeight w:val="230"/>
        </w:trPr>
        <w:tc>
          <w:tcPr>
            <w:tcW w:w="5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with affiliates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453"/>
        </w:trPr>
        <w:tc>
          <w:tcPr>
            <w:tcW w:w="5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12,583</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9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 receivable from affiliate:</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Collections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Advances</w:t>
            </w:r>
          </w:p>
        </w:tc>
        <w:tc>
          <w:tcPr>
            <w:tcW w:w="9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(36,600)</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(52,100)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(46,800)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2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(30,575)</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(13,596)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 -</w:t>
            </w:r>
          </w:p>
        </w:tc>
        <w:tc>
          <w:tcPr>
            <w:tcW w:w="9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9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(2,483)</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w:t>
            </w:r>
          </w:p>
        </w:tc>
        <w:tc>
          <w:tcPr>
            <w:tcW w:w="92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(19,194)</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(3,498)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33,153</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92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33,153</w:t>
            </w:r>
          </w:p>
        </w:tc>
        <w:tc>
          <w:tcPr>
            <w:tcW w:w="10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29,655</w:t>
            </w:r>
          </w:p>
        </w:tc>
        <w:tc>
          <w:tcPr>
            <w:tcW w:w="36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disclosures -</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4"/>
        </w:trPr>
        <w:tc>
          <w:tcPr>
            <w:tcW w:w="59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92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36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30" w:name="page31"/>
    <w:bookmarkEnd w:id="3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COMPX INTERNATIONAL INC. AND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Years ended December 31, 2016, 2017 and 2018</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38"/>
        </w:trPr>
        <w:tc>
          <w:tcPr>
            <w:tcW w:w="3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14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23"/>
        </w:trPr>
        <w:tc>
          <w:tcPr>
            <w:tcW w:w="3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4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0" w:type="dxa"/>
            <w:vAlign w:val="bottom"/>
          </w:tcPr>
          <w:p>
            <w:pPr>
              <w:spacing w:after="0"/>
              <w:rPr>
                <w:sz w:val="19"/>
                <w:szCs w:val="19"/>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45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1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55,422</w:t>
            </w: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62,157</w:t>
            </w: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117,703</w:t>
            </w:r>
          </w:p>
        </w:tc>
        <w:tc>
          <w:tcPr>
            <w:tcW w:w="60" w:type="dxa"/>
            <w:vAlign w:val="bottom"/>
          </w:tcPr>
          <w:p>
            <w:pPr>
              <w:spacing w:after="0"/>
              <w:rPr>
                <w:sz w:val="24"/>
                <w:szCs w:val="24"/>
                <w:color w:val="auto"/>
              </w:rPr>
            </w:pPr>
          </w:p>
        </w:tc>
      </w:tr>
      <w:tr>
        <w:trPr>
          <w:trHeight w:val="45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10,457</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10,457</w:t>
            </w:r>
          </w:p>
        </w:tc>
        <w:tc>
          <w:tcPr>
            <w:tcW w:w="60" w:type="dxa"/>
            <w:vAlign w:val="bottom"/>
          </w:tcPr>
          <w:p>
            <w:pPr>
              <w:spacing w:after="0"/>
              <w:rPr>
                <w:sz w:val="24"/>
                <w:szCs w:val="24"/>
                <w:color w:val="auto"/>
              </w:rPr>
            </w:pPr>
          </w:p>
        </w:tc>
      </w:tr>
      <w:tr>
        <w:trPr>
          <w:trHeight w:val="23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(2,483)</w:t>
            </w:r>
          </w:p>
        </w:tc>
        <w:tc>
          <w:tcPr>
            <w:tcW w:w="1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(2,483)</w:t>
            </w: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20"/>
                <w:szCs w:val="20"/>
                <w:color w:val="auto"/>
              </w:rPr>
            </w:pPr>
          </w:p>
        </w:tc>
      </w:tr>
      <w:tr>
        <w:trPr>
          <w:trHeight w:val="68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55,515</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70,131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125,770</w:t>
            </w:r>
          </w:p>
        </w:tc>
        <w:tc>
          <w:tcPr>
            <w:tcW w:w="60" w:type="dxa"/>
            <w:vAlign w:val="bottom"/>
          </w:tcPr>
          <w:p>
            <w:pPr>
              <w:spacing w:after="0"/>
              <w:rPr>
                <w:sz w:val="24"/>
                <w:szCs w:val="24"/>
                <w:color w:val="auto"/>
              </w:rPr>
            </w:pPr>
          </w:p>
        </w:tc>
      </w:tr>
      <w:tr>
        <w:trPr>
          <w:trHeight w:val="45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13,203</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13,203</w:t>
            </w:r>
          </w:p>
        </w:tc>
        <w:tc>
          <w:tcPr>
            <w:tcW w:w="60" w:type="dxa"/>
            <w:vAlign w:val="bottom"/>
          </w:tcPr>
          <w:p>
            <w:pPr>
              <w:spacing w:after="0"/>
              <w:rPr>
                <w:sz w:val="24"/>
                <w:szCs w:val="24"/>
                <w:color w:val="auto"/>
              </w:rPr>
            </w:pPr>
          </w:p>
        </w:tc>
      </w:tr>
      <w:tr>
        <w:trPr>
          <w:trHeight w:val="23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(2,485)</w:t>
            </w:r>
          </w:p>
        </w:tc>
        <w:tc>
          <w:tcPr>
            <w:tcW w:w="1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(2,485)</w:t>
            </w: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tcPr>
          <w:p>
            <w:pPr>
              <w:spacing w:after="0"/>
              <w:rPr>
                <w:sz w:val="20"/>
                <w:szCs w:val="20"/>
                <w:color w:val="auto"/>
              </w:rPr>
            </w:pPr>
          </w:p>
        </w:tc>
      </w:tr>
      <w:tr>
        <w:trPr>
          <w:trHeight w:val="45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55,612</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80,849</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136,585</w:t>
            </w:r>
          </w:p>
        </w:tc>
        <w:tc>
          <w:tcPr>
            <w:tcW w:w="60" w:type="dxa"/>
            <w:vAlign w:val="bottom"/>
          </w:tcPr>
          <w:p>
            <w:pPr>
              <w:spacing w:after="0"/>
              <w:rPr>
                <w:sz w:val="24"/>
                <w:szCs w:val="24"/>
                <w:color w:val="auto"/>
              </w:rPr>
            </w:pPr>
          </w:p>
        </w:tc>
      </w:tr>
      <w:tr>
        <w:trPr>
          <w:trHeight w:val="45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15,325</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15,325</w:t>
            </w:r>
          </w:p>
        </w:tc>
        <w:tc>
          <w:tcPr>
            <w:tcW w:w="60" w:type="dxa"/>
            <w:vAlign w:val="bottom"/>
          </w:tcPr>
          <w:p>
            <w:pPr>
              <w:spacing w:after="0"/>
              <w:rPr>
                <w:sz w:val="24"/>
                <w:szCs w:val="24"/>
                <w:color w:val="auto"/>
              </w:rPr>
            </w:pPr>
          </w:p>
        </w:tc>
      </w:tr>
      <w:tr>
        <w:trPr>
          <w:trHeight w:val="23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Share conversion</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3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(2,487)</w:t>
            </w:r>
          </w:p>
        </w:tc>
        <w:tc>
          <w:tcPr>
            <w:tcW w:w="1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(2,487)</w:t>
            </w: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60" w:type="dxa"/>
            <w:vAlign w:val="bottom"/>
          </w:tcPr>
          <w:p>
            <w:pPr>
              <w:spacing w:after="0"/>
              <w:rPr>
                <w:sz w:val="20"/>
                <w:szCs w:val="20"/>
                <w:color w:val="auto"/>
              </w:rPr>
            </w:pPr>
          </w:p>
        </w:tc>
      </w:tr>
      <w:tr>
        <w:trPr>
          <w:trHeight w:val="45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55,751</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93,687</w:t>
            </w:r>
          </w:p>
        </w:tc>
        <w:tc>
          <w:tcPr>
            <w:tcW w:w="3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149,562</w:t>
            </w:r>
          </w:p>
        </w:tc>
        <w:tc>
          <w:tcPr>
            <w:tcW w:w="60" w:type="dxa"/>
            <w:vAlign w:val="bottom"/>
          </w:tcPr>
          <w:p>
            <w:pPr>
              <w:spacing w:after="0"/>
              <w:rPr>
                <w:sz w:val="24"/>
                <w:szCs w:val="24"/>
                <w:color w:val="auto"/>
              </w:rPr>
            </w:pPr>
          </w:p>
        </w:tc>
      </w:tr>
      <w:tr>
        <w:trPr>
          <w:trHeight w:val="20"/>
        </w:trPr>
        <w:tc>
          <w:tcPr>
            <w:tcW w:w="3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COMPX INTERNATIONAL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w:t>
      </w:r>
    </w:p>
    <w:p>
      <w:pPr>
        <w:spacing w:after="0" w:line="158" w:lineRule="exact"/>
        <w:rPr>
          <w:sz w:val="20"/>
          <w:szCs w:val="20"/>
          <w:color w:val="auto"/>
        </w:rPr>
      </w:pPr>
    </w:p>
    <w:p>
      <w:pPr>
        <w:jc w:val="both"/>
        <w:ind w:firstLine="119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Organization. </w:t>
      </w:r>
      <w:r>
        <w:rPr>
          <w:rFonts w:ascii="Times New Roman" w:cs="Times New Roman" w:eastAsia="Times New Roman" w:hAnsi="Times New Roman"/>
          <w:sz w:val="18"/>
          <w:szCs w:val="18"/>
          <w:color w:val="auto"/>
        </w:rPr>
        <w:t>We (NYSE American: CIX) are 87% owned by NL Industries, Inc. (NYSE: NL) at December 31, 2018. We manufacture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sell component products (security products and recreational marine components). At December 31, 2018, Valhi, Inc. (NYSE: VHI) owns 83% of NL’s outstanding common stock and a wholly-owned subsidiary of Contran Corporation owns 92% of Valhi’s outstanding common stock. All of Contran’s outstanding voting stock is held by a family trust established for the benefit of Lisa K. Simmons and Serena Simmons Connelly and their children, for which Ms. Simmons and Ms. Connelly are co-trustees, or is held directly by Ms. Simmons and Ms. Connelly or entities related to them. Consequently, Ms. Simmons and Ms. Connelly may be deemed to control Contran, Valhi, NL and us.</w:t>
      </w:r>
    </w:p>
    <w:p>
      <w:pPr>
        <w:spacing w:after="0" w:line="18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Unless otherwise indicated, references in this report to “we,” “us,” or “our” refer to CompX International Inc. and its subsidiaries, taken as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w:t>
      </w:r>
    </w:p>
    <w:p>
      <w:pPr>
        <w:spacing w:after="0" w:line="203" w:lineRule="exact"/>
        <w:rPr>
          <w:sz w:val="20"/>
          <w:szCs w:val="20"/>
          <w:color w:val="auto"/>
        </w:rPr>
      </w:pPr>
    </w:p>
    <w:p>
      <w:pPr>
        <w:jc w:val="both"/>
        <w:ind w:firstLine="119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Management estimates. </w:t>
      </w:r>
      <w:r>
        <w:rPr>
          <w:rFonts w:ascii="Times New Roman" w:cs="Times New Roman" w:eastAsia="Times New Roman" w:hAnsi="Times New Roman"/>
          <w:sz w:val="18"/>
          <w:szCs w:val="18"/>
          <w:color w:val="auto"/>
        </w:rPr>
        <w:t>In preparing our financial statements in conformity with accounting principles generally accepted in the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of America (“GAAP”) we are required to make estimates and assumptions that affect the reported amounts of assets and liabilities and disclosure of contingent assets and liabilities at each balance sheet date and the reported amounts of our revenues and expenses during each reporting period. Actual results may differ significantly from previously estimated amounts under different assumptions or conditions.</w:t>
      </w:r>
    </w:p>
    <w:p>
      <w:pPr>
        <w:spacing w:after="0" w:line="177" w:lineRule="exact"/>
        <w:rPr>
          <w:sz w:val="20"/>
          <w:szCs w:val="20"/>
          <w:color w:val="auto"/>
        </w:rPr>
      </w:pPr>
    </w:p>
    <w:p>
      <w:pPr>
        <w:jc w:val="both"/>
        <w:ind w:firstLine="119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consolidated financial statements include the accounts of CompX International Inc. and our wholly-owned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We eliminate all material intercompany accounts and balances.</w:t>
      </w:r>
    </w:p>
    <w:p>
      <w:pPr>
        <w:spacing w:after="0" w:line="155" w:lineRule="exact"/>
        <w:rPr>
          <w:sz w:val="20"/>
          <w:szCs w:val="20"/>
          <w:color w:val="auto"/>
        </w:rPr>
      </w:pPr>
    </w:p>
    <w:p>
      <w:pPr>
        <w:jc w:val="both"/>
        <w:ind w:firstLine="119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year. </w:t>
      </w:r>
      <w:r>
        <w:rPr>
          <w:rFonts w:ascii="Times New Roman" w:cs="Times New Roman" w:eastAsia="Times New Roman" w:hAnsi="Times New Roman"/>
          <w:sz w:val="18"/>
          <w:szCs w:val="18"/>
          <w:color w:val="auto"/>
        </w:rPr>
        <w:t>Our fiscal year end is always the Sunday closest to December 31, and our operations are reported on a 52 or 53-week fiscal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of the years ended December 31, 2016, 2017 and 2018 consisted of 52 weeks. For presentation purposes, annual and quarterly information in the consolidated financial statements and accompanying notes are presented as ended on March 31, June 30, September 30 and December 31, as applicable. The actual date of our fiscal years ended December 31, 2016, 2017 and 2018 are January 1, 2017, December 31, 2017, and December 30, 2018, respectively.</w:t>
      </w:r>
    </w:p>
    <w:p>
      <w:pPr>
        <w:spacing w:after="0" w:line="177" w:lineRule="exact"/>
        <w:rPr>
          <w:sz w:val="20"/>
          <w:szCs w:val="20"/>
          <w:color w:val="auto"/>
        </w:rPr>
      </w:pPr>
    </w:p>
    <w:p>
      <w:pPr>
        <w:jc w:val="both"/>
        <w:ind w:firstLine="119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Cash and cash equivalents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classify bank time deposits and government and commercial notes and bills with original maturities of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or less as cash equivalents.</w:t>
      </w:r>
    </w:p>
    <w:p>
      <w:pPr>
        <w:spacing w:after="0" w:line="155" w:lineRule="exact"/>
        <w:rPr>
          <w:sz w:val="20"/>
          <w:szCs w:val="20"/>
          <w:color w:val="auto"/>
        </w:rPr>
      </w:pPr>
    </w:p>
    <w:p>
      <w:pPr>
        <w:jc w:val="both"/>
        <w:ind w:firstLine="119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sales involve single performance obligations to ship our products pursuant to customer purchase orders. In some cases,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purchase order is supported by an underlying master sales agreement, but our purchase order verification notice generally evidences the contract with our customer by specifying the key terms of product and quantity ordered, price and delivery and payment terms. Effective January 1, 2018 with the adoption of Accounting Standards Update (“ASU”) No.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(see Note 12)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record revenue when we satisfy our performance obligations to our customers by transferring control of our products to them, which generally occurs at point of shipment or upon delivery. Such transfer of control is also evidenced by transfer of legal title and other risks and rewards of ownership (giving the customer the ability to direct the use of, and obtain substantially all of the benefits of, the product), and our customers becoming obligated to pay us and such payment being probable of occurring. In certain arrangements we provide shipping and handling activities after the transfer of control to our customer (e.g. when control transfers prior to delivery). In such arrangements shipping and handling are considered fulfillment activities, and accordingly, such costs are accrued when the related revenue is recognized. Prior to the adoption of ASU 2014-09, we recorded sales when our products were shipped and title and other risks and rewards of ownership had passed to the customer, which was generally at the time of shipment (although in some instances shipping terms were FOB destination point, for which we did not recognize revenue until the product was received by our customers).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2" w:name="page33"/>
    <w:bookmarkEnd w:id="32"/>
    <w:p>
      <w:pPr>
        <w:jc w:val="both"/>
        <w:ind w:firstLine="877"/>
        <w:spacing w:after="0" w:line="253" w:lineRule="auto"/>
        <w:rPr>
          <w:sz w:val="20"/>
          <w:szCs w:val="20"/>
          <w:color w:val="auto"/>
        </w:rPr>
      </w:pPr>
      <w:r>
        <w:rPr>
          <w:rFonts w:ascii="Times New Roman" w:cs="Times New Roman" w:eastAsia="Times New Roman" w:hAnsi="Times New Roman"/>
          <w:sz w:val="18"/>
          <w:szCs w:val="18"/>
          <w:color w:val="auto"/>
        </w:rPr>
        <w:t>Revenue is recorded in an amount that reflects the net consideration we expect to receive in exchange for our products. Prices for our products are based on terms specified in published list prices and purchase orders, which generally do not include financing components, noncash consideration or consideration paid to our customers. As our standard payment terms are less than one year, we have elected the practical expedient under ASC 606 and we have not assessed whether a contract has a significant financing component. We state sales net of price, early payment and distributor discounts as well as volume rebates (collectively, variable consideration). Variable consideration, to the extent present, is not material and is recognized as the amount to which we are most-likely to be entitled, using all information (historical, current and forecasted) that is reasonably available to us, and only to the extent that a significant reversal in the amount of the cumulative revenue recognized is not probable of occurring in a future period. Differences, if any, between estimates of the amount of variable consideration to which we will be entitled and the actual amount of such variable consideration have not been material in the past. We report any tax assessed by a governmental authority that we collect from our customers that is both imposed on and concurrent with our revenue-producing activities (such as sales, use, value added and excise taxes) on a net basis (meaning we do not recognize these taxes either in our revenues or in our costs and expenses).</w:t>
      </w:r>
    </w:p>
    <w:p>
      <w:pPr>
        <w:spacing w:after="0" w:line="193" w:lineRule="exact"/>
        <w:rPr>
          <w:sz w:val="20"/>
          <w:szCs w:val="20"/>
          <w:color w:val="auto"/>
        </w:rPr>
      </w:pPr>
    </w:p>
    <w:p>
      <w:pPr>
        <w:jc w:val="both"/>
        <w:ind w:firstLine="877"/>
        <w:spacing w:after="0" w:line="261" w:lineRule="auto"/>
        <w:rPr>
          <w:sz w:val="20"/>
          <w:szCs w:val="20"/>
          <w:color w:val="auto"/>
        </w:rPr>
      </w:pPr>
      <w:r>
        <w:rPr>
          <w:rFonts w:ascii="Times New Roman" w:cs="Times New Roman" w:eastAsia="Times New Roman" w:hAnsi="Times New Roman"/>
          <w:sz w:val="18"/>
          <w:szCs w:val="18"/>
          <w:color w:val="auto"/>
        </w:rPr>
        <w:t>Frequently, we receive orders for products to be delivered over dates that may extend across reporting periods. We invoice for each delivery upon shipment and recognize revenue for each distinct shipment when all sales recognition criteria for that shipment have been satisfied. As scheduled delivery dates for these orders are within a one year period, under the optional exemption provided by ASC 606, we do not disclose sales allocated to future shipments of partially completed contracts.</w:t>
      </w:r>
    </w:p>
    <w:p>
      <w:pPr>
        <w:spacing w:after="0" w:line="180" w:lineRule="exact"/>
        <w:rPr>
          <w:sz w:val="20"/>
          <w:szCs w:val="20"/>
          <w:color w:val="auto"/>
        </w:rPr>
      </w:pPr>
    </w:p>
    <w:p>
      <w:pPr>
        <w:jc w:val="both"/>
        <w:ind w:right="20" w:firstLine="877"/>
        <w:spacing w:after="0" w:line="266" w:lineRule="auto"/>
        <w:rPr>
          <w:sz w:val="20"/>
          <w:szCs w:val="20"/>
          <w:color w:val="auto"/>
        </w:rPr>
      </w:pPr>
      <w:r>
        <w:rPr>
          <w:rFonts w:ascii="Times New Roman" w:cs="Times New Roman" w:eastAsia="Times New Roman" w:hAnsi="Times New Roman"/>
          <w:sz w:val="18"/>
          <w:szCs w:val="18"/>
          <w:color w:val="auto"/>
        </w:rPr>
        <w:t>ASU 2014-09 requires a disaggregation of our sales into categories that depict how the nature, amount, timing and uncertainty of revenue and cash flows are affected by economic factors. We have determined such disaggregation of our sales is the same as the disclosure of our sales by segment. See Note 2.</w:t>
      </w:r>
    </w:p>
    <w:p>
      <w:pPr>
        <w:spacing w:after="0" w:line="172" w:lineRule="exact"/>
        <w:rPr>
          <w:sz w:val="20"/>
          <w:szCs w:val="20"/>
          <w:color w:val="auto"/>
        </w:rPr>
      </w:pPr>
    </w:p>
    <w:p>
      <w:pPr>
        <w:jc w:val="both"/>
        <w:ind w:firstLine="119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w:t>
      </w:r>
      <w:r>
        <w:rPr>
          <w:rFonts w:ascii="Times New Roman" w:cs="Times New Roman" w:eastAsia="Times New Roman" w:hAnsi="Times New Roman"/>
          <w:sz w:val="18"/>
          <w:szCs w:val="18"/>
          <w:color w:val="auto"/>
        </w:rPr>
        <w:t>We provide an allowance for doubtful accounts for known and estimated potential losses arising from our sales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based on a periodic review of these accounts.</w:t>
      </w:r>
    </w:p>
    <w:p>
      <w:pPr>
        <w:spacing w:after="0" w:line="155" w:lineRule="exact"/>
        <w:rPr>
          <w:sz w:val="20"/>
          <w:szCs w:val="20"/>
          <w:color w:val="auto"/>
        </w:rPr>
      </w:pPr>
    </w:p>
    <w:p>
      <w:pPr>
        <w:jc w:val="both"/>
        <w:ind w:firstLine="119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Inventories and cost of sales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state inventories at the lower of cost or net realizable value. We record a provision for obsolete and slow-moving inventories. We generally base inventory costs for all inventory categories on average cost that approximates the first-in, first-out method. Inventories include the costs for raw materials, the cost to manufacture the raw materials into finished goods and overhead. Depending on the inventory’s stage of completion, our manufacturing costs can include the costs of packing and finishing, utilities, maintenance and depreciation, shipping and handling, and salaries and benefits associated with our manufacturing process. We allocate fixed manufacturing overhead costs based on normal production capacity. Unallocated overhead costs resulting from periods with abnormally low production levels are charged to expense as incurred. As inventory is sold to third parties, we recognize the cost of sales in the same period that the sale occurs. We periodically review our inventory for estimated obsolescence or instances when inventory is no longer marketable for its intended use, and we record any write-down, equal to the difference between the cost of inventory and its estimated net realizable value, based on assumptions about alternative uses, market conditions and other factors.</w:t>
      </w:r>
    </w:p>
    <w:p>
      <w:pPr>
        <w:spacing w:after="0" w:line="182" w:lineRule="exact"/>
        <w:rPr>
          <w:sz w:val="20"/>
          <w:szCs w:val="20"/>
          <w:color w:val="auto"/>
        </w:rPr>
      </w:pPr>
    </w:p>
    <w:p>
      <w:pPr>
        <w:jc w:val="both"/>
        <w:ind w:firstLine="119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advertising costs. </w:t>
      </w:r>
      <w:r>
        <w:rPr>
          <w:rFonts w:ascii="Times New Roman" w:cs="Times New Roman" w:eastAsia="Times New Roman" w:hAnsi="Times New Roman"/>
          <w:sz w:val="18"/>
          <w:szCs w:val="18"/>
          <w:color w:val="auto"/>
        </w:rPr>
        <w:t>Selling, general and administrative expenses include costs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sales, distribution, research and development and administrative functions such as accounting, treasury and finance, and include costs for salaries and benefits, travel and entertainment, promotional materials and professional fees. We expense advertising and research and development costs as incurred. Advertising costs were not significant in 2016, 2017 or 2018.</w:t>
      </w:r>
    </w:p>
    <w:p>
      <w:pPr>
        <w:spacing w:after="0" w:line="177" w:lineRule="exact"/>
        <w:rPr>
          <w:sz w:val="20"/>
          <w:szCs w:val="20"/>
          <w:color w:val="auto"/>
        </w:rPr>
      </w:pPr>
    </w:p>
    <w:p>
      <w:pPr>
        <w:jc w:val="both"/>
        <w:ind w:firstLine="119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w:t>
      </w:r>
      <w:r>
        <w:rPr>
          <w:rFonts w:ascii="Times New Roman" w:cs="Times New Roman" w:eastAsia="Times New Roman" w:hAnsi="Times New Roman"/>
          <w:sz w:val="18"/>
          <w:szCs w:val="18"/>
          <w:color w:val="auto"/>
        </w:rPr>
        <w:t>Goodwill represents the excess of cost over fair value of individual net assets acquired in business combinations. Goodwill is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periodic amortization. We evaluate goodwill for impairment annually or when circumstances indicate the carrying value may not be recoverable. See Note 5.</w:t>
      </w:r>
    </w:p>
    <w:p>
      <w:pPr>
        <w:spacing w:after="0" w:line="171" w:lineRule="exact"/>
        <w:rPr>
          <w:sz w:val="20"/>
          <w:szCs w:val="20"/>
          <w:color w:val="auto"/>
        </w:rPr>
      </w:pPr>
    </w:p>
    <w:p>
      <w:pPr>
        <w:jc w:val="both"/>
        <w:ind w:right="20" w:firstLine="119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Property and equipment; depreciation expense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state property and equipment, including purchased computer software for internal 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cost. We compute depreciation of property and equipment for financial reporting purposes principally by the straight-line method over the estimated useful lives of 15 to 40 years for buildings and 3 to 20 years for equipment and software. We use accelerated depreciation methods for income tax</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3" w:name="page34"/>
    <w:bookmarkEnd w:id="33"/>
    <w:p>
      <w:pPr>
        <w:jc w:val="both"/>
        <w:spacing w:after="0" w:line="266" w:lineRule="auto"/>
        <w:rPr>
          <w:sz w:val="20"/>
          <w:szCs w:val="20"/>
          <w:color w:val="auto"/>
        </w:rPr>
      </w:pPr>
      <w:r>
        <w:rPr>
          <w:rFonts w:ascii="Times New Roman" w:cs="Times New Roman" w:eastAsia="Times New Roman" w:hAnsi="Times New Roman"/>
          <w:sz w:val="18"/>
          <w:szCs w:val="18"/>
          <w:color w:val="auto"/>
        </w:rPr>
        <w:t>purposes, as permitted. Upon sale or retirement of an asset, the related cost and accumulated depreciation are removed from the accounts and any gain or loss is recognized in income currently. Expenditures for maintenance, repairs and minor renewals are expensed; expenditures for major improvements are capitalized.</w:t>
      </w:r>
    </w:p>
    <w:p>
      <w:pPr>
        <w:spacing w:after="0" w:line="176" w:lineRule="exact"/>
        <w:rPr>
          <w:sz w:val="20"/>
          <w:szCs w:val="20"/>
          <w:color w:val="auto"/>
        </w:rPr>
      </w:pPr>
    </w:p>
    <w:p>
      <w:pPr>
        <w:jc w:val="both"/>
        <w:ind w:firstLine="1194"/>
        <w:spacing w:after="0" w:line="266" w:lineRule="auto"/>
        <w:rPr>
          <w:sz w:val="20"/>
          <w:szCs w:val="20"/>
          <w:color w:val="auto"/>
        </w:rPr>
      </w:pPr>
      <w:r>
        <w:rPr>
          <w:rFonts w:ascii="Times New Roman" w:cs="Times New Roman" w:eastAsia="Times New Roman" w:hAnsi="Times New Roman"/>
          <w:sz w:val="18"/>
          <w:szCs w:val="18"/>
          <w:color w:val="auto"/>
        </w:rPr>
        <w:t>We perform impairment tests when events or changes in circumstances indicate the carrying value may not be recoverable. We consider all relevant factors. We perform the impairment test by comparing the estimated future undiscounted cash flows associated with the asset to the asset’s net carrying value to determine if impairment exists.</w:t>
      </w:r>
    </w:p>
    <w:p>
      <w:pPr>
        <w:spacing w:after="0" w:line="172" w:lineRule="exact"/>
        <w:rPr>
          <w:sz w:val="20"/>
          <w:szCs w:val="20"/>
          <w:color w:val="auto"/>
        </w:rPr>
      </w:pPr>
    </w:p>
    <w:p>
      <w:pPr>
        <w:jc w:val="both"/>
        <w:ind w:firstLine="119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Employee benefit plans. </w:t>
      </w:r>
      <w:r>
        <w:rPr>
          <w:rFonts w:ascii="Times New Roman" w:cs="Times New Roman" w:eastAsia="Times New Roman" w:hAnsi="Times New Roman"/>
          <w:sz w:val="18"/>
          <w:szCs w:val="18"/>
          <w:color w:val="auto"/>
        </w:rPr>
        <w:t>We maintain various defined contribution plans in which we make contributions based on matching or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formulas. Defined contribution plan expense approximated $2.6 million in 2016, $2.4 million in 2017 and $3.0 million in 2018.</w:t>
      </w:r>
    </w:p>
    <w:p>
      <w:pPr>
        <w:spacing w:after="0" w:line="155" w:lineRule="exact"/>
        <w:rPr>
          <w:sz w:val="20"/>
          <w:szCs w:val="20"/>
          <w:color w:val="auto"/>
        </w:rPr>
      </w:pPr>
    </w:p>
    <w:p>
      <w:pPr>
        <w:jc w:val="both"/>
        <w:ind w:firstLine="119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Self-insurance. </w:t>
      </w:r>
      <w:r>
        <w:rPr>
          <w:rFonts w:ascii="Times New Roman" w:cs="Times New Roman" w:eastAsia="Times New Roman" w:hAnsi="Times New Roman"/>
          <w:sz w:val="18"/>
          <w:szCs w:val="18"/>
          <w:color w:val="auto"/>
        </w:rPr>
        <w:t>We are partially self-insured for workers’ compensation and certain employee health benefits and self-insured for most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environmental issues. We purchase coverage in order to limit our exposure to significant workers’ compensation or employee health benefit claims. We accrue self-insured losses based upon estimates of the aggregate liability for uninsured claims incurred using certain actuarial assumptions followed in the insurance industry and our own historical claims experience.</w:t>
      </w:r>
    </w:p>
    <w:p>
      <w:pPr>
        <w:spacing w:after="0" w:line="177" w:lineRule="exact"/>
        <w:rPr>
          <w:sz w:val="20"/>
          <w:szCs w:val="20"/>
          <w:color w:val="auto"/>
        </w:rPr>
      </w:pPr>
    </w:p>
    <w:p>
      <w:pPr>
        <w:jc w:val="both"/>
        <w:ind w:firstLine="119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and our parent NL, are members of the Contran Tax Group. We have been and currently are a part of the consolidated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returns filed by Contran for U.S. federal purposes as well as for certain U.S. state jurisdictions. As a member of the Contran Tax Group, we are jointly and severally liable for the federal income tax liability of Contran and the other companies included in the Contran Tax Group for all periods in which we are included in the Contran Tax Group. See Note 10.</w:t>
      </w:r>
    </w:p>
    <w:p>
      <w:pPr>
        <w:spacing w:after="0" w:line="181" w:lineRule="exact"/>
        <w:rPr>
          <w:sz w:val="20"/>
          <w:szCs w:val="20"/>
          <w:color w:val="auto"/>
        </w:rPr>
      </w:pPr>
    </w:p>
    <w:p>
      <w:pPr>
        <w:jc w:val="both"/>
        <w:ind w:firstLine="1194"/>
        <w:spacing w:after="0" w:line="258" w:lineRule="auto"/>
        <w:rPr>
          <w:sz w:val="20"/>
          <w:szCs w:val="20"/>
          <w:color w:val="auto"/>
        </w:rPr>
      </w:pPr>
      <w:r>
        <w:rPr>
          <w:rFonts w:ascii="Times New Roman" w:cs="Times New Roman" w:eastAsia="Times New Roman" w:hAnsi="Times New Roman"/>
          <w:sz w:val="18"/>
          <w:szCs w:val="18"/>
          <w:color w:val="auto"/>
        </w:rPr>
        <w:t>As a member of the Contran Tax Group, we are a party to a tax sharing agreement which provides that we compute our provision for U.S. income taxes on a separate-company basis. Pursuant to the tax sharing agreement, we make payments to or receive payments from NL in amounts we would have paid to or received from the U.S. Internal Revenue Service or the applicable state tax authority had we not been a member of the Contran Tax Group. The separate company provisions and payments are computed using the tax elections made by Contran. We made net cash payments for income taxes to NL of $4.6 million in 2016, $6.7 million in 2017 and $4.3 million in 2018.</w:t>
      </w:r>
    </w:p>
    <w:p>
      <w:pPr>
        <w:spacing w:after="0" w:line="184" w:lineRule="exact"/>
        <w:rPr>
          <w:sz w:val="20"/>
          <w:szCs w:val="20"/>
          <w:color w:val="auto"/>
        </w:rPr>
      </w:pPr>
    </w:p>
    <w:p>
      <w:pPr>
        <w:jc w:val="both"/>
        <w:ind w:firstLine="1194"/>
        <w:spacing w:after="0" w:line="258" w:lineRule="auto"/>
        <w:rPr>
          <w:sz w:val="20"/>
          <w:szCs w:val="20"/>
          <w:color w:val="auto"/>
        </w:rPr>
      </w:pPr>
      <w:r>
        <w:rPr>
          <w:rFonts w:ascii="Times New Roman" w:cs="Times New Roman" w:eastAsia="Times New Roman" w:hAnsi="Times New Roman"/>
          <w:sz w:val="18"/>
          <w:szCs w:val="18"/>
          <w:color w:val="auto"/>
        </w:rPr>
        <w:t>Deferred income tax assets and liabilities are recognized for the expected future tax consequences of temporary differences between the income tax and financial reporting carrying amounts of assets and liabilities. Deferred income tax assets and liabilities for each tax-paying jurisdiction in which we operate are netted and presented as either a noncurrent deferred income tax asset or liability, as applicable. We periodically evaluate our deferred tax assets in the various taxing jurisdictions in which we operate and adjust any related valuation allowance based on the estimate of the amount of deferred tax assets which we believe do not meet the more-likely-than-not recognition criteria. See Notes 7 and 10.</w:t>
      </w:r>
    </w:p>
    <w:p>
      <w:pPr>
        <w:spacing w:after="0" w:line="184" w:lineRule="exact"/>
        <w:rPr>
          <w:sz w:val="20"/>
          <w:szCs w:val="20"/>
          <w:color w:val="auto"/>
        </w:rPr>
      </w:pPr>
    </w:p>
    <w:p>
      <w:pPr>
        <w:jc w:val="both"/>
        <w:ind w:right="20" w:firstLine="1194"/>
        <w:spacing w:after="0" w:line="282" w:lineRule="auto"/>
        <w:rPr>
          <w:sz w:val="20"/>
          <w:szCs w:val="20"/>
          <w:color w:val="auto"/>
        </w:rPr>
      </w:pPr>
      <w:r>
        <w:rPr>
          <w:rFonts w:ascii="Times New Roman" w:cs="Times New Roman" w:eastAsia="Times New Roman" w:hAnsi="Times New Roman"/>
          <w:sz w:val="18"/>
          <w:szCs w:val="18"/>
          <w:color w:val="auto"/>
        </w:rPr>
        <w:t>We record a reserve for uncertain tax positions for tax positions where we believe it is more-likely-than-not our position will not prevail with the applicable tax authorities. We did not have a reserve for uncertain tax positions in each of 2016, 2017 and 2018.</w:t>
      </w:r>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Business and geographic segments:</w:t>
      </w:r>
    </w:p>
    <w:p>
      <w:pPr>
        <w:spacing w:after="0" w:line="121" w:lineRule="exact"/>
        <w:rPr>
          <w:sz w:val="20"/>
          <w:szCs w:val="20"/>
          <w:color w:val="auto"/>
        </w:rPr>
      </w:pPr>
    </w:p>
    <w:p>
      <w:pPr>
        <w:jc w:val="both"/>
        <w:ind w:firstLine="1194"/>
        <w:spacing w:after="0" w:line="266" w:lineRule="auto"/>
        <w:rPr>
          <w:sz w:val="20"/>
          <w:szCs w:val="20"/>
          <w:color w:val="auto"/>
        </w:rPr>
      </w:pPr>
      <w:r>
        <w:rPr>
          <w:rFonts w:ascii="Times New Roman" w:cs="Times New Roman" w:eastAsia="Times New Roman" w:hAnsi="Times New Roman"/>
          <w:sz w:val="18"/>
          <w:szCs w:val="18"/>
          <w:color w:val="auto"/>
        </w:rPr>
        <w:t>Our operating segments are defined as components of our operations about which separate financial information is available that is regularly evaluated by our chief operating decision maker in determining how to allocate resources and in assessing performance. At December 31, 2018, we had two reportable operating segments – Security Products and Marine Components.</w:t>
      </w:r>
    </w:p>
    <w:p>
      <w:pPr>
        <w:spacing w:after="0" w:line="68" w:lineRule="exact"/>
        <w:rPr>
          <w:sz w:val="20"/>
          <w:szCs w:val="20"/>
          <w:color w:val="auto"/>
        </w:rPr>
      </w:pPr>
    </w:p>
    <w:p>
      <w:pPr>
        <w:jc w:val="both"/>
        <w:ind w:firstLine="1194"/>
        <w:spacing w:after="0" w:line="266" w:lineRule="auto"/>
        <w:rPr>
          <w:sz w:val="20"/>
          <w:szCs w:val="20"/>
          <w:color w:val="auto"/>
        </w:rPr>
      </w:pPr>
      <w:r>
        <w:rPr>
          <w:rFonts w:ascii="Times New Roman" w:cs="Times New Roman" w:eastAsia="Times New Roman" w:hAnsi="Times New Roman"/>
          <w:sz w:val="18"/>
          <w:szCs w:val="18"/>
          <w:color w:val="auto"/>
        </w:rPr>
        <w:t>The Security Products segment, with a facility in South Carolina and a facility shared with Marine Components in Illinois, manufactures locking mechanisms and other security products for sale to the transportation, postal, office and institutional furniture, cabinetry, tool storage, healthcare and other industries.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4" w:name="page35"/>
    <w:bookmarkEnd w:id="34"/>
    <w:p>
      <w:pPr>
        <w:jc w:val="both"/>
        <w:ind w:right="20" w:firstLine="1194"/>
        <w:spacing w:after="0" w:line="266" w:lineRule="auto"/>
        <w:rPr>
          <w:sz w:val="20"/>
          <w:szCs w:val="20"/>
          <w:color w:val="auto"/>
        </w:rPr>
      </w:pPr>
      <w:r>
        <w:rPr>
          <w:rFonts w:ascii="Times New Roman" w:cs="Times New Roman" w:eastAsia="Times New Roman" w:hAnsi="Times New Roman"/>
          <w:sz w:val="18"/>
          <w:szCs w:val="18"/>
          <w:color w:val="auto"/>
        </w:rPr>
        <w:t>Our Marine Components segment, with a facility in Wisconsin and a facility shared with Security Products in Illinois, manufactures and distributes stainless steel exhaust systems, gauges, throttle controls, wake enhancement systems, trim tabs and related hardware and accessories primarily for performance and ski/wakeboard boats.</w:t>
      </w:r>
    </w:p>
    <w:p>
      <w:pPr>
        <w:spacing w:after="0" w:line="176" w:lineRule="exact"/>
        <w:rPr>
          <w:sz w:val="20"/>
          <w:szCs w:val="20"/>
          <w:color w:val="auto"/>
        </w:rPr>
      </w:pPr>
    </w:p>
    <w:p>
      <w:pPr>
        <w:jc w:val="both"/>
        <w:ind w:right="20" w:firstLine="1194"/>
        <w:spacing w:after="0" w:line="258" w:lineRule="auto"/>
        <w:rPr>
          <w:sz w:val="20"/>
          <w:szCs w:val="20"/>
          <w:color w:val="auto"/>
        </w:rPr>
      </w:pPr>
      <w:r>
        <w:rPr>
          <w:rFonts w:ascii="Times New Roman" w:cs="Times New Roman" w:eastAsia="Times New Roman" w:hAnsi="Times New Roman"/>
          <w:sz w:val="18"/>
          <w:szCs w:val="18"/>
          <w:color w:val="auto"/>
        </w:rPr>
        <w:t>The chief operating decision maker evaluates segment performance based on segment operating income, which is defined as income before income taxes, exclusive of certain general corporate income and expense items (primarily interest income) and certain non-recurring items (such as gains or losses on the disposition of long-lived assets outside the ordinary course of business). The accounting policies of the reportable operating segments are the same as those described in Note 1. Capital expenditures include additions to property and equipment, but exclude amounts attributable to business combinations.</w:t>
      </w:r>
    </w:p>
    <w:p>
      <w:pPr>
        <w:spacing w:after="0" w:line="184" w:lineRule="exact"/>
        <w:rPr>
          <w:sz w:val="20"/>
          <w:szCs w:val="20"/>
          <w:color w:val="auto"/>
        </w:rPr>
      </w:pPr>
    </w:p>
    <w:p>
      <w:pPr>
        <w:jc w:val="both"/>
        <w:ind w:right="20" w:firstLine="1194"/>
        <w:spacing w:after="0" w:line="261" w:lineRule="auto"/>
        <w:rPr>
          <w:sz w:val="20"/>
          <w:szCs w:val="20"/>
          <w:color w:val="auto"/>
        </w:rPr>
      </w:pPr>
      <w:r>
        <w:rPr>
          <w:rFonts w:ascii="Times New Roman" w:cs="Times New Roman" w:eastAsia="Times New Roman" w:hAnsi="Times New Roman"/>
          <w:sz w:val="18"/>
          <w:szCs w:val="18"/>
          <w:color w:val="auto"/>
        </w:rPr>
        <w:t>Segment assets are comprised of all assets attributable to the reportable segments. Corporate assets are not attributable to the operating segments and consist primarily of cash, cash equivalents and note receivable from affiliate. For geographic information, the point of origin (place of manufacture) for all net sales is the U.S., the point of destination for net sales is based on the location of the customer, and property and equipment are attributable to their physical location. Intersegment sales are not material.</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9"/>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Borders>
              <w:bottom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500" w:type="dxa"/>
            <w:vAlign w:val="bottom"/>
            <w:vMerge w:val="restart"/>
          </w:tcPr>
          <w:p>
            <w:pPr>
              <w:ind w:left="920"/>
              <w:spacing w:after="0"/>
              <w:rPr>
                <w:sz w:val="20"/>
                <w:szCs w:val="20"/>
                <w:color w:val="auto"/>
              </w:rPr>
            </w:pPr>
            <w:r>
              <w:rPr>
                <w:rFonts w:ascii="Times New Roman" w:cs="Times New Roman" w:eastAsia="Times New Roman" w:hAnsi="Times New Roman"/>
                <w:sz w:val="18"/>
                <w:szCs w:val="18"/>
                <w:color w:val="auto"/>
              </w:rPr>
              <w:t>Net sales:</w:t>
            </w:r>
          </w:p>
        </w:tc>
        <w:tc>
          <w:tcPr>
            <w:tcW w:w="2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500" w:type="dxa"/>
            <w:vAlign w:val="bottom"/>
            <w:vMerge w:val="continue"/>
          </w:tcPr>
          <w:p>
            <w:pPr>
              <w:spacing w:after="0"/>
              <w:rPr>
                <w:sz w:val="13"/>
                <w:szCs w:val="13"/>
                <w:color w:val="auto"/>
              </w:rPr>
            </w:pPr>
          </w:p>
        </w:tc>
        <w:tc>
          <w:tcPr>
            <w:tcW w:w="2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Security Products</w:t>
            </w:r>
          </w:p>
        </w:tc>
        <w:tc>
          <w:tcPr>
            <w:tcW w:w="2560" w:type="dxa"/>
            <w:vAlign w:val="bottom"/>
            <w:gridSpan w:val="2"/>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94,693</w:t>
            </w:r>
          </w:p>
        </w:tc>
        <w:tc>
          <w:tcPr>
            <w:tcW w:w="100" w:type="dxa"/>
            <w:vAlign w:val="bottom"/>
          </w:tcPr>
          <w:p>
            <w:pPr>
              <w:spacing w:after="0"/>
              <w:rPr>
                <w:sz w:val="18"/>
                <w:szCs w:val="18"/>
                <w:color w:val="auto"/>
              </w:rPr>
            </w:pPr>
          </w:p>
        </w:tc>
        <w:tc>
          <w:tcPr>
            <w:tcW w:w="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96,600</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98,383</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Marine Components</w:t>
            </w: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14,227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15,435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19,834</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ind w:left="920"/>
              <w:spacing w:after="0"/>
              <w:rPr>
                <w:sz w:val="20"/>
                <w:szCs w:val="20"/>
                <w:color w:val="auto"/>
              </w:rPr>
            </w:pPr>
            <w:r>
              <w:rPr>
                <w:rFonts w:ascii="Times New Roman" w:cs="Times New Roman" w:eastAsia="Times New Roman" w:hAnsi="Times New Roman"/>
                <w:sz w:val="18"/>
                <w:szCs w:val="18"/>
                <w:color w:val="auto"/>
              </w:rPr>
              <w:t>Total</w:t>
            </w:r>
          </w:p>
        </w:tc>
        <w:tc>
          <w:tcPr>
            <w:tcW w:w="2340" w:type="dxa"/>
            <w:vAlign w:val="bottom"/>
            <w:tcBorders>
              <w:right w:val="single" w:sz="8" w:color="auto"/>
            </w:tcBorders>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500" w:type="dxa"/>
            <w:vAlign w:val="bottom"/>
            <w:vMerge w:val="continue"/>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108,920</w:t>
            </w:r>
          </w:p>
        </w:tc>
        <w:tc>
          <w:tcPr>
            <w:tcW w:w="100" w:type="dxa"/>
            <w:vAlign w:val="bottom"/>
          </w:tcPr>
          <w:p>
            <w:pPr>
              <w:spacing w:after="0"/>
              <w:rPr>
                <w:sz w:val="24"/>
                <w:szCs w:val="24"/>
                <w:color w:val="auto"/>
              </w:rPr>
            </w:pPr>
          </w:p>
        </w:tc>
        <w:tc>
          <w:tcPr>
            <w:tcW w:w="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112,035</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118,217</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ind w:left="920"/>
              <w:spacing w:after="0"/>
              <w:rPr>
                <w:sz w:val="20"/>
                <w:szCs w:val="20"/>
                <w:color w:val="auto"/>
              </w:rPr>
            </w:pPr>
            <w:r>
              <w:rPr>
                <w:rFonts w:ascii="Times New Roman" w:cs="Times New Roman" w:eastAsia="Times New Roman" w:hAnsi="Times New Roman"/>
                <w:sz w:val="18"/>
                <w:szCs w:val="18"/>
                <w:color w:val="auto"/>
              </w:rPr>
              <w:t>Operating income (loss):</w:t>
            </w:r>
          </w:p>
        </w:tc>
        <w:tc>
          <w:tcPr>
            <w:tcW w:w="2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500" w:type="dxa"/>
            <w:vAlign w:val="bottom"/>
            <w:vMerge w:val="continue"/>
          </w:tcPr>
          <w:p>
            <w:pPr>
              <w:spacing w:after="0"/>
              <w:rPr>
                <w:sz w:val="16"/>
                <w:szCs w:val="16"/>
                <w:color w:val="auto"/>
              </w:rPr>
            </w:pPr>
          </w:p>
        </w:tc>
        <w:tc>
          <w:tcPr>
            <w:tcW w:w="2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Security Products</w:t>
            </w:r>
          </w:p>
        </w:tc>
        <w:tc>
          <w:tcPr>
            <w:tcW w:w="2560" w:type="dxa"/>
            <w:vAlign w:val="bottom"/>
            <w:gridSpan w:val="2"/>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19,981</w:t>
            </w:r>
          </w:p>
        </w:tc>
        <w:tc>
          <w:tcPr>
            <w:tcW w:w="100" w:type="dxa"/>
            <w:vAlign w:val="bottom"/>
          </w:tcPr>
          <w:p>
            <w:pPr>
              <w:spacing w:after="0"/>
              <w:rPr>
                <w:sz w:val="18"/>
                <w:szCs w:val="18"/>
                <w:color w:val="auto"/>
              </w:rPr>
            </w:pPr>
          </w:p>
        </w:tc>
        <w:tc>
          <w:tcPr>
            <w:tcW w:w="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19,182</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21,947</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Marine Components</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Corporate</w:t>
            </w: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(6,114)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(5,289)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(6,874)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340" w:type="dxa"/>
            <w:vAlign w:val="bottom"/>
            <w:tcBorders>
              <w:right w:val="single" w:sz="8" w:color="auto"/>
            </w:tcBorders>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45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Total operating income</w:t>
            </w: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15,574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15,235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Interest income</w:t>
            </w: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340" w:type="dxa"/>
            <w:vAlign w:val="bottom"/>
            <w:tcBorders>
              <w:right w:val="single" w:sz="8" w:color="auto"/>
            </w:tcBorders>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340" w:type="dxa"/>
            <w:vAlign w:val="bottom"/>
          </w:tcPr>
          <w:p>
            <w:pPr>
              <w:spacing w:after="0"/>
              <w:rPr>
                <w:sz w:val="24"/>
                <w:szCs w:val="24"/>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15,964</w:t>
            </w:r>
          </w:p>
        </w:tc>
        <w:tc>
          <w:tcPr>
            <w:tcW w:w="100" w:type="dxa"/>
            <w:vAlign w:val="bottom"/>
          </w:tcPr>
          <w:p>
            <w:pPr>
              <w:spacing w:after="0"/>
              <w:rPr>
                <w:sz w:val="24"/>
                <w:szCs w:val="24"/>
                <w:color w:val="auto"/>
              </w:rPr>
            </w:pPr>
          </w:p>
        </w:tc>
        <w:tc>
          <w:tcPr>
            <w:tcW w:w="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17,164</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20,475</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ind w:left="9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500" w:type="dxa"/>
            <w:vAlign w:val="bottom"/>
            <w:vMerge w:val="continue"/>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Security Products</w:t>
            </w:r>
          </w:p>
        </w:tc>
        <w:tc>
          <w:tcPr>
            <w:tcW w:w="256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3,025</w:t>
            </w:r>
          </w:p>
        </w:tc>
        <w:tc>
          <w:tcPr>
            <w:tcW w:w="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3,072</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Marine Components</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Corporate</w:t>
            </w:r>
          </w:p>
        </w:tc>
        <w:tc>
          <w:tcPr>
            <w:tcW w:w="2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45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3,698</w:t>
            </w:r>
          </w:p>
        </w:tc>
        <w:tc>
          <w:tcPr>
            <w:tcW w:w="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3,673</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ind w:left="920"/>
              <w:spacing w:after="0"/>
              <w:rPr>
                <w:sz w:val="20"/>
                <w:szCs w:val="20"/>
                <w:color w:val="auto"/>
              </w:rPr>
            </w:pPr>
            <w:r>
              <w:rPr>
                <w:rFonts w:ascii="Times New Roman" w:cs="Times New Roman" w:eastAsia="Times New Roman" w:hAnsi="Times New Roman"/>
                <w:sz w:val="18"/>
                <w:szCs w:val="18"/>
                <w:color w:val="auto"/>
              </w:rPr>
              <w:t>Capital expenditures:</w:t>
            </w:r>
          </w:p>
        </w:tc>
        <w:tc>
          <w:tcPr>
            <w:tcW w:w="2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4500" w:type="dxa"/>
            <w:vAlign w:val="bottom"/>
            <w:vMerge w:val="continue"/>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Security Products</w:t>
            </w:r>
          </w:p>
        </w:tc>
        <w:tc>
          <w:tcPr>
            <w:tcW w:w="256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3,017</w:t>
            </w:r>
          </w:p>
        </w:tc>
        <w:tc>
          <w:tcPr>
            <w:tcW w:w="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2,389</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Marine Components</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Corporate</w:t>
            </w:r>
          </w:p>
        </w:tc>
        <w:tc>
          <w:tcPr>
            <w:tcW w:w="2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45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3,175</w:t>
            </w:r>
          </w:p>
        </w:tc>
        <w:tc>
          <w:tcPr>
            <w:tcW w:w="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2,796</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3,117</w:t>
            </w:r>
          </w:p>
        </w:tc>
        <w:tc>
          <w:tcPr>
            <w:tcW w:w="0" w:type="dxa"/>
            <w:vAlign w:val="bottom"/>
          </w:tcPr>
          <w:p>
            <w:pPr>
              <w:spacing w:after="0"/>
              <w:rPr>
                <w:sz w:val="1"/>
                <w:szCs w:val="1"/>
                <w:color w:val="auto"/>
              </w:rPr>
            </w:pPr>
          </w:p>
        </w:tc>
      </w:tr>
      <w:tr>
        <w:trPr>
          <w:trHeight w:val="20"/>
        </w:trPr>
        <w:tc>
          <w:tcPr>
            <w:tcW w:w="4500" w:type="dxa"/>
            <w:vAlign w:val="bottom"/>
            <w:vMerge w:val="restart"/>
          </w:tcPr>
          <w:p>
            <w:pPr>
              <w:ind w:left="920"/>
              <w:spacing w:after="0"/>
              <w:rPr>
                <w:sz w:val="20"/>
                <w:szCs w:val="20"/>
                <w:color w:val="auto"/>
              </w:rPr>
            </w:pPr>
            <w:r>
              <w:rPr>
                <w:rFonts w:ascii="Times New Roman" w:cs="Times New Roman" w:eastAsia="Times New Roman" w:hAnsi="Times New Roman"/>
                <w:sz w:val="18"/>
                <w:szCs w:val="18"/>
                <w:color w:val="auto"/>
              </w:rPr>
              <w:t>Net sales point of destination:</w:t>
            </w:r>
          </w:p>
        </w:tc>
        <w:tc>
          <w:tcPr>
            <w:tcW w:w="2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4500" w:type="dxa"/>
            <w:vAlign w:val="bottom"/>
            <w:vMerge w:val="continue"/>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United States</w:t>
            </w:r>
          </w:p>
        </w:tc>
        <w:tc>
          <w:tcPr>
            <w:tcW w:w="2560" w:type="dxa"/>
            <w:vAlign w:val="bottom"/>
            <w:gridSpan w:val="2"/>
          </w:tcPr>
          <w:p>
            <w:pPr>
              <w:jc w:val="right"/>
              <w:ind w:right="6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103,646</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108,773</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Canada</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Mexico</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Other</w:t>
            </w: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500" w:type="dxa"/>
            <w:vAlign w:val="bottom"/>
          </w:tcPr>
          <w:p>
            <w:pPr>
              <w:spacing w:after="0"/>
              <w:rPr>
                <w:sz w:val="24"/>
                <w:szCs w:val="24"/>
                <w:color w:val="auto"/>
              </w:rPr>
            </w:pPr>
          </w:p>
        </w:tc>
        <w:tc>
          <w:tcPr>
            <w:tcW w:w="2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F-11</w:t>
            </w: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35" w:name="page36"/>
    <w:bookmarkEnd w:id="35"/>
    <w:tbl>
      <w:tblPr>
        <w:tblLayout w:type="fixed"/>
        <w:tblInd w:w="920" w:type="dxa"/>
        <w:tblCellMar>
          <w:top w:w="0" w:type="dxa"/>
          <w:left w:w="0" w:type="dxa"/>
          <w:bottom w:w="0" w:type="dxa"/>
          <w:right w:w="0" w:type="dxa"/>
        </w:tblCellMar>
      </w:tblPr>
      <w:tr>
        <w:trPr>
          <w:trHeight w:val="248"/>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108,920</w:t>
            </w:r>
          </w:p>
        </w:tc>
        <w:tc>
          <w:tcPr>
            <w:tcW w:w="20" w:type="dxa"/>
            <w:vAlign w:val="bottom"/>
          </w:tcPr>
          <w:p>
            <w:pPr>
              <w:spacing w:after="0"/>
              <w:rPr>
                <w:sz w:val="21"/>
                <w:szCs w:val="21"/>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112,035</w:t>
            </w:r>
          </w:p>
        </w:tc>
        <w:tc>
          <w:tcPr>
            <w:tcW w:w="120" w:type="dxa"/>
            <w:vAlign w:val="bottom"/>
          </w:tcPr>
          <w:p>
            <w:pPr>
              <w:spacing w:after="0"/>
              <w:rPr>
                <w:sz w:val="21"/>
                <w:szCs w:val="21"/>
                <w:color w:val="auto"/>
              </w:rPr>
            </w:pPr>
          </w:p>
        </w:tc>
        <w:tc>
          <w:tcPr>
            <w:tcW w:w="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118,217</w:t>
            </w:r>
          </w:p>
        </w:tc>
      </w:tr>
      <w:tr>
        <w:trPr>
          <w:trHeight w:val="20"/>
        </w:trPr>
        <w:tc>
          <w:tcPr>
            <w:tcW w:w="4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386"/>
        </w:trPr>
        <w:tc>
          <w:tcPr>
            <w:tcW w:w="4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10"/>
        </w:trPr>
        <w:tc>
          <w:tcPr>
            <w:tcW w:w="4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32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4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Security Products</w:t>
            </w:r>
          </w:p>
        </w:tc>
        <w:tc>
          <w:tcPr>
            <w:tcW w:w="1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73,345</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72,961</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74,714</w:t>
            </w:r>
          </w:p>
        </w:tc>
      </w:tr>
      <w:tr>
        <w:trPr>
          <w:trHeight w:val="216"/>
        </w:trPr>
        <w:tc>
          <w:tcPr>
            <w:tcW w:w="4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Marine Components</w:t>
            </w: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12,209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11,704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14,189</w:t>
            </w:r>
          </w:p>
        </w:tc>
      </w:tr>
      <w:tr>
        <w:trPr>
          <w:trHeight w:val="234"/>
        </w:trPr>
        <w:tc>
          <w:tcPr>
            <w:tcW w:w="4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58,426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66,294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77,526</w:t>
            </w:r>
          </w:p>
        </w:tc>
      </w:tr>
      <w:tr>
        <w:trPr>
          <w:trHeight w:val="345"/>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143,980</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150,959</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166,429</w:t>
            </w:r>
          </w:p>
        </w:tc>
      </w:tr>
      <w:tr>
        <w:trPr>
          <w:trHeight w:val="20"/>
        </w:trPr>
        <w:tc>
          <w:tcPr>
            <w:tcW w:w="4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property and equipment for 2016, 2017 and 2018 is entirely located in the United States.</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Accounts receivable, net:</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9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5"/>
              <w:spacing w:after="0" w:line="147"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2"/>
              <w:spacing w:after="0" w:line="147" w:lineRule="exact"/>
              <w:rPr>
                <w:sz w:val="20"/>
                <w:szCs w:val="20"/>
                <w:color w:val="auto"/>
              </w:rPr>
            </w:pPr>
            <w:r>
              <w:rPr>
                <w:rFonts w:ascii="Times New Roman" w:cs="Times New Roman" w:eastAsia="Times New Roman" w:hAnsi="Times New Roman"/>
                <w:sz w:val="14"/>
                <w:szCs w:val="14"/>
                <w:b w:val="1"/>
                <w:bCs w:val="1"/>
                <w:color w:val="auto"/>
              </w:rPr>
              <w:t>2018</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960" w:type="dxa"/>
            <w:vAlign w:val="bottom"/>
            <w:vMerge w:val="restart"/>
          </w:tcPr>
          <w:p>
            <w:pPr>
              <w:ind w:left="1380"/>
              <w:spacing w:after="0"/>
              <w:rPr>
                <w:sz w:val="20"/>
                <w:szCs w:val="20"/>
                <w:color w:val="auto"/>
              </w:rPr>
            </w:pPr>
            <w:r>
              <w:rPr>
                <w:rFonts w:ascii="Times New Roman" w:cs="Times New Roman" w:eastAsia="Times New Roman" w:hAnsi="Times New Roman"/>
                <w:sz w:val="18"/>
                <w:szCs w:val="18"/>
                <w:color w:val="auto"/>
              </w:rPr>
              <w:t>Account receivable, net:</w:t>
            </w:r>
          </w:p>
        </w:tc>
        <w:tc>
          <w:tcPr>
            <w:tcW w:w="2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960" w:type="dxa"/>
            <w:vAlign w:val="bottom"/>
            <w:vMerge w:val="continue"/>
          </w:tcPr>
          <w:p>
            <w:pPr>
              <w:spacing w:after="0"/>
              <w:rPr>
                <w:sz w:val="13"/>
                <w:szCs w:val="13"/>
                <w:color w:val="auto"/>
              </w:rPr>
            </w:pPr>
          </w:p>
        </w:tc>
        <w:tc>
          <w:tcPr>
            <w:tcW w:w="2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Security Products</w:t>
            </w:r>
          </w:p>
        </w:tc>
        <w:tc>
          <w:tcPr>
            <w:tcW w:w="2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9,341</w:t>
            </w:r>
          </w:p>
        </w:tc>
        <w:tc>
          <w:tcPr>
            <w:tcW w:w="140" w:type="dxa"/>
            <w:vAlign w:val="bottom"/>
          </w:tcPr>
          <w:p>
            <w:pPr>
              <w:spacing w:after="0"/>
              <w:rPr>
                <w:sz w:val="18"/>
                <w:szCs w:val="18"/>
                <w:color w:val="auto"/>
              </w:rPr>
            </w:pPr>
          </w:p>
        </w:tc>
        <w:tc>
          <w:tcPr>
            <w:tcW w:w="2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10,596</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Marine Components</w:t>
            </w:r>
          </w:p>
        </w:tc>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2"/>
          </w:tcPr>
          <w:p>
            <w:pPr>
              <w:jc w:val="right"/>
              <w:ind w:right="144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4960" w:type="dxa"/>
            <w:vAlign w:val="bottom"/>
            <w:vMerge w:val="restart"/>
          </w:tcPr>
          <w:p>
            <w:pPr>
              <w:ind w:left="224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960" w:type="dxa"/>
            <w:vAlign w:val="bottom"/>
            <w:vMerge w:val="continue"/>
          </w:tcPr>
          <w:p>
            <w:pPr>
              <w:spacing w:after="0"/>
              <w:rPr>
                <w:sz w:val="24"/>
                <w:szCs w:val="24"/>
                <w:color w:val="auto"/>
              </w:rPr>
            </w:pPr>
          </w:p>
        </w:tc>
        <w:tc>
          <w:tcPr>
            <w:tcW w:w="2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10,446</w:t>
            </w:r>
          </w:p>
        </w:tc>
        <w:tc>
          <w:tcPr>
            <w:tcW w:w="140" w:type="dxa"/>
            <w:vAlign w:val="bottom"/>
          </w:tcPr>
          <w:p>
            <w:pPr>
              <w:spacing w:after="0"/>
              <w:rPr>
                <w:sz w:val="24"/>
                <w:szCs w:val="24"/>
                <w:color w:val="auto"/>
              </w:rPr>
            </w:pPr>
          </w:p>
        </w:tc>
        <w:tc>
          <w:tcPr>
            <w:tcW w:w="2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12,140</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Inventories:</w:t>
            </w:r>
          </w:p>
        </w:tc>
        <w:tc>
          <w:tcPr>
            <w:tcW w:w="2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60" w:type="dxa"/>
            <w:vAlign w:val="bottom"/>
            <w:vMerge w:val="continue"/>
          </w:tcPr>
          <w:p>
            <w:pPr>
              <w:spacing w:after="0"/>
              <w:rPr>
                <w:sz w:val="24"/>
                <w:szCs w:val="24"/>
                <w:color w:val="auto"/>
              </w:rPr>
            </w:pPr>
          </w:p>
        </w:tc>
        <w:tc>
          <w:tcPr>
            <w:tcW w:w="2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9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gridSpan w:val="7"/>
          </w:tcPr>
          <w:p>
            <w:pPr>
              <w:jc w:val="center"/>
              <w:ind w:right="1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960" w:type="dxa"/>
            <w:vAlign w:val="bottom"/>
            <w:vMerge w:val="restart"/>
          </w:tcPr>
          <w:p>
            <w:pPr>
              <w:ind w:left="1380"/>
              <w:spacing w:after="0"/>
              <w:rPr>
                <w:sz w:val="20"/>
                <w:szCs w:val="20"/>
                <w:color w:val="auto"/>
              </w:rPr>
            </w:pPr>
            <w:r>
              <w:rPr>
                <w:rFonts w:ascii="Times New Roman" w:cs="Times New Roman" w:eastAsia="Times New Roman" w:hAnsi="Times New Roman"/>
                <w:sz w:val="18"/>
                <w:szCs w:val="18"/>
                <w:color w:val="auto"/>
              </w:rPr>
              <w:t>Raw materials:</w:t>
            </w:r>
          </w:p>
        </w:tc>
        <w:tc>
          <w:tcPr>
            <w:tcW w:w="2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6"/>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960" w:type="dxa"/>
            <w:vAlign w:val="bottom"/>
            <w:vMerge w:val="continue"/>
          </w:tcPr>
          <w:p>
            <w:pPr>
              <w:spacing w:after="0"/>
              <w:rPr>
                <w:sz w:val="13"/>
                <w:szCs w:val="13"/>
                <w:color w:val="auto"/>
              </w:rPr>
            </w:pPr>
          </w:p>
        </w:tc>
        <w:tc>
          <w:tcPr>
            <w:tcW w:w="2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Security Products</w:t>
            </w:r>
          </w:p>
        </w:tc>
        <w:tc>
          <w:tcPr>
            <w:tcW w:w="2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Marine Components</w:t>
            </w:r>
          </w:p>
        </w:tc>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49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Total raw materials</w:t>
            </w:r>
          </w:p>
        </w:tc>
        <w:tc>
          <w:tcPr>
            <w:tcW w:w="2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49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Work-in-process:</w:t>
            </w:r>
          </w:p>
        </w:tc>
        <w:tc>
          <w:tcPr>
            <w:tcW w:w="2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Security Products</w:t>
            </w:r>
          </w:p>
        </w:tc>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8,290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9,018</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Marine Components</w:t>
            </w:r>
          </w:p>
        </w:tc>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49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Total work-in-process</w:t>
            </w:r>
          </w:p>
        </w:tc>
        <w:tc>
          <w:tcPr>
            <w:tcW w:w="2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9,836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11,130</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49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Finished goods:</w:t>
            </w:r>
          </w:p>
        </w:tc>
        <w:tc>
          <w:tcPr>
            <w:tcW w:w="2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Security Products</w:t>
            </w:r>
          </w:p>
        </w:tc>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Marine Components</w:t>
            </w:r>
          </w:p>
        </w:tc>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49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Total finished goods</w:t>
            </w:r>
          </w:p>
        </w:tc>
        <w:tc>
          <w:tcPr>
            <w:tcW w:w="2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9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Total inventories</w:t>
            </w:r>
          </w:p>
        </w:tc>
        <w:tc>
          <w:tcPr>
            <w:tcW w:w="2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15,382</w:t>
            </w: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17,102</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4960" w:type="dxa"/>
            <w:vAlign w:val="bottom"/>
          </w:tcPr>
          <w:p>
            <w:pPr>
              <w:spacing w:after="0"/>
              <w:rPr>
                <w:sz w:val="24"/>
                <w:szCs w:val="24"/>
                <w:color w:val="auto"/>
              </w:rPr>
            </w:pPr>
          </w:p>
        </w:tc>
        <w:tc>
          <w:tcPr>
            <w:tcW w:w="2860" w:type="dxa"/>
            <w:vAlign w:val="bottom"/>
            <w:gridSpan w:val="3"/>
          </w:tcPr>
          <w:p>
            <w:pPr>
              <w:jc w:val="right"/>
              <w:ind w:right="1940"/>
              <w:spacing w:after="0"/>
              <w:rPr>
                <w:sz w:val="20"/>
                <w:szCs w:val="20"/>
                <w:color w:val="auto"/>
              </w:rPr>
            </w:pPr>
            <w:r>
              <w:rPr>
                <w:rFonts w:ascii="Times New Roman" w:cs="Times New Roman" w:eastAsia="Times New Roman" w:hAnsi="Times New Roman"/>
                <w:sz w:val="18"/>
                <w:szCs w:val="18"/>
                <w:color w:val="auto"/>
              </w:rPr>
              <w:t>F-12</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43" w:right="2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Goodwill:</w:t>
      </w:r>
    </w:p>
    <w:p>
      <w:pPr>
        <w:spacing w:after="0" w:line="119" w:lineRule="exact"/>
        <w:rPr>
          <w:sz w:val="20"/>
          <w:szCs w:val="20"/>
          <w:color w:val="auto"/>
        </w:rPr>
      </w:pPr>
    </w:p>
    <w:p>
      <w:pPr>
        <w:jc w:val="both"/>
        <w:ind w:right="20" w:firstLine="1194"/>
        <w:spacing w:after="0" w:line="261" w:lineRule="auto"/>
        <w:rPr>
          <w:sz w:val="20"/>
          <w:szCs w:val="20"/>
          <w:color w:val="auto"/>
        </w:rPr>
      </w:pPr>
      <w:r>
        <w:rPr>
          <w:rFonts w:ascii="Times New Roman" w:cs="Times New Roman" w:eastAsia="Times New Roman" w:hAnsi="Times New Roman"/>
          <w:sz w:val="18"/>
          <w:szCs w:val="18"/>
          <w:color w:val="auto"/>
        </w:rPr>
        <w:t xml:space="preserve">We assign goodwill based on </w:t>
      </w:r>
      <w:r>
        <w:rPr>
          <w:rFonts w:ascii="Times New Roman" w:cs="Times New Roman" w:eastAsia="Times New Roman" w:hAnsi="Times New Roman"/>
          <w:sz w:val="18"/>
          <w:szCs w:val="18"/>
          <w:i w:val="1"/>
          <w:iCs w:val="1"/>
          <w:color w:val="auto"/>
        </w:rPr>
        <w:t>reporting unit</w:t>
      </w:r>
      <w:r>
        <w:rPr>
          <w:rFonts w:ascii="Times New Roman" w:cs="Times New Roman" w:eastAsia="Times New Roman" w:hAnsi="Times New Roman"/>
          <w:sz w:val="18"/>
          <w:szCs w:val="18"/>
          <w:color w:val="auto"/>
        </w:rPr>
        <w:t xml:space="preserve"> (as that term is defined in ASC Topic 350-20-20,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which corresponds to our operating segments. All of our net goodwill relates to our Security Products segment and was generated from acquisitions relating to our Security Products segment prior to 2001. We test for goodwill impairment at the reporting unit level. In accordance with the requirements of ASC Topic 350-20-20, we review goodwill for each of our reporting units for impairment during the third quarter of each year or when circumstances arise that indicate an impairment might be present.</w:t>
      </w:r>
    </w:p>
    <w:p>
      <w:pPr>
        <w:spacing w:after="0" w:line="182" w:lineRule="exact"/>
        <w:rPr>
          <w:sz w:val="20"/>
          <w:szCs w:val="20"/>
          <w:color w:val="auto"/>
        </w:rPr>
      </w:pPr>
    </w:p>
    <w:p>
      <w:pPr>
        <w:jc w:val="both"/>
        <w:ind w:right="20" w:firstLine="1194"/>
        <w:spacing w:after="0" w:line="258" w:lineRule="auto"/>
        <w:rPr>
          <w:sz w:val="20"/>
          <w:szCs w:val="20"/>
          <w:color w:val="auto"/>
        </w:rPr>
      </w:pPr>
      <w:r>
        <w:rPr>
          <w:rFonts w:ascii="Times New Roman" w:cs="Times New Roman" w:eastAsia="Times New Roman" w:hAnsi="Times New Roman"/>
          <w:sz w:val="18"/>
          <w:szCs w:val="18"/>
          <w:color w:val="auto"/>
        </w:rPr>
        <w:t>In 2016, 2017 and 2018, our goodwill was tested for impairment only in the third quarter of each year in connection with our annual testing date. No impairment was indicated as part of such annual reviews of goodwill. As permitted by GAAP, during 2017 and 2018 we used the qualitative assessment of ASC 350-20-35 for our annual impairment test and determined it was not necessary to perform the quantitative goodwill impairment test. During 2016, we used the quantitative assessment of ASC 350-20-35 for our annual impairment test using discounted cash flows to determine the estimated fair value of our Security Products reporting unit. Such discounted cash flows are a Level 3 input as defined by ASC 820-10-35.</w:t>
      </w:r>
    </w:p>
    <w:p>
      <w:pPr>
        <w:spacing w:after="0" w:line="184" w:lineRule="exact"/>
        <w:rPr>
          <w:sz w:val="20"/>
          <w:szCs w:val="20"/>
          <w:color w:val="auto"/>
        </w:rPr>
      </w:pPr>
    </w:p>
    <w:p>
      <w:pPr>
        <w:jc w:val="both"/>
        <w:ind w:right="20" w:firstLine="1194"/>
        <w:spacing w:after="0" w:line="266" w:lineRule="auto"/>
        <w:rPr>
          <w:sz w:val="20"/>
          <w:szCs w:val="20"/>
          <w:color w:val="auto"/>
        </w:rPr>
      </w:pPr>
      <w:r>
        <w:rPr>
          <w:rFonts w:ascii="Times New Roman" w:cs="Times New Roman" w:eastAsia="Times New Roman" w:hAnsi="Times New Roman"/>
          <w:sz w:val="18"/>
          <w:szCs w:val="18"/>
          <w:color w:val="auto"/>
        </w:rPr>
        <w:t>Our gross goodwill at December 31, 2018 is $33.6 million. Prior to 2016, we recorded a $9.9 million goodwill impairment in our Marine Components segment resulting in a net consolidated carrying amount of $23.7 million. There have been no changes in the carrying amount of our goodwill during the past three years.</w:t>
      </w:r>
    </w:p>
    <w:p>
      <w:pPr>
        <w:spacing w:after="0" w:line="3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Accounts payable and accrued liabilities: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680" w:type="dxa"/>
            <w:vAlign w:val="bottom"/>
            <w:vMerge w:val="restart"/>
          </w:tcPr>
          <w:p>
            <w:pPr>
              <w:ind w:left="1380"/>
              <w:spacing w:after="0"/>
              <w:rPr>
                <w:sz w:val="20"/>
                <w:szCs w:val="20"/>
                <w:color w:val="auto"/>
              </w:rPr>
            </w:pPr>
            <w:r>
              <w:rPr>
                <w:rFonts w:ascii="Times New Roman" w:cs="Times New Roman" w:eastAsia="Times New Roman" w:hAnsi="Times New Roman"/>
                <w:sz w:val="18"/>
                <w:szCs w:val="18"/>
                <w:color w:val="auto"/>
              </w:rPr>
              <w:t>Accounts payable:</w:t>
            </w:r>
          </w:p>
        </w:tc>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680" w:type="dxa"/>
            <w:vAlign w:val="bottom"/>
            <w:vMerge w:val="continue"/>
          </w:tcPr>
          <w:p>
            <w:pPr>
              <w:spacing w:after="0"/>
              <w:rPr>
                <w:sz w:val="13"/>
                <w:szCs w:val="13"/>
                <w:color w:val="auto"/>
              </w:rPr>
            </w:pPr>
          </w:p>
        </w:tc>
        <w:tc>
          <w:tcPr>
            <w:tcW w:w="3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Security Products</w:t>
            </w:r>
          </w:p>
        </w:tc>
        <w:tc>
          <w:tcPr>
            <w:tcW w:w="3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Marine Components</w:t>
            </w:r>
          </w:p>
        </w:tc>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Accrued liabilities:</w:t>
            </w:r>
          </w:p>
        </w:tc>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Employee benefits</w:t>
            </w:r>
          </w:p>
        </w:tc>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Customer tooling</w:t>
            </w:r>
          </w:p>
        </w:tc>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Insurance</w:t>
            </w:r>
          </w:p>
        </w:tc>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Sales rebates</w:t>
            </w:r>
          </w:p>
        </w:tc>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Other</w:t>
            </w:r>
          </w:p>
        </w:tc>
        <w:tc>
          <w:tcPr>
            <w:tcW w:w="3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46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Total</w:t>
            </w:r>
          </w:p>
        </w:tc>
        <w:tc>
          <w:tcPr>
            <w:tcW w:w="3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10,792</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12,504</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80" w:type="dxa"/>
            <w:vAlign w:val="bottom"/>
          </w:tcPr>
          <w:p>
            <w:pPr>
              <w:spacing w:after="0"/>
              <w:rPr>
                <w:sz w:val="24"/>
                <w:szCs w:val="24"/>
                <w:color w:val="auto"/>
              </w:rPr>
            </w:pPr>
          </w:p>
        </w:tc>
        <w:tc>
          <w:tcPr>
            <w:tcW w:w="3200" w:type="dxa"/>
            <w:vAlign w:val="bottom"/>
            <w:gridSpan w:val="2"/>
          </w:tcPr>
          <w:p>
            <w:pPr>
              <w:jc w:val="right"/>
              <w:ind w:right="2000"/>
              <w:spacing w:after="0"/>
              <w:rPr>
                <w:sz w:val="20"/>
                <w:szCs w:val="20"/>
                <w:color w:val="auto"/>
              </w:rPr>
            </w:pPr>
            <w:r>
              <w:rPr>
                <w:rFonts w:ascii="Times New Roman" w:cs="Times New Roman" w:eastAsia="Times New Roman" w:hAnsi="Times New Roman"/>
                <w:sz w:val="18"/>
                <w:szCs w:val="18"/>
                <w:color w:val="auto"/>
              </w:rPr>
              <w:t>F-13</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66" w:right="2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Income taxes:</w:t>
      </w:r>
    </w:p>
    <w:p>
      <w:pPr>
        <w:spacing w:after="0" w:line="121" w:lineRule="exact"/>
        <w:rPr>
          <w:sz w:val="20"/>
          <w:szCs w:val="20"/>
          <w:color w:val="auto"/>
        </w:rPr>
      </w:pPr>
    </w:p>
    <w:p>
      <w:pPr>
        <w:jc w:val="both"/>
        <w:ind w:firstLine="1194"/>
        <w:spacing w:after="0" w:line="266" w:lineRule="auto"/>
        <w:rPr>
          <w:sz w:val="20"/>
          <w:szCs w:val="20"/>
          <w:color w:val="auto"/>
        </w:rPr>
      </w:pPr>
      <w:r>
        <w:rPr>
          <w:rFonts w:ascii="Times New Roman" w:cs="Times New Roman" w:eastAsia="Times New Roman" w:hAnsi="Times New Roman"/>
          <w:sz w:val="18"/>
          <w:szCs w:val="18"/>
          <w:color w:val="auto"/>
        </w:rPr>
        <w:t>The provision for income taxes and the difference between such provision for income taxes and the amount that would be expected using the U.S. federal statutory income tax rate of 35% in 2016 and 2017 and 21% in 2018 are presented below. All of our pre-tax income relates to operations in the United States.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7"/>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84"/>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9"/>
        </w:trPr>
        <w:tc>
          <w:tcPr>
            <w:tcW w:w="5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Currently payable</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5,621</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5,736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0" w:type="dxa"/>
            <w:vAlign w:val="bottom"/>
          </w:tcPr>
          <w:p>
            <w:pPr>
              <w:spacing w:after="0"/>
              <w:rPr>
                <w:sz w:val="1"/>
                <w:szCs w:val="1"/>
                <w:color w:val="auto"/>
              </w:rPr>
            </w:pPr>
          </w:p>
        </w:tc>
      </w:tr>
      <w:tr>
        <w:trPr>
          <w:trHeight w:val="234"/>
        </w:trPr>
        <w:tc>
          <w:tcPr>
            <w:tcW w:w="5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(1,775)</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5,507</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3,961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Expected tax expense, at the U.S. federal statutory income tax rate of 35% in</w:t>
            </w: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5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2016 and 2017, 21% in 2018</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5,588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6,007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Changes in federal tax rate, net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(1,861)</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Domestic production activities deduction</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5,507</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3,961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firstLine="877"/>
        <w:spacing w:after="0" w:line="253" w:lineRule="auto"/>
        <w:rPr>
          <w:sz w:val="20"/>
          <w:szCs w:val="20"/>
          <w:color w:val="auto"/>
        </w:rPr>
      </w:pPr>
      <w:r>
        <w:rPr>
          <w:rFonts w:ascii="Times New Roman" w:cs="Times New Roman" w:eastAsia="Times New Roman" w:hAnsi="Times New Roman"/>
          <w:sz w:val="18"/>
          <w:szCs w:val="18"/>
          <w:color w:val="auto"/>
        </w:rPr>
        <w:t>On December 22, 2017, H.R.1, formally known as the “Tax Cuts and Jobs Act” (“2017 Tax Act”) was enacted into law. This tax legislation, among other changes, (i) reduced the federal corporate income tax rate from 35% to 21% effective January 1, 2018; (ii) eliminated the domestic production activities deduction beginning in 2018; and (iii) allows for the expensing of certain capital expenditures. Following the enactment of the 2017 Tax Act, the Securities and Exchange Commission issued Staff Accounting Bulletin (SAB) 118 to provide guidance on the accounting and reporting impacts of the 2017 Tax Act. SAB 118 required that companies account for changes related to the 2017 Tax Act in the period of enactment unless the impact of such changes could not be reasonably estimated. Where the use of estimated provisional amounts was necessary, SAB 118 provided for a measurement period of no longer than one year during which companies could adjust those amounts as additional information became available. Therefore, as required under GAAP, we revalued our net deferred tax liability associated with our net taxable temporary differences based on deferred tax balances as of the enactment date to reflect the effect of the reduction in the corporate income tax rate. Our temporary differences as of December 31, 2017 were not materially different from our temporary differences as of the enactment date, accordingly revaluation of our net taxable temporary differences was based on our net deferred tax liability as of December 31, 2017. Such revaluation resulted in a non-cash deferred income tax benefit of approximately $1.9 million recognized in continuing operations for the period ended December 31, 2017, reducing our net deferred income tax liability as of that date. During 2018 we finalized our analysis of the 2017 Tax Act and recorded an immaterial adjustment within the defined measurement period. See also Note 10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8" w:name="page39"/>
    <w:bookmarkEnd w:id="38"/>
    <w:p>
      <w:pPr>
        <w:ind w:left="1200"/>
        <w:spacing w:after="0"/>
        <w:rPr>
          <w:sz w:val="20"/>
          <w:szCs w:val="20"/>
          <w:color w:val="auto"/>
        </w:rPr>
      </w:pPr>
      <w:r>
        <w:rPr>
          <w:rFonts w:ascii="Times New Roman" w:cs="Times New Roman" w:eastAsia="Times New Roman" w:hAnsi="Times New Roman"/>
          <w:sz w:val="18"/>
          <w:szCs w:val="18"/>
          <w:color w:val="auto"/>
        </w:rPr>
        <w:t>The components of the net deferred tax liability are summarized below.</w:t>
      </w:r>
    </w:p>
    <w:p>
      <w:pPr>
        <w:spacing w:after="0" w:line="246" w:lineRule="exact"/>
        <w:rPr>
          <w:sz w:val="20"/>
          <w:szCs w:val="20"/>
          <w:color w:val="auto"/>
        </w:rPr>
      </w:pPr>
    </w:p>
    <w:tbl>
      <w:tblPr>
        <w:tblLayout w:type="fixed"/>
        <w:tblInd w:w="146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center"/>
              <w:ind w:left="3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6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Tax effect of temporary differences related to:</w:t>
            </w:r>
          </w:p>
        </w:tc>
        <w:tc>
          <w:tcPr>
            <w:tcW w:w="120" w:type="dxa"/>
            <w:vAlign w:val="bottom"/>
          </w:tcPr>
          <w:p>
            <w:pPr>
              <w:spacing w:after="0"/>
              <w:rPr>
                <w:sz w:val="15"/>
                <w:szCs w:val="15"/>
                <w:color w:val="auto"/>
              </w:rPr>
            </w:pPr>
          </w:p>
        </w:tc>
        <w:tc>
          <w:tcPr>
            <w:tcW w:w="1400" w:type="dxa"/>
            <w:vAlign w:val="bottom"/>
            <w:gridSpan w:val="4"/>
          </w:tcPr>
          <w:p>
            <w:pPr>
              <w:jc w:val="center"/>
              <w:ind w:left="3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2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6"/>
        </w:trPr>
        <w:tc>
          <w:tcPr>
            <w:tcW w:w="6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0" w:type="dxa"/>
            <w:vAlign w:val="bottom"/>
          </w:tcPr>
          <w:p>
            <w:pPr>
              <w:spacing w:after="0"/>
              <w:rPr>
                <w:sz w:val="1"/>
                <w:szCs w:val="1"/>
                <w:color w:val="auto"/>
              </w:rPr>
            </w:pPr>
          </w:p>
        </w:tc>
      </w:tr>
      <w:tr>
        <w:trPr>
          <w:trHeight w:val="216"/>
        </w:trPr>
        <w:tc>
          <w:tcPr>
            <w:tcW w:w="6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liabilities and other deductible differences</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216"/>
        </w:trPr>
        <w:tc>
          <w:tcPr>
            <w:tcW w:w="6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0" w:type="dxa"/>
            <w:vAlign w:val="bottom"/>
          </w:tcPr>
          <w:p>
            <w:pPr>
              <w:spacing w:after="0"/>
              <w:rPr>
                <w:sz w:val="1"/>
                <w:szCs w:val="1"/>
                <w:color w:val="auto"/>
              </w:rPr>
            </w:pPr>
          </w:p>
        </w:tc>
      </w:tr>
      <w:tr>
        <w:trPr>
          <w:trHeight w:val="234"/>
        </w:trPr>
        <w:tc>
          <w:tcPr>
            <w:tcW w:w="6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taxable differences</w:t>
            </w:r>
          </w:p>
        </w:tc>
        <w:tc>
          <w:tcPr>
            <w:tcW w:w="1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deferred tax liability</w:t>
            </w: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26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20" w:firstLine="1194"/>
        <w:spacing w:after="0" w:line="282" w:lineRule="auto"/>
        <w:rPr>
          <w:sz w:val="20"/>
          <w:szCs w:val="20"/>
          <w:color w:val="auto"/>
        </w:rPr>
      </w:pPr>
      <w:r>
        <w:rPr>
          <w:rFonts w:ascii="Times New Roman" w:cs="Times New Roman" w:eastAsia="Times New Roman" w:hAnsi="Times New Roman"/>
          <w:sz w:val="18"/>
          <w:szCs w:val="18"/>
          <w:color w:val="auto"/>
        </w:rPr>
        <w:t>We and Contran file income tax returns in U.S. federal and various state and local jurisdictions. Our income tax returns prior to 2015 are generally considered closed to examination by applicable tax authorities.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Stockholders’ equity:</w:t>
      </w:r>
    </w:p>
    <w:p>
      <w:pPr>
        <w:spacing w:after="0" w:line="250"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4"/>
          <w:szCs w:val="14"/>
          <w:b w:val="1"/>
          <w:bCs w:val="1"/>
          <w:color w:val="auto"/>
        </w:rPr>
        <w:t>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7620</wp:posOffset>
            </wp:positionV>
            <wp:extent cx="15176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19"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4"/>
          <w:szCs w:val="14"/>
          <w:b w:val="1"/>
          <w:bCs w:val="1"/>
          <w:color w:val="auto"/>
        </w:rPr>
        <w:t>Class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-3175</wp:posOffset>
            </wp:positionV>
            <wp:extent cx="65151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ind w:left="7680"/>
        <w:spacing w:after="0" w:line="223" w:lineRule="auto"/>
        <w:rPr>
          <w:sz w:val="20"/>
          <w:szCs w:val="20"/>
          <w:color w:val="auto"/>
        </w:rPr>
      </w:pPr>
      <w:r>
        <w:rPr>
          <w:rFonts w:ascii="Times New Roman" w:cs="Times New Roman" w:eastAsia="Times New Roman" w:hAnsi="Times New Roman"/>
          <w:sz w:val="14"/>
          <w:szCs w:val="14"/>
          <w:b w:val="1"/>
          <w:bCs w:val="1"/>
          <w:color w:val="auto"/>
        </w:rPr>
        <w:t>Issued and</w:t>
      </w:r>
    </w:p>
    <w:p>
      <w:pPr>
        <w:ind w:left="7640"/>
        <w:spacing w:after="0" w:line="231" w:lineRule="auto"/>
        <w:rPr>
          <w:sz w:val="20"/>
          <w:szCs w:val="20"/>
          <w:color w:val="auto"/>
        </w:rPr>
      </w:pPr>
      <w:r>
        <w:rPr>
          <w:rFonts w:ascii="Times New Roman" w:cs="Times New Roman" w:eastAsia="Times New Roman" w:hAnsi="Times New Roman"/>
          <w:sz w:val="14"/>
          <w:szCs w:val="14"/>
          <w:b w:val="1"/>
          <w:bCs w:val="1"/>
          <w:color w:val="auto"/>
        </w:rPr>
        <w:t>outstanding</w:t>
      </w:r>
    </w:p>
    <w:p>
      <w:pPr>
        <w:spacing w:after="0" w:line="20" w:lineRule="exact"/>
        <w:rPr>
          <w:sz w:val="20"/>
          <w:szCs w:val="20"/>
          <w:color w:val="auto"/>
        </w:rPr>
      </w:pPr>
      <w:r>
        <w:rPr>
          <w:sz w:val="20"/>
          <w:szCs w:val="20"/>
          <w:color w:val="auto"/>
        </w:rPr>
        <w:br w:type="column"/>
      </w: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Class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-3175</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0"/>
        <w:spacing w:after="0" w:line="223" w:lineRule="auto"/>
        <w:rPr>
          <w:sz w:val="20"/>
          <w:szCs w:val="20"/>
          <w:color w:val="auto"/>
        </w:rPr>
      </w:pPr>
      <w:r>
        <w:rPr>
          <w:rFonts w:ascii="Times New Roman" w:cs="Times New Roman" w:eastAsia="Times New Roman" w:hAnsi="Times New Roman"/>
          <w:sz w:val="14"/>
          <w:szCs w:val="14"/>
          <w:b w:val="1"/>
          <w:bCs w:val="1"/>
          <w:color w:val="auto"/>
        </w:rPr>
        <w:t>Issued and</w:t>
      </w:r>
    </w:p>
    <w:p>
      <w:pPr>
        <w:spacing w:after="0" w:line="231" w:lineRule="auto"/>
        <w:rPr>
          <w:sz w:val="20"/>
          <w:szCs w:val="20"/>
          <w:color w:val="auto"/>
        </w:rPr>
      </w:pPr>
      <w:r>
        <w:rPr>
          <w:rFonts w:ascii="Times New Roman" w:cs="Times New Roman" w:eastAsia="Times New Roman" w:hAnsi="Times New Roman"/>
          <w:sz w:val="14"/>
          <w:szCs w:val="14"/>
          <w:b w:val="1"/>
          <w:bCs w:val="1"/>
          <w:color w:val="auto"/>
        </w:rPr>
        <w:t>outstanding</w:t>
      </w:r>
    </w:p>
    <w:p>
      <w:pPr>
        <w:spacing w:after="0" w:line="1" w:lineRule="exact"/>
        <w:rPr>
          <w:sz w:val="20"/>
          <w:szCs w:val="20"/>
          <w:color w:val="auto"/>
        </w:rPr>
      </w:pPr>
    </w:p>
    <w:p>
      <w:pPr>
        <w:sectPr>
          <w:pgSz w:w="11900" w:h="16838" w:orient="portrait"/>
          <w:cols w:equalWidth="0" w:num="2">
            <w:col w:w="8380" w:space="560"/>
            <w:col w:w="2480"/>
          </w:cols>
          <w:pgMar w:left="240" w:top="337" w:right="239" w:bottom="1440" w:gutter="0" w:footer="0" w:header="0"/>
          <w:type w:val="continuous"/>
        </w:sectPr>
      </w:pPr>
    </w:p>
    <w:tbl>
      <w:tblPr>
        <w:tblLayout w:type="fixed"/>
        <w:tblInd w:w="1380" w:type="dxa"/>
        <w:tblCellMar>
          <w:top w:w="0" w:type="dxa"/>
          <w:left w:w="0" w:type="dxa"/>
          <w:bottom w:w="0" w:type="dxa"/>
          <w:right w:w="0" w:type="dxa"/>
        </w:tblCellMar>
      </w:tblPr>
      <w:tr>
        <w:trPr>
          <w:trHeight w:val="191"/>
        </w:trPr>
        <w:tc>
          <w:tcPr>
            <w:tcW w:w="6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Balance at December 31, 2015</w:t>
            </w: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2,411,107</w:t>
            </w:r>
          </w:p>
        </w:tc>
        <w:tc>
          <w:tcPr>
            <w:tcW w:w="220" w:type="dxa"/>
            <w:vAlign w:val="bottom"/>
          </w:tcPr>
          <w:p>
            <w:pPr>
              <w:spacing w:after="0"/>
              <w:rPr>
                <w:sz w:val="16"/>
                <w:szCs w:val="16"/>
                <w:color w:val="auto"/>
              </w:rPr>
            </w:pP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10,000,000</w:t>
            </w:r>
          </w:p>
        </w:tc>
        <w:tc>
          <w:tcPr>
            <w:tcW w:w="40" w:type="dxa"/>
            <w:vAlign w:val="bottom"/>
          </w:tcPr>
          <w:p>
            <w:pPr>
              <w:spacing w:after="0"/>
              <w:rPr>
                <w:sz w:val="16"/>
                <w:szCs w:val="16"/>
                <w:color w:val="auto"/>
              </w:rPr>
            </w:pPr>
          </w:p>
        </w:tc>
      </w:tr>
      <w:tr>
        <w:trPr>
          <w:trHeight w:val="234"/>
        </w:trPr>
        <w:tc>
          <w:tcPr>
            <w:tcW w:w="6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Issued</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r>
      <w:tr>
        <w:trPr>
          <w:trHeight w:val="191"/>
        </w:trPr>
        <w:tc>
          <w:tcPr>
            <w:tcW w:w="6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Balance at December 31, 2016</w:t>
            </w: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2,419,107</w:t>
            </w:r>
          </w:p>
        </w:tc>
        <w:tc>
          <w:tcPr>
            <w:tcW w:w="220" w:type="dxa"/>
            <w:vAlign w:val="bottom"/>
          </w:tcPr>
          <w:p>
            <w:pPr>
              <w:spacing w:after="0"/>
              <w:rPr>
                <w:sz w:val="16"/>
                <w:szCs w:val="16"/>
                <w:color w:val="auto"/>
              </w:rPr>
            </w:pPr>
          </w:p>
        </w:tc>
        <w:tc>
          <w:tcPr>
            <w:tcW w:w="1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10,000,000</w:t>
            </w:r>
          </w:p>
        </w:tc>
        <w:tc>
          <w:tcPr>
            <w:tcW w:w="40" w:type="dxa"/>
            <w:vAlign w:val="bottom"/>
          </w:tcPr>
          <w:p>
            <w:pPr>
              <w:spacing w:after="0"/>
              <w:rPr>
                <w:sz w:val="16"/>
                <w:szCs w:val="16"/>
                <w:color w:val="auto"/>
              </w:rPr>
            </w:pPr>
          </w:p>
        </w:tc>
      </w:tr>
      <w:tr>
        <w:trPr>
          <w:trHeight w:val="234"/>
        </w:trPr>
        <w:tc>
          <w:tcPr>
            <w:tcW w:w="6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Issued</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r>
      <w:tr>
        <w:trPr>
          <w:trHeight w:val="191"/>
        </w:trPr>
        <w:tc>
          <w:tcPr>
            <w:tcW w:w="6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Balance at December 31, 2017</w:t>
            </w: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2,426,107</w:t>
            </w:r>
          </w:p>
        </w:tc>
        <w:tc>
          <w:tcPr>
            <w:tcW w:w="220" w:type="dxa"/>
            <w:vAlign w:val="bottom"/>
          </w:tcPr>
          <w:p>
            <w:pPr>
              <w:spacing w:after="0"/>
              <w:rPr>
                <w:sz w:val="16"/>
                <w:szCs w:val="16"/>
                <w:color w:val="auto"/>
              </w:rPr>
            </w:pPr>
          </w:p>
        </w:tc>
        <w:tc>
          <w:tcPr>
            <w:tcW w:w="1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10,000,000</w:t>
            </w:r>
          </w:p>
        </w:tc>
        <w:tc>
          <w:tcPr>
            <w:tcW w:w="40" w:type="dxa"/>
            <w:vAlign w:val="bottom"/>
          </w:tcPr>
          <w:p>
            <w:pPr>
              <w:spacing w:after="0"/>
              <w:rPr>
                <w:sz w:val="16"/>
                <w:szCs w:val="16"/>
                <w:color w:val="auto"/>
              </w:rPr>
            </w:pPr>
          </w:p>
        </w:tc>
      </w:tr>
      <w:tr>
        <w:trPr>
          <w:trHeight w:val="216"/>
        </w:trPr>
        <w:tc>
          <w:tcPr>
            <w:tcW w:w="6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 conversion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2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(10,000,000)</w:t>
            </w:r>
          </w:p>
        </w:tc>
      </w:tr>
      <w:tr>
        <w:trPr>
          <w:trHeight w:val="234"/>
        </w:trPr>
        <w:tc>
          <w:tcPr>
            <w:tcW w:w="6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Issued</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9,450</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12,435,557</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8" w:lineRule="exact"/>
        <w:rPr>
          <w:sz w:val="20"/>
          <w:szCs w:val="20"/>
          <w:color w:val="auto"/>
        </w:rPr>
      </w:pPr>
    </w:p>
    <w:p>
      <w:pPr>
        <w:jc w:val="both"/>
        <w:ind w:firstLine="119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Class A and Class B common stock. </w:t>
      </w:r>
      <w:r>
        <w:rPr>
          <w:rFonts w:ascii="Times New Roman" w:cs="Times New Roman" w:eastAsia="Times New Roman" w:hAnsi="Times New Roman"/>
          <w:sz w:val="18"/>
          <w:szCs w:val="18"/>
          <w:color w:val="auto"/>
        </w:rPr>
        <w:t>At our 2018 annual meeting of stockholders held May 23, 2018, our stockholders approved our second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and restated certificate of incorporation, which among other things added a right for each holder of shares of our Class B common stock, at its option, to convert any or all of those shares into the same number of shares of our Class A common stock. Previously, shares of our Class B common stock were convertible into the same number of Class A common shares only under certain specified conditions. The shares of our Class A and Class B common stock were otherwise identical in all respects, except for certain voting rights in which holders of our shares of Class B common stock were entitled to ten votes per share for election of our directors and one vote per share on all other matters presented to our stockholders for their approval. Holders of our shares of Class A common stock are entitled to one vote per share on all matters. Our second amended and restated certificate of incorporation became effective on July 17, 2018 when we filed such certificate with the Delaware Secretary of State. Immediately after such effectiveness, NL, which owned all of the 10,000,000 issued and outstanding shares of our Class B common stock, converted such Class B shares into 10,000,000 shares of our Class A common stock. This conversion eliminated the dual-class voting structure with respect to election of our directors, providing for equal voting rights with respect to the election of directors for all shares of common stock and providing for uniform and equivalent corporate governance rights to all holders of our common stock. The rights of holders of Class A common stock were not otherwise affected, and the conversion did not affect the calculation of our earnings per share and had no impact on our consolidated financial position, results of operations or liquidity. The second amended and restated certificate of incorporation did not permit the reissuance or resale of any of the shares of Class B common stock which were converted. On November 5, 2018, upon the filing of a Certificate of Retirement with respect to the shares of Class B common stock with the Delaware Secretary of State, the shares of Class B common stock were retired, and our second amended and restated certificate of incorporation was amended to eliminate all references to the Class B common stock. Following the conversion and subsequent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39" w:name="page40"/>
    <w:bookmarkEnd w:id="39"/>
    <w:p>
      <w:pPr>
        <w:jc w:val="both"/>
        <w:spacing w:after="0" w:line="282" w:lineRule="auto"/>
        <w:rPr>
          <w:sz w:val="20"/>
          <w:szCs w:val="20"/>
          <w:color w:val="auto"/>
        </w:rPr>
      </w:pPr>
      <w:r>
        <w:rPr>
          <w:rFonts w:ascii="Times New Roman" w:cs="Times New Roman" w:eastAsia="Times New Roman" w:hAnsi="Times New Roman"/>
          <w:sz w:val="18"/>
          <w:szCs w:val="18"/>
          <w:color w:val="auto"/>
        </w:rPr>
        <w:t>retirement of our shares of Class B common stock, our authorized capital stock consists of 20,000,000 shares of Class A common stock and 1,000 shares of preferred stock.</w:t>
      </w:r>
    </w:p>
    <w:p>
      <w:pPr>
        <w:spacing w:after="0" w:line="160" w:lineRule="exact"/>
        <w:rPr>
          <w:sz w:val="20"/>
          <w:szCs w:val="20"/>
          <w:color w:val="auto"/>
        </w:rPr>
      </w:pPr>
    </w:p>
    <w:p>
      <w:pPr>
        <w:jc w:val="both"/>
        <w:ind w:firstLine="119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Share repurchases and cancellations. </w:t>
      </w:r>
      <w:r>
        <w:rPr>
          <w:rFonts w:ascii="Times New Roman" w:cs="Times New Roman" w:eastAsia="Times New Roman" w:hAnsi="Times New Roman"/>
          <w:sz w:val="18"/>
          <w:szCs w:val="18"/>
          <w:color w:val="auto"/>
        </w:rPr>
        <w:t>Prior to 2016, our board of directors authorized various repurchases of shares of our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in open market transactions, including block purchases, or in privately-negotiated transactions at unspecified prices and over an unspecified period of time. We may repurchase our common stock from time to time as market conditions permit. The stock repurchase program does not include specific price targets or timetables and may be suspended at any time. Depending on market conditions, we may terminate the program prior to its completion. We will generally use cash on hand to acquire the shares. Repurchased shares will be added to our treasury and cancelled. We made no treasury purchases during 2016, 2017 or 2018 and at December 31, 2018, approximately 678,000 shares were available for purchase under these authorizations.</w:t>
      </w:r>
    </w:p>
    <w:p>
      <w:pPr>
        <w:spacing w:after="0" w:line="183" w:lineRule="exact"/>
        <w:rPr>
          <w:sz w:val="20"/>
          <w:szCs w:val="20"/>
          <w:color w:val="auto"/>
        </w:rPr>
      </w:pPr>
    </w:p>
    <w:p>
      <w:pPr>
        <w:jc w:val="both"/>
        <w:ind w:firstLine="119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Incentive compensation plan. </w:t>
      </w:r>
      <w:r>
        <w:rPr>
          <w:rFonts w:ascii="Times New Roman" w:cs="Times New Roman" w:eastAsia="Times New Roman" w:hAnsi="Times New Roman"/>
          <w:sz w:val="18"/>
          <w:szCs w:val="18"/>
          <w:color w:val="auto"/>
        </w:rPr>
        <w:t>We have a share based incentive compensation plan pursuant to which an aggregate of up to 200,000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common stock can be awarded to non-employee members of our board of directors. All of the Class A common shares we issued in 2016, 2017 and 2018 were issued under this plan. At December 31, 2018, 156,550 shares were available for award under this plan.</w:t>
      </w:r>
    </w:p>
    <w:p>
      <w:pPr>
        <w:spacing w:after="0" w:line="174" w:lineRule="exact"/>
        <w:rPr>
          <w:sz w:val="20"/>
          <w:szCs w:val="20"/>
          <w:color w:val="auto"/>
        </w:rPr>
      </w:pPr>
    </w:p>
    <w:p>
      <w:pPr>
        <w:jc w:val="both"/>
        <w:ind w:firstLine="119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We paid regular quarterly dividends of $.05 per share during 2016, 2017 and 2018. Declaration and payment of future dividends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amount thereof, if any, is discretionary and dependent upon our results of operations, financial condition, cash requirements for our businesses, contractual requirements and restrictions and other factors deemed relevant by our board of directors.</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Related party transactions:</w:t>
      </w:r>
    </w:p>
    <w:p>
      <w:pPr>
        <w:spacing w:after="0" w:line="121" w:lineRule="exact"/>
        <w:rPr>
          <w:sz w:val="20"/>
          <w:szCs w:val="20"/>
          <w:color w:val="auto"/>
        </w:rPr>
      </w:pPr>
    </w:p>
    <w:p>
      <w:pPr>
        <w:jc w:val="both"/>
        <w:ind w:firstLine="1194"/>
        <w:spacing w:after="0" w:line="254" w:lineRule="auto"/>
        <w:rPr>
          <w:sz w:val="20"/>
          <w:szCs w:val="20"/>
          <w:color w:val="auto"/>
        </w:rPr>
      </w:pPr>
      <w:r>
        <w:rPr>
          <w:rFonts w:ascii="Times New Roman" w:cs="Times New Roman" w:eastAsia="Times New Roman" w:hAnsi="Times New Roman"/>
          <w:sz w:val="18"/>
          <w:szCs w:val="18"/>
          <w:color w:val="auto"/>
        </w:rPr>
        <w:t>We may be deemed to be controlled by Ms. Lisa Simmons and Ms. Serena Connelly. See Note 1. Corporations that may be deemed to be controlled by or affiliated with these individuals sometimes engage in (a) intercorporate transactions such as guarantees, management and expense sharing arrangements, shared fee arrangements, joint ventures, partnerships, loans, options, advances of funds on open account, and sales, leases and exchanges of assets, including securities issued by both related and unrelated parties and (b) common investment and acquisition strategies, business combinations, reorganizations, recapitalizations, securities repurchases, and purchases and sales (and other acquisitions and dispositions) of subsidiaries, divisions or other business units, which transactions have involved both related and unrelated parties and have included transactions that resulted in the acquisition by one related party of a publicly-held minority equity interest in another related party. We continuously consider, review and evaluate, and understand that Contran and related entities consider, review and evaluate such transactions. Depending upon the business, tax and other objectives then relevant, it is possible that we might be a party to one or more such transactions in the future.</w:t>
      </w:r>
    </w:p>
    <w:p>
      <w:pPr>
        <w:spacing w:after="0" w:line="189" w:lineRule="exact"/>
        <w:rPr>
          <w:sz w:val="20"/>
          <w:szCs w:val="20"/>
          <w:color w:val="auto"/>
        </w:rPr>
      </w:pPr>
    </w:p>
    <w:p>
      <w:pPr>
        <w:jc w:val="both"/>
        <w:ind w:firstLine="1194"/>
        <w:spacing w:after="0" w:line="253" w:lineRule="auto"/>
        <w:rPr>
          <w:sz w:val="20"/>
          <w:szCs w:val="20"/>
          <w:color w:val="auto"/>
        </w:rPr>
      </w:pPr>
      <w:r>
        <w:rPr>
          <w:rFonts w:ascii="Times New Roman" w:cs="Times New Roman" w:eastAsia="Times New Roman" w:hAnsi="Times New Roman"/>
          <w:sz w:val="18"/>
          <w:szCs w:val="18"/>
          <w:color w:val="auto"/>
        </w:rPr>
        <w:t>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While certain of these loans may be of a lesser credit quality than cash equivalent instruments otherwise available to us, we believe we have evaluated the credit risks in the terms of the applicable loans. In this regard, in August 2016, we entered into an unsecured revolving demand promissory note with Valhi whereby we have agreed to loan Valhi up to $40 million. Our loan to Valhi, as amended, bears interest at prime plus 1.00%, payable quarterly, with all principal due on demand, but in any event no earlier than December 31, 2020. Loans made to Valhi at any time under the agreement are at our discretion. At December 31, 2017 and 2018, the outstanding principal balance receivable from Valhi under the promissory note was $38.2 million and $34.0 million, respectively. Interest income (including unused commitment fees) on our loan to Valhi was $0.2 million in 2016, $1.8 million in 2017 and $2.1 million in 2018. On December 31, 2018 (one day after our 2018 fiscal year, but on the last day of the fiscal year for Valhi), we loaned $6.0 million to Valhi, increasing the outstanding principal balance receivable from Valhi under the promissory note to $40.0 million.</w:t>
      </w:r>
    </w:p>
    <w:p>
      <w:pPr>
        <w:spacing w:after="0" w:line="193" w:lineRule="exact"/>
        <w:rPr>
          <w:sz w:val="20"/>
          <w:szCs w:val="20"/>
          <w:color w:val="auto"/>
        </w:rPr>
      </w:pPr>
    </w:p>
    <w:p>
      <w:pPr>
        <w:jc w:val="both"/>
        <w:ind w:firstLine="1194"/>
        <w:spacing w:after="0" w:line="266" w:lineRule="auto"/>
        <w:rPr>
          <w:sz w:val="20"/>
          <w:szCs w:val="20"/>
          <w:color w:val="auto"/>
        </w:rPr>
      </w:pPr>
      <w:r>
        <w:rPr>
          <w:rFonts w:ascii="Times New Roman" w:cs="Times New Roman" w:eastAsia="Times New Roman" w:hAnsi="Times New Roman"/>
          <w:sz w:val="18"/>
          <w:szCs w:val="18"/>
          <w:color w:val="auto"/>
        </w:rPr>
        <w:t>Under the terms of an Intercorporate Service Agreement (“ISA”) with Contran, employees of Contran perform certain management, tax planning, financial, legal and administrative services for us on a fee basis. Such fees are based upon estimates of time devoted to our affairs by individual Contran employees and the compensation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0" w:name="page41"/>
    <w:bookmarkEnd w:id="40"/>
    <w:p>
      <w:pPr>
        <w:jc w:val="both"/>
        <w:spacing w:after="0" w:line="261" w:lineRule="auto"/>
        <w:rPr>
          <w:sz w:val="20"/>
          <w:szCs w:val="20"/>
          <w:color w:val="auto"/>
        </w:rPr>
      </w:pPr>
      <w:r>
        <w:rPr>
          <w:rFonts w:ascii="Times New Roman" w:cs="Times New Roman" w:eastAsia="Times New Roman" w:hAnsi="Times New Roman"/>
          <w:sz w:val="18"/>
          <w:szCs w:val="18"/>
          <w:color w:val="auto"/>
        </w:rPr>
        <w:t>of such persons. Because of the large number of companies affiliated with Contran, we believe we benefit from cost savings and economies of scale gained by not having certain management, financial and administrative staffs duplicated at each entity, thus allowing certain individuals to provide services to multiple companies but only be compensated by one entity. Fees pursuant to these agreements aggregated $3.1 million in 2016, $2.8 million in 2017 and $3.5 million in 2018.</w:t>
      </w:r>
    </w:p>
    <w:p>
      <w:pPr>
        <w:spacing w:after="0" w:line="180" w:lineRule="exact"/>
        <w:rPr>
          <w:sz w:val="20"/>
          <w:szCs w:val="20"/>
          <w:color w:val="auto"/>
        </w:rPr>
      </w:pPr>
    </w:p>
    <w:p>
      <w:pPr>
        <w:jc w:val="both"/>
        <w:ind w:firstLine="1194"/>
        <w:spacing w:after="0" w:line="253" w:lineRule="auto"/>
        <w:rPr>
          <w:sz w:val="20"/>
          <w:szCs w:val="20"/>
          <w:color w:val="auto"/>
        </w:rPr>
      </w:pPr>
      <w:r>
        <w:rPr>
          <w:rFonts w:ascii="Times New Roman" w:cs="Times New Roman" w:eastAsia="Times New Roman" w:hAnsi="Times New Roman"/>
          <w:sz w:val="18"/>
          <w:szCs w:val="18"/>
          <w:color w:val="auto"/>
        </w:rPr>
        <w:t>Contran and certain of its subsidiaries and affiliates, including us, purchase certain of their insurance policies as a group, with the costs of the jointly-owned policies being apportioned among the participating companies. Tall Pines Insurance Company (“Tall Pines”) and EWI RE, Inc. (“EWI”), each subsidiaries of Valhi, provide for or broker certain insurance policies for Contran and certain of its subsidiaries and affiliates, including us. Tall Pines purchases reinsurance from third-party insurance carriers with an A.M. Best Company rating of generally at least A-(Excellent) for substantially all of the risks it underwrites. Consistent with insurance industry practices, Tall Pines and EWI receive commissions from the insurance and reinsurance underwriters and/or assess fees for the policies that they provide or broker. The aggregate premiums we paid to Tall Pines and EWI were approximately $1.7 million in 2016, $2.2 million in 2017 and $2.0 million in 2018. These amounts principally represent payments for insurance premiums, which include premiums or fees paid to Tall Pines or fees paid to EWI. These amounts also include payments to insurers or reinsurers through EWI for the reimbursement of claims within our applicable deductible or retention ranges that such insurers or reinsurers paid to third parties on our behalf, as well as amounts for claims and risk management services and various other third-party fees and expenses incurred by the program. We expect that these relationships with Tall Pines and EWI will continue in 2019.</w:t>
      </w:r>
    </w:p>
    <w:p>
      <w:pPr>
        <w:spacing w:after="0" w:line="193" w:lineRule="exact"/>
        <w:rPr>
          <w:sz w:val="20"/>
          <w:szCs w:val="20"/>
          <w:color w:val="auto"/>
        </w:rPr>
      </w:pPr>
    </w:p>
    <w:p>
      <w:pPr>
        <w:jc w:val="both"/>
        <w:ind w:firstLine="1194"/>
        <w:spacing w:after="0" w:line="255" w:lineRule="auto"/>
        <w:rPr>
          <w:sz w:val="20"/>
          <w:szCs w:val="20"/>
          <w:color w:val="auto"/>
        </w:rPr>
      </w:pPr>
      <w:r>
        <w:rPr>
          <w:rFonts w:ascii="Times New Roman" w:cs="Times New Roman" w:eastAsia="Times New Roman" w:hAnsi="Times New Roman"/>
          <w:sz w:val="18"/>
          <w:szCs w:val="18"/>
          <w:color w:val="auto"/>
        </w:rPr>
        <w:t>With respect to certain of such jointly-owned insurance policies, it is possible that unusually large losses incurred by one or more insureds during a given policy period could leave the other participating companies without adequate coverage under that policy for the balance of the policy period. As a result, and in the event that the available coverage under a particular policy would become exhausted by one or more claims, Contran and certain of its subsidiaries and affiliates, including us, have entered into a loss sharing agreement under which any uninsured loss arising because the available coverage had been exhausted by one or more claims will be shared ratably amongst those entities that had submitted claims under the relevant policy. We believe the benefits in the form of reduced premiums and broader coverage associated with the group coverage for such policies justifies the risk associated with the potential for any uninsured loss.</w:t>
      </w:r>
    </w:p>
    <w:p>
      <w:pPr>
        <w:spacing w:after="0" w:line="3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Note 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Commitments and contingencies:</w:t>
      </w:r>
    </w:p>
    <w:p>
      <w:pPr>
        <w:spacing w:after="0" w:line="119" w:lineRule="exact"/>
        <w:rPr>
          <w:sz w:val="20"/>
          <w:szCs w:val="20"/>
          <w:color w:val="auto"/>
        </w:rPr>
      </w:pPr>
    </w:p>
    <w:p>
      <w:pPr>
        <w:jc w:val="both"/>
        <w:ind w:firstLine="1194"/>
        <w:spacing w:after="0" w:line="267" w:lineRule="auto"/>
        <w:rPr>
          <w:sz w:val="20"/>
          <w:szCs w:val="20"/>
          <w:color w:val="auto"/>
        </w:rPr>
      </w:pP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We are involved, from time to time, in various environmental, contractual, product liability, patent (or intellectual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employment and other claims and disputes incidental to our business. We currently believe the disposition of all claims and disputes, individually or in the aggregate, should not have a material long-term adverse effect on our consolidated financial condition, results of operations or liquidity.</w:t>
      </w:r>
    </w:p>
    <w:p>
      <w:pPr>
        <w:spacing w:after="0" w:line="174" w:lineRule="exact"/>
        <w:rPr>
          <w:sz w:val="20"/>
          <w:szCs w:val="20"/>
          <w:color w:val="auto"/>
        </w:rPr>
      </w:pPr>
    </w:p>
    <w:p>
      <w:pPr>
        <w:jc w:val="both"/>
        <w:ind w:firstLine="1194"/>
        <w:spacing w:after="0" w:line="259" w:lineRule="auto"/>
        <w:rPr>
          <w:sz w:val="20"/>
          <w:szCs w:val="20"/>
          <w:color w:val="auto"/>
        </w:rPr>
      </w:pPr>
      <w:r>
        <w:rPr>
          <w:rFonts w:ascii="Times New Roman" w:cs="Times New Roman" w:eastAsia="Times New Roman" w:hAnsi="Times New Roman"/>
          <w:sz w:val="18"/>
          <w:szCs w:val="18"/>
          <w:i w:val="1"/>
          <w:iCs w:val="1"/>
          <w:color w:val="auto"/>
        </w:rPr>
        <w:t>Environmental matters and litigation</w:t>
      </w:r>
      <w:r>
        <w:rPr>
          <w:rFonts w:ascii="Times New Roman" w:cs="Times New Roman" w:eastAsia="Times New Roman" w:hAnsi="Times New Roman"/>
          <w:sz w:val="18"/>
          <w:szCs w:val="18"/>
          <w:color w:val="auto"/>
        </w:rPr>
        <w:t>. Our operations are governed by various federal, state and local environmental laws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Our policy is to comply with environmental laws and regulations at all of our facilities and to continually strive to improve environmental performance in association with applicable industry initiatives. We believe that our operations are in substantial compliance with applicable requirements of environmental laws. From time to time, we may be subject to environmental regulatory enforcement under various statutes, resolution of which typically involves the establishment of compliance programs.</w:t>
      </w:r>
    </w:p>
    <w:p>
      <w:pPr>
        <w:spacing w:after="0" w:line="180" w:lineRule="exact"/>
        <w:rPr>
          <w:sz w:val="20"/>
          <w:szCs w:val="20"/>
          <w:color w:val="auto"/>
        </w:rPr>
      </w:pPr>
    </w:p>
    <w:p>
      <w:pPr>
        <w:jc w:val="both"/>
        <w:ind w:firstLine="119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From time to time, we undergo examinations of our income tax returns, and tax authorities have or may propose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deficiencies. We believe that we have adequately provided accruals for additional income taxes and related interest expense which may ultimately result from such examinations and we believe that the ultimate disposition of all such examinations should not have a material adverse effect on our consolidated financial position, results of operations or liquidity.</w:t>
      </w:r>
    </w:p>
    <w:p>
      <w:pPr>
        <w:spacing w:after="0" w:line="182" w:lineRule="exact"/>
        <w:rPr>
          <w:sz w:val="20"/>
          <w:szCs w:val="20"/>
          <w:color w:val="auto"/>
        </w:rPr>
      </w:pPr>
    </w:p>
    <w:p>
      <w:pPr>
        <w:jc w:val="both"/>
        <w:ind w:firstLine="1194"/>
        <w:spacing w:after="0" w:line="266" w:lineRule="auto"/>
        <w:rPr>
          <w:sz w:val="20"/>
          <w:szCs w:val="20"/>
          <w:color w:val="auto"/>
        </w:rPr>
      </w:pPr>
      <w:r>
        <w:rPr>
          <w:rFonts w:ascii="Times New Roman" w:cs="Times New Roman" w:eastAsia="Times New Roman" w:hAnsi="Times New Roman"/>
          <w:sz w:val="18"/>
          <w:szCs w:val="18"/>
          <w:color w:val="auto"/>
        </w:rPr>
        <w:t>We are a party to a tax sharing agreement with Contran and NL providing for the allocation of tax liabilities and tax payments as described in Note 1. Under applicable law, we, as well as every other member of the Contran Tax Group, are each jointly and severally liable for the aggregate federal income tax liability of Contran and the other companies included in the Contran Tax Group for all periods in which we are included in the Contran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1" w:name="page42"/>
    <w:bookmarkEnd w:id="4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Tax Group. NL has agreed, however, to indemnify us for any liability for income taxes of the Contran Tax Group in excess of our tax liability in accordance with the tax sharing agreement.</w:t>
      </w:r>
    </w:p>
    <w:p>
      <w:pPr>
        <w:spacing w:after="0" w:line="160" w:lineRule="exact"/>
        <w:rPr>
          <w:sz w:val="20"/>
          <w:szCs w:val="20"/>
          <w:color w:val="auto"/>
        </w:rPr>
      </w:pPr>
    </w:p>
    <w:p>
      <w:pPr>
        <w:jc w:val="both"/>
        <w:ind w:firstLine="1194"/>
        <w:spacing w:after="0" w:line="261" w:lineRule="auto"/>
        <w:rPr>
          <w:sz w:val="20"/>
          <w:szCs w:val="20"/>
          <w:color w:val="auto"/>
        </w:rPr>
      </w:pPr>
      <w:r>
        <w:rPr>
          <w:rFonts w:ascii="Times New Roman" w:cs="Times New Roman" w:eastAsia="Times New Roman" w:hAnsi="Times New Roman"/>
          <w:sz w:val="18"/>
          <w:szCs w:val="18"/>
          <w:i w:val="1"/>
          <w:iCs w:val="1"/>
          <w:color w:val="auto"/>
        </w:rPr>
        <w:t>Concentration of credit risk</w:t>
      </w:r>
      <w:r>
        <w:rPr>
          <w:rFonts w:ascii="Times New Roman" w:cs="Times New Roman" w:eastAsia="Times New Roman" w:hAnsi="Times New Roman"/>
          <w:sz w:val="18"/>
          <w:szCs w:val="18"/>
          <w:color w:val="auto"/>
        </w:rPr>
        <w:t>. Our products are sold primarily in North America to original equipment manufacturers. Our ten largest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accounted for approximately 46% of sales in 2016 and 44% in each of 2017 and 2018. One customer of the Security Products segment accounted for 14% of consolidated sales in 2016, 16% in 2017 and 13% in 2018. Another customer of the Security Products segment accounted for approximately 11% of consolidated sales in 2016.</w:t>
      </w:r>
    </w:p>
    <w:p>
      <w:pPr>
        <w:spacing w:after="0" w:line="182" w:lineRule="exact"/>
        <w:rPr>
          <w:sz w:val="20"/>
          <w:szCs w:val="20"/>
          <w:color w:val="auto"/>
        </w:rPr>
      </w:pPr>
    </w:p>
    <w:p>
      <w:pPr>
        <w:jc w:val="both"/>
        <w:ind w:firstLine="1194"/>
        <w:spacing w:after="0" w:line="282" w:lineRule="auto"/>
        <w:rPr>
          <w:sz w:val="20"/>
          <w:szCs w:val="20"/>
          <w:color w:val="auto"/>
        </w:rPr>
      </w:pPr>
      <w:r>
        <w:rPr>
          <w:rFonts w:ascii="Times New Roman" w:cs="Times New Roman" w:eastAsia="Times New Roman" w:hAnsi="Times New Roman"/>
          <w:sz w:val="18"/>
          <w:szCs w:val="18"/>
          <w:color w:val="auto"/>
        </w:rPr>
        <w:t>Rent expense was approximately $0.2 million in each of 2016 and 2017 and $0.1 million in 2018. At December 31, 2018, future minimum rentals under non-cancellable operating leases having an initial or remaining term of more than one year were as follows:</w:t>
      </w:r>
    </w:p>
    <w:p>
      <w:pPr>
        <w:spacing w:after="0" w:line="304" w:lineRule="exact"/>
        <w:rPr>
          <w:sz w:val="20"/>
          <w:szCs w:val="20"/>
          <w:color w:val="auto"/>
        </w:rPr>
      </w:pPr>
    </w:p>
    <w:tbl>
      <w:tblPr>
        <w:tblLayout w:type="fixed"/>
        <w:tblInd w:w="3420" w:type="dxa"/>
        <w:tblCellMar>
          <w:top w:w="0" w:type="dxa"/>
          <w:left w:w="0" w:type="dxa"/>
          <w:bottom w:w="0" w:type="dxa"/>
          <w:right w:w="0" w:type="dxa"/>
        </w:tblCellMar>
      </w:tblPr>
      <w:tr>
        <w:trPr>
          <w:trHeight w:val="173"/>
        </w:trPr>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60" w:type="dxa"/>
            <w:vAlign w:val="bottom"/>
          </w:tcPr>
          <w:p>
            <w:pPr>
              <w:spacing w:after="0"/>
              <w:rPr>
                <w:sz w:val="15"/>
                <w:szCs w:val="15"/>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24"/>
        </w:trPr>
        <w:tc>
          <w:tcPr>
            <w:tcW w:w="27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tcBorders>
              <w:top w:val="single" w:sz="8" w:color="auto"/>
            </w:tcBorders>
          </w:tcPr>
          <w:p>
            <w:pPr>
              <w:jc w:val="right"/>
              <w:ind w:right="154"/>
              <w:spacing w:after="0" w:line="124"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0"/>
                <w:szCs w:val="10"/>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2024 and thereafter</w:t>
            </w:r>
          </w:p>
        </w:tc>
        <w:tc>
          <w:tcPr>
            <w:tcW w:w="260" w:type="dxa"/>
            <w:vAlign w:val="bottom"/>
          </w:tcPr>
          <w:p>
            <w:pPr>
              <w:spacing w:after="0"/>
              <w:rPr>
                <w:sz w:val="20"/>
                <w:szCs w:val="20"/>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r>
      <w:tr>
        <w:trPr>
          <w:trHeight w:val="20"/>
        </w:trPr>
        <w:tc>
          <w:tcPr>
            <w:tcW w:w="2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Note 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instruments: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presents the financial instruments that are not carried at fair value but which require fair value disclosure:</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3"/>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3"/>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2017</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2018</w:t>
            </w:r>
          </w:p>
        </w:tc>
        <w:tc>
          <w:tcPr>
            <w:tcW w:w="7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320" w:type="dxa"/>
            <w:vAlign w:val="bottom"/>
          </w:tcPr>
          <w:p>
            <w:pPr>
              <w:spacing w:after="0"/>
              <w:rPr>
                <w:sz w:val="10"/>
                <w:szCs w:val="10"/>
                <w:color w:val="auto"/>
              </w:rPr>
            </w:pPr>
          </w:p>
        </w:tc>
        <w:tc>
          <w:tcPr>
            <w:tcW w:w="700" w:type="dxa"/>
            <w:vAlign w:val="bottom"/>
          </w:tcPr>
          <w:p>
            <w:pPr>
              <w:jc w:val="right"/>
              <w:ind w:right="298"/>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320" w:type="dxa"/>
            <w:vAlign w:val="bottom"/>
          </w:tcPr>
          <w:p>
            <w:pPr>
              <w:spacing w:after="0"/>
              <w:rPr>
                <w:sz w:val="10"/>
                <w:szCs w:val="10"/>
                <w:color w:val="auto"/>
              </w:rPr>
            </w:pPr>
          </w:p>
        </w:tc>
        <w:tc>
          <w:tcPr>
            <w:tcW w:w="700" w:type="dxa"/>
            <w:vAlign w:val="bottom"/>
          </w:tcPr>
          <w:p>
            <w:pPr>
              <w:jc w:val="center"/>
              <w:ind w:right="238"/>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15"/>
                <w:szCs w:val="15"/>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5"/>
                <w:szCs w:val="15"/>
                <w:color w:val="auto"/>
              </w:rPr>
            </w:pP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5"/>
                <w:szCs w:val="15"/>
                <w:color w:val="auto"/>
              </w:rPr>
            </w:pPr>
          </w:p>
        </w:tc>
        <w:tc>
          <w:tcPr>
            <w:tcW w:w="7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1"/>
        </w:trPr>
        <w:tc>
          <w:tcPr>
            <w:tcW w:w="5600" w:type="dxa"/>
            <w:vAlign w:val="bottom"/>
            <w:vMerge w:val="continue"/>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29,655</w:t>
            </w:r>
          </w:p>
        </w:tc>
        <w:tc>
          <w:tcPr>
            <w:tcW w:w="240" w:type="dxa"/>
            <w:vAlign w:val="bottom"/>
          </w:tcPr>
          <w:p>
            <w:pPr>
              <w:spacing w:after="0"/>
              <w:rPr>
                <w:sz w:val="16"/>
                <w:szCs w:val="16"/>
                <w:color w:val="auto"/>
              </w:rPr>
            </w:pPr>
          </w:p>
        </w:tc>
        <w:tc>
          <w:tcPr>
            <w:tcW w:w="320" w:type="dxa"/>
            <w:vAlign w:val="bottom"/>
            <w:tcBorders>
              <w:top w:val="single" w:sz="8" w:color="auto"/>
            </w:tcBorders>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29,655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45,414</w:t>
            </w:r>
          </w:p>
        </w:tc>
        <w:tc>
          <w:tcPr>
            <w:tcW w:w="240" w:type="dxa"/>
            <w:vAlign w:val="bottom"/>
          </w:tcPr>
          <w:p>
            <w:pPr>
              <w:spacing w:after="0"/>
              <w:rPr>
                <w:sz w:val="16"/>
                <w:szCs w:val="16"/>
                <w:color w:val="auto"/>
              </w:rPr>
            </w:pPr>
          </w:p>
        </w:tc>
        <w:tc>
          <w:tcPr>
            <w:tcW w:w="320" w:type="dxa"/>
            <w:vAlign w:val="bottom"/>
            <w:tcBorders>
              <w:top w:val="single" w:sz="8" w:color="auto"/>
            </w:tcBorders>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45,414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10,446</w:t>
            </w:r>
          </w:p>
        </w:tc>
        <w:tc>
          <w:tcPr>
            <w:tcW w:w="3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12,140</w:t>
            </w:r>
          </w:p>
        </w:tc>
        <w:tc>
          <w:tcPr>
            <w:tcW w:w="3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12,140</w:t>
            </w:r>
          </w:p>
        </w:tc>
        <w:tc>
          <w:tcPr>
            <w:tcW w:w="0" w:type="dxa"/>
            <w:vAlign w:val="bottom"/>
          </w:tcPr>
          <w:p>
            <w:pPr>
              <w:spacing w:after="0"/>
              <w:rPr>
                <w:sz w:val="1"/>
                <w:szCs w:val="1"/>
                <w:color w:val="auto"/>
              </w:rPr>
            </w:pPr>
          </w:p>
        </w:tc>
      </w:t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2,272</w:t>
            </w:r>
          </w:p>
        </w:tc>
        <w:tc>
          <w:tcPr>
            <w:tcW w:w="3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3,236</w:t>
            </w: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Due to their near-term maturities, the carrying amounts of accounts receivable and accounts payable are considered equivalent to fair value.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w:t>
      </w:r>
    </w:p>
    <w:p>
      <w:pPr>
        <w:spacing w:after="0" w:line="225" w:lineRule="exact"/>
        <w:rPr>
          <w:sz w:val="20"/>
          <w:szCs w:val="20"/>
          <w:color w:val="auto"/>
        </w:rPr>
      </w:pPr>
    </w:p>
    <w:p>
      <w:pPr>
        <w:jc w:val="both"/>
        <w:ind w:firstLine="598"/>
        <w:spacing w:after="0" w:line="255" w:lineRule="auto"/>
        <w:rPr>
          <w:sz w:val="20"/>
          <w:szCs w:val="20"/>
          <w:color w:val="auto"/>
        </w:rPr>
      </w:pPr>
      <w:r>
        <w:rPr>
          <w:rFonts w:ascii="Times New Roman" w:cs="Times New Roman" w:eastAsia="Times New Roman" w:hAnsi="Times New Roman"/>
          <w:sz w:val="18"/>
          <w:szCs w:val="18"/>
          <w:color w:val="auto"/>
        </w:rPr>
        <w:t xml:space="preserve">On January 1, 2018, we adopted ASU No.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for all contracts which were not completed as of January 1, 2018 using the modified retrospective method. Prior to adoption of this standard, we recorded sales when our products were shipped and title and other risks and rewards of ownership had passed to our customer, which was generally at the time of shipment (although in some instances shipping terms were FOB destination point, for which we did not recognize revenue until the product was received by our customer). Following adoption of this standard, we record sales when we satisfy our performance obligations to our customers by transferring control of our products to them, which we have determined is at the same point in time that we recognized revenue prior to adoption of this new standard. Accordingly, the adoption of Topic 606 as of January 1, 2018 did not have a material impact on our consolidated financial statements, and we believe adoption of this standard will have a minimal effect on our revenues on an ongoing basis. See Note 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Pending Adoption</w:t>
      </w:r>
    </w:p>
    <w:p>
      <w:pPr>
        <w:spacing w:after="0" w:line="225" w:lineRule="exact"/>
        <w:rPr>
          <w:sz w:val="20"/>
          <w:szCs w:val="20"/>
          <w:color w:val="auto"/>
        </w:rPr>
      </w:pPr>
    </w:p>
    <w:p>
      <w:pPr>
        <w:jc w:val="both"/>
        <w:ind w:firstLine="598"/>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is a comprehensive rewriting of the lease accounting guidance which aims to increase comparability and transparency with regard to lease transactions. The primary change for leases currently classified as operating leases is the balance sheet recognition of a lease asset for the right to use the underlying asset and a lease liability for the lessee’s obligation to make payments. The ASU, as amended, also requires increased qualitative disclosure about leases in addition to quantitative disclosures currently required. We will adopt ASU 2016-02 beginning in the first quarter of 2019. Due to our minimal utilization of lease financing, we have concluded that the adoption of this standard will not have a material effect on our consolidated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Quarterly results of operations (unaudited):</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5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Sept. 30</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Dec. 31</w:t>
            </w:r>
          </w:p>
        </w:tc>
        <w:tc>
          <w:tcPr>
            <w:tcW w:w="20" w:type="dxa"/>
            <w:vAlign w:val="bottom"/>
          </w:tcPr>
          <w:p>
            <w:pPr>
              <w:spacing w:after="0"/>
              <w:rPr>
                <w:sz w:val="12"/>
                <w:szCs w:val="12"/>
                <w:color w:val="auto"/>
              </w:rPr>
            </w:pPr>
          </w:p>
        </w:tc>
      </w:tr>
      <w:tr>
        <w:trPr>
          <w:trHeight w:val="184"/>
        </w:trPr>
        <w:tc>
          <w:tcPr>
            <w:tcW w:w="5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78"/>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27.0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5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6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5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5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432"/>
        </w:trPr>
        <w:tc>
          <w:tcPr>
            <w:tcW w:w="5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Basic and diluted earnings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r>
      <w:tr>
        <w:trPr>
          <w:trHeight w:val="33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5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6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5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6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5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432"/>
        </w:trPr>
        <w:tc>
          <w:tcPr>
            <w:tcW w:w="5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Basic and diluted earnings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bl>
    <w:p>
      <w:pPr>
        <w:spacing w:after="0" w:line="198" w:lineRule="exact"/>
        <w:rPr>
          <w:sz w:val="20"/>
          <w:szCs w:val="20"/>
          <w:color w:val="auto"/>
        </w:rPr>
      </w:pPr>
    </w:p>
    <w:p>
      <w:pPr>
        <w:jc w:val="both"/>
        <w:ind w:firstLine="1194"/>
        <w:spacing w:after="0" w:line="261" w:lineRule="auto"/>
        <w:rPr>
          <w:sz w:val="20"/>
          <w:szCs w:val="20"/>
          <w:color w:val="auto"/>
        </w:rPr>
      </w:pPr>
      <w:r>
        <w:rPr>
          <w:rFonts w:ascii="Times New Roman" w:cs="Times New Roman" w:eastAsia="Times New Roman" w:hAnsi="Times New Roman"/>
          <w:sz w:val="18"/>
          <w:szCs w:val="18"/>
          <w:color w:val="auto"/>
        </w:rPr>
        <w:t>During the fourth quarter of 2017, we recognized a non-cash deferred income tax benefit of $1.9 million related to the revaluation of our net deferred income tax liability resulting from the reduction in the U.S. federal corporate income tax rate enacted into law on December 22, 2017 (see Note 7). The sum of the quarterly per share amounts may not equal the annual per share amounts due to relative changes in the weighted-average number of shares used in the per share computations.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420"/>
          </w:cols>
          <w:pgMar w:left="240" w:top="335" w:right="2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SECOND AMENDED AND RESTATED AGREEMENT REGARDING SHARED INSURANCE</w:t>
      </w:r>
    </w:p>
    <w:p>
      <w:pPr>
        <w:spacing w:after="0" w:line="210" w:lineRule="exact"/>
        <w:rPr>
          <w:sz w:val="20"/>
          <w:szCs w:val="20"/>
          <w:color w:val="auto"/>
        </w:rPr>
      </w:pPr>
    </w:p>
    <w:p>
      <w:pPr>
        <w:ind w:right="1040"/>
        <w:spacing w:after="0" w:line="258" w:lineRule="auto"/>
        <w:rPr>
          <w:sz w:val="20"/>
          <w:szCs w:val="20"/>
          <w:color w:val="auto"/>
        </w:rPr>
      </w:pPr>
      <w:r>
        <w:rPr>
          <w:rFonts w:ascii="Times New Roman" w:cs="Times New Roman" w:eastAsia="Times New Roman" w:hAnsi="Times New Roman"/>
          <w:sz w:val="22"/>
          <w:szCs w:val="22"/>
          <w:color w:val="auto"/>
        </w:rPr>
        <w:t>This Second Amended and Restated Agreement Regarding Shared Insurance is made as of the 25</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day of January 2019 (hereinafter the “Agreement”) among: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CompX International Inc. (“CompX”);</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Contran Corporation (“Contran”);</w:t>
      </w:r>
    </w:p>
    <w:p>
      <w:pPr>
        <w:jc w:val="center"/>
        <w:spacing w:after="0" w:line="230" w:lineRule="auto"/>
        <w:rPr>
          <w:sz w:val="20"/>
          <w:szCs w:val="20"/>
          <w:color w:val="auto"/>
        </w:rPr>
      </w:pPr>
      <w:r>
        <w:rPr>
          <w:rFonts w:ascii="Times New Roman" w:cs="Times New Roman" w:eastAsia="Times New Roman" w:hAnsi="Times New Roman"/>
          <w:sz w:val="22"/>
          <w:szCs w:val="22"/>
          <w:color w:val="auto"/>
        </w:rPr>
        <w:t>Kronos Worldwide, Inc. (“Kronos”);</w:t>
      </w:r>
    </w:p>
    <w:p>
      <w:pPr>
        <w:jc w:val="center"/>
        <w:spacing w:after="0" w:line="231" w:lineRule="auto"/>
        <w:rPr>
          <w:sz w:val="20"/>
          <w:szCs w:val="20"/>
          <w:color w:val="auto"/>
        </w:rPr>
      </w:pPr>
      <w:r>
        <w:rPr>
          <w:rFonts w:ascii="Times New Roman" w:cs="Times New Roman" w:eastAsia="Times New Roman" w:hAnsi="Times New Roman"/>
          <w:sz w:val="22"/>
          <w:szCs w:val="22"/>
          <w:color w:val="auto"/>
        </w:rPr>
        <w:t>NL Industries, Inc. (“NL”);</w:t>
      </w:r>
    </w:p>
    <w:p>
      <w:pPr>
        <w:jc w:val="center"/>
        <w:spacing w:after="0" w:line="230" w:lineRule="auto"/>
        <w:rPr>
          <w:sz w:val="20"/>
          <w:szCs w:val="20"/>
          <w:color w:val="auto"/>
        </w:rPr>
      </w:pPr>
      <w:r>
        <w:rPr>
          <w:rFonts w:ascii="Times New Roman" w:cs="Times New Roman" w:eastAsia="Times New Roman" w:hAnsi="Times New Roman"/>
          <w:sz w:val="22"/>
          <w:szCs w:val="22"/>
          <w:color w:val="auto"/>
        </w:rPr>
        <w:t>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Valhi, Inc. (“Valhi”);</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convenience, each of the above entities and/or its subsidiaries (without duplication by excluding in each case subsidiaries of the other listed entities) may be referred to as a “Party,” and collectively they may be referred to as the “Parties”).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WITNESSETH THAT:</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are affiliated companies that have been, are, and in the future may be insured under one or more Shared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Insurance Policies (as defined below) that provide shared limits of available insurance; and</w:t>
      </w:r>
    </w:p>
    <w:p>
      <w:pPr>
        <w:spacing w:after="0" w:line="1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each of CompX, Contran, Kronos, NL and Valhi (collectively, the “Continuing Parties”), along with Keystone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Consolidated Industries, Inc., a former affiliate of Contran, were previously a party to a First Amended and Restated Agreement Regarding Shared Insurance (the “Prior Agreement”) made as of the 15</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day of October 2015.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Continuing Parties desire to amend and restate the Prior Agreement.</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although as of the date of this Agreement, neither the Parties to this Agreement or the parties to the Prior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separately and collectively have ever exhausted the total limits of insurance coverage available under any of the Shared Insurance Policies, the Parties wish to ensure that claims asserted under any of the Shared Insurance Policies by one or more Parties will not unreasonably deprive other Parties of insurance that may be available to them.</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full consideration of the foregoing and of the mutual agreements herein contained, and intending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legally bound, the Parties agree as follows: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1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4" w:name="page45"/>
    <w:bookmarkEnd w:id="44"/>
    <w:p>
      <w:pPr>
        <w:ind w:left="820" w:hanging="812"/>
        <w:spacing w:after="0"/>
        <w:tabs>
          <w:tab w:leader="none" w:pos="82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following definitions will apply to the listed terms wherever those terms appear throughout this Agreement as well as in any exhibits or attachments thereto. Moreover, each defined term stated in a singular form shall include the plural form, each defined term stated in plural form shall include the singular form, and each defined term stated in the masculine form or in the feminine form shall include the other.</w:t>
      </w:r>
    </w:p>
    <w:p>
      <w:pPr>
        <w:spacing w:after="0" w:line="181" w:lineRule="exact"/>
        <w:rPr>
          <w:sz w:val="20"/>
          <w:szCs w:val="20"/>
          <w:color w:val="auto"/>
        </w:rPr>
      </w:pPr>
    </w:p>
    <w:p>
      <w:pPr>
        <w:jc w:val="both"/>
        <w:ind w:left="1740" w:hanging="868"/>
        <w:spacing w:after="0" w:line="262" w:lineRule="auto"/>
        <w:tabs>
          <w:tab w:leader="none" w:pos="174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Insurance Policies” shall mean any one or more of the insurance policies listed on Exhibit “A” hereto, as well as any past, present or future insurance policies that provide insurance coverage to two or more Parties to this Agreement and where the policy provides for an aggregate limit for all claims during the policy period.</w:t>
      </w:r>
    </w:p>
    <w:p>
      <w:pPr>
        <w:spacing w:after="0" w:line="154" w:lineRule="exact"/>
        <w:rPr>
          <w:rFonts w:ascii="Times New Roman" w:cs="Times New Roman" w:eastAsia="Times New Roman" w:hAnsi="Times New Roman"/>
          <w:sz w:val="21"/>
          <w:szCs w:val="21"/>
          <w:color w:val="auto"/>
        </w:rPr>
      </w:pPr>
    </w:p>
    <w:p>
      <w:pPr>
        <w:jc w:val="both"/>
        <w:ind w:left="1740" w:hanging="868"/>
        <w:spacing w:after="0" w:line="235" w:lineRule="auto"/>
        <w:tabs>
          <w:tab w:leader="none" w:pos="17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“Covered Claim” shall mean any claim for insurance coverage that any Party may assert at any time under any Shared Insurance Policy that is covered in whole or in part under the terms and conditions of the Shared Insurance Policy in question, or that would be covered but for the fact that all available limits of insurance coverage under the Shared Insurance Policy in question already have been exhausted by one or more claims of one or more Parties. Each Covered Claim shall be subject to the terms, conditions, exclusions, limits and deductibles or self-insured retentions of the identified Shared Insurance Policy, including for the avoidance of doubt as though the applicable available limits had not been exhausted in the event such available limits have been exhausted.</w:t>
      </w:r>
    </w:p>
    <w:p>
      <w:pPr>
        <w:spacing w:after="0" w:line="179" w:lineRule="exact"/>
        <w:rPr>
          <w:rFonts w:ascii="Times New Roman" w:cs="Times New Roman" w:eastAsia="Times New Roman" w:hAnsi="Times New Roman"/>
          <w:sz w:val="22"/>
          <w:szCs w:val="22"/>
          <w:color w:val="auto"/>
        </w:rPr>
      </w:pPr>
    </w:p>
    <w:p>
      <w:pPr>
        <w:jc w:val="both"/>
        <w:ind w:left="1740" w:hanging="868"/>
        <w:spacing w:after="0" w:line="238" w:lineRule="auto"/>
        <w:tabs>
          <w:tab w:leader="none" w:pos="17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Indemnified Covered Claims” of a Party shall mean any Covered Claim for which such Party has received or is entitled to receive amounts from other Parties pursuant to the indemnification and reimbursement obligations of this Agreement, net of any amounts paid or payable by such Party to the other Parties pursuant to the indemnification and reimbursement obligations of this Agreement. For the avoidance of doubt, Net Indemnified Covered Claims of a Party may be a negative amount.</w:t>
      </w:r>
    </w:p>
    <w:p>
      <w:pPr>
        <w:spacing w:after="0" w:line="177" w:lineRule="exact"/>
        <w:rPr>
          <w:rFonts w:ascii="Times New Roman" w:cs="Times New Roman" w:eastAsia="Times New Roman" w:hAnsi="Times New Roman"/>
          <w:sz w:val="22"/>
          <w:szCs w:val="22"/>
          <w:color w:val="auto"/>
        </w:rPr>
      </w:pPr>
    </w:p>
    <w:p>
      <w:pPr>
        <w:ind w:left="1740" w:hanging="868"/>
        <w:spacing w:after="0" w:line="258" w:lineRule="auto"/>
        <w:tabs>
          <w:tab w:leader="none" w:pos="17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“Reimbursed Covered Claim” shall mean any Covered Claim for which any Party actually has received a total or partial insurance coverage from the insurer under any Shared Insurance Policy.</w:t>
      </w:r>
    </w:p>
    <w:p>
      <w:pPr>
        <w:spacing w:after="0" w:line="158" w:lineRule="exact"/>
        <w:rPr>
          <w:rFonts w:ascii="Times New Roman" w:cs="Times New Roman" w:eastAsia="Times New Roman" w:hAnsi="Times New Roman"/>
          <w:sz w:val="22"/>
          <w:szCs w:val="22"/>
          <w:color w:val="auto"/>
        </w:rPr>
      </w:pPr>
    </w:p>
    <w:p>
      <w:pPr>
        <w:jc w:val="both"/>
        <w:ind w:left="1740" w:hanging="868"/>
        <w:spacing w:after="0" w:line="244" w:lineRule="auto"/>
        <w:tabs>
          <w:tab w:leader="none" w:pos="17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“Remaining Covered Claim” shall mean any Covered Claim or portion of a Covered Claim of any Party for which the available limits of insurance coverage under the Shared Insurance Policy in question already have been exhausted by one or more Reimbursed Covered Claims of one or more Parties.</w:t>
      </w:r>
    </w:p>
    <w:p>
      <w:pPr>
        <w:spacing w:after="0" w:line="170" w:lineRule="exact"/>
        <w:rPr>
          <w:sz w:val="20"/>
          <w:szCs w:val="20"/>
          <w:color w:val="auto"/>
        </w:rPr>
      </w:pPr>
    </w:p>
    <w:p>
      <w:pPr>
        <w:ind w:left="820" w:hanging="812"/>
        <w:spacing w:after="0"/>
        <w:tabs>
          <w:tab w:leader="none" w:pos="820"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Agreement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Whenever the available limits of insurance coverage under any Shared Insurance Policy have been exhausted by one or more Reimbursed Covered Claims submitted by one or more Parties, this Agreement will provide a mechanism by which the Parties will share financial responsibility for all Remaining Covered Claims.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45" w:name="page46"/>
    <w:bookmarkEnd w:id="45"/>
    <w:p>
      <w:pPr>
        <w:jc w:val="both"/>
        <w:spacing w:after="0" w:line="235" w:lineRule="auto"/>
        <w:rPr>
          <w:sz w:val="20"/>
          <w:szCs w:val="20"/>
          <w:color w:val="auto"/>
        </w:rPr>
      </w:pPr>
      <w:r>
        <w:rPr>
          <w:rFonts w:ascii="Times New Roman" w:cs="Times New Roman" w:eastAsia="Times New Roman" w:hAnsi="Times New Roman"/>
          <w:sz w:val="22"/>
          <w:szCs w:val="22"/>
          <w:color w:val="auto"/>
        </w:rPr>
        <w:t>Financial responsibility for each Remaining Covered Claim shall be divided among those Parties with Covered Claims for that policy. Each such Party other than the holder of a particular Remaining Covered Claim shall indemnify and reimburse the holder of that Remaining Covered Claim by an amount such that, following such reimbursement, each Party with a Covered Claim for that policy shall have for that policy aggregate Reimbursed Covered Claims plus aggregate Net Indemnified Covered Claims in an amount equal to the product of (A) the total available limits of insurance coverage for all claims during the policy period for the particular policy and (B) the percentage determined by dividing the Covered Claims of such Party by the sum of all Parties’ Covered Claims for the particular policy.</w:t>
      </w:r>
    </w:p>
    <w:p>
      <w:pPr>
        <w:spacing w:after="0" w:line="18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Any indemnification obligation required by this Agreement shall be paid within 60 days after a Party requests in writing indemnification from another Party or Parties with respect to a Remaining Covered Claim and provides a brief description of the Remaining Covered Claim, as well as identification of the Shared Insurance Policy that would, but for exhaustion of limits, provide coverage for the Remaining Covered Claim. If the insurer issuing the Shared Insurance Policy in question has taken the position that the claim would be covered and payable but for prior exhaustion of available limits of coverage, the claim conclusively will be considered by the Parties to be a Remaining Covered Claim. If the insurer issuing the Shared Insurance Policy in question has not or will not expressly state that a claim would be covered and payable but for exhaustion, the Parties will attempt in good faith to agree whether or not the claim is a Remaining Covered Claim. If the Parties cannot agree whether a claim is a Remaining Covered Claim, or if the Parties cannot agree as to the application of the Shared Insurance Policy to the Remaining Covered Claim, the questions will be settled pursuant to the “Dispute Resolution” provisions of this Agreement.</w:t>
      </w:r>
    </w:p>
    <w:p>
      <w:pPr>
        <w:spacing w:after="0" w:line="176" w:lineRule="exact"/>
        <w:rPr>
          <w:sz w:val="20"/>
          <w:szCs w:val="20"/>
          <w:color w:val="auto"/>
        </w:rPr>
      </w:pPr>
    </w:p>
    <w:p>
      <w:pPr>
        <w:ind w:left="820" w:hanging="812"/>
        <w:spacing w:after="0"/>
        <w:tabs>
          <w:tab w:leader="none" w:pos="82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Confidentiality</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Parties agree that all matters relating to the terms, negotiation and implementation of this Agreement, including documents and information exchanged during negotiations or relating to indemnification obligations and claims made hereunder, shall be confidential and are not to be disclosed except as required by law, regulation, order of a court or by agreement, in writing, of the Parties, except that, provided recipients agree to keep such information confidential, the Agreement may be disclosed to any officer, director, or parent corporation of any Party and any outside counsel, consultants, auditors or accountants of any Party.</w:t>
      </w:r>
    </w:p>
    <w:p>
      <w:pPr>
        <w:spacing w:after="0" w:line="17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In the event a private litigant, by way of document request, interrogatory, subpoena, or questioning at deposition or trial, attempts to compel disclosure of anything protected by this Section, the Party from whom disclosure is sought shall decline to provide the requested information on the ground that this Agreement prevents such disclosure. In the event such private litigant seeks an order from any court or governmental body to compel such disclosure, or in the event that a court, government official, or governmental body (other than the Internal Revenue Service or other similar U.S. or foreign governmental taxation authorities) requests or requires disclosure of anything protected by this Agreement, the Party from whom disclosure is sought shall promptly give written notice by facsimile or hand-delivery to the other Parties, and shall promptly provide copies of all notice papers, orders, requests or other documents in order to allow each Party to take such protective steps as may be appropriate in order to preserve the confidentiality of such information. Notice shall be made under this Paragraph to the persons identified in Section 8 of this Agreement.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46" w:name="page47"/>
    <w:bookmarkEnd w:id="46"/>
    <w:p>
      <w:pPr>
        <w:ind w:left="820" w:hanging="812"/>
        <w:spacing w:after="0"/>
        <w:tabs>
          <w:tab w:leader="none" w:pos="82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Modification</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No change or modification of this Agreement shall be valid unless it is made in writing and signed by each of the Parties. Notwithstanding the foregoing, to the extent any Party, subsequent to the date of this Agreement, ceases to be an affiliate of Contran and no longer is a party to any of the Shared Insurance Policies, such Party will cease to be deemed a Party to this Agreement as of the date such Party first ceased to be an affiliate of Contran and was no longer a party to any of the Shared Insurance Policies (subject to the rights and obligations of such Party under the terms of this Agreement with respect to any Covered Claim of such Party which arose prior to the date such Party ceased to be deemed a Party to this Agreement, including without limitation the reimbursement rights and indemnification obligations of such Party under the terms of this Agreement).</w:t>
      </w:r>
    </w:p>
    <w:p>
      <w:pPr>
        <w:spacing w:after="0" w:line="180" w:lineRule="exact"/>
        <w:rPr>
          <w:sz w:val="20"/>
          <w:szCs w:val="20"/>
          <w:color w:val="auto"/>
        </w:rPr>
      </w:pPr>
    </w:p>
    <w:p>
      <w:pPr>
        <w:ind w:left="820" w:hanging="812"/>
        <w:spacing w:after="0"/>
        <w:tabs>
          <w:tab w:leader="none" w:pos="82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Execution</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This Agreement may be executed and delivered in counterparts, each of which when so executed and delivered shall be deemed an original and shall together constitute an entire Agreement.</w:t>
      </w:r>
    </w:p>
    <w:p>
      <w:pPr>
        <w:spacing w:after="0" w:line="154" w:lineRule="exact"/>
        <w:rPr>
          <w:sz w:val="20"/>
          <w:szCs w:val="20"/>
          <w:color w:val="auto"/>
        </w:rPr>
      </w:pPr>
    </w:p>
    <w:p>
      <w:pPr>
        <w:ind w:left="820" w:hanging="812"/>
        <w:spacing w:after="0"/>
        <w:tabs>
          <w:tab w:leader="none" w:pos="82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This Agreement shall be governed by and shall be construed in accordance with the laws of the State of Texas without giving effect to any choice of law or conflict of law provision or rule.</w:t>
      </w:r>
    </w:p>
    <w:p>
      <w:pPr>
        <w:spacing w:after="0" w:line="154" w:lineRule="exact"/>
        <w:rPr>
          <w:sz w:val="20"/>
          <w:szCs w:val="20"/>
          <w:color w:val="auto"/>
        </w:rPr>
      </w:pPr>
    </w:p>
    <w:p>
      <w:pPr>
        <w:ind w:left="820" w:hanging="812"/>
        <w:spacing w:after="0"/>
        <w:tabs>
          <w:tab w:leader="none" w:pos="82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Dispute Resolution</w:t>
      </w:r>
    </w:p>
    <w:p>
      <w:pPr>
        <w:spacing w:after="0" w:line="210" w:lineRule="exact"/>
        <w:rPr>
          <w:rFonts w:ascii="Times New Roman" w:cs="Times New Roman" w:eastAsia="Times New Roman" w:hAnsi="Times New Roman"/>
          <w:sz w:val="22"/>
          <w:szCs w:val="22"/>
          <w:b w:val="1"/>
          <w:bCs w:val="1"/>
          <w:color w:val="auto"/>
        </w:rPr>
      </w:pPr>
    </w:p>
    <w:p>
      <w:pPr>
        <w:jc w:val="both"/>
        <w:ind w:left="1740" w:hanging="868"/>
        <w:spacing w:after="0" w:line="234" w:lineRule="auto"/>
        <w:tabs>
          <w:tab w:leader="none" w:pos="174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to use their best efforts to resolve claims relating to this Agreement prior to instituting arbitration proceedings as set forth below. In the event such efforts are unsuccessful, the Parties agree that any controversy or claim arising out of or relating to this Agreement or any breach thereof, including without limitation, any disputes concerning the calculation of any settlement payment under this Agreement, shall be submitted to final and binding arbitration before a single arbitrator, who shall be a former judge or an attorney licensed to practice law in Texas with at least ten years’ experience, and whom the Parties shall choose. If the Parties cannot agree on the arbitrator, the arbitrator shall be selected in accordance with the Commercial Arbitration Rules of the American Arbitration Association that are in effect at the time the dispute is submitted to arbitration.</w:t>
      </w:r>
    </w:p>
    <w:p>
      <w:pPr>
        <w:spacing w:after="0" w:line="184" w:lineRule="exact"/>
        <w:rPr>
          <w:rFonts w:ascii="Times New Roman" w:cs="Times New Roman" w:eastAsia="Times New Roman" w:hAnsi="Times New Roman"/>
          <w:sz w:val="22"/>
          <w:szCs w:val="22"/>
          <w:color w:val="auto"/>
        </w:rPr>
      </w:pPr>
    </w:p>
    <w:p>
      <w:pPr>
        <w:jc w:val="both"/>
        <w:ind w:left="1740" w:hanging="868"/>
        <w:spacing w:after="0" w:line="244" w:lineRule="auto"/>
        <w:tabs>
          <w:tab w:leader="none" w:pos="174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Parties are unable to agree, the commercial rules and procedures of the American Arbitration Association that were in effect on the date of execution of this Agreement shall apply to the arbitration. Texas law shall govern any arbitration.</w:t>
      </w:r>
    </w:p>
    <w:p>
      <w:pPr>
        <w:spacing w:after="0" w:line="173" w:lineRule="exact"/>
        <w:rPr>
          <w:rFonts w:ascii="Times New Roman" w:cs="Times New Roman" w:eastAsia="Times New Roman" w:hAnsi="Times New Roman"/>
          <w:sz w:val="22"/>
          <w:szCs w:val="22"/>
          <w:color w:val="auto"/>
        </w:rPr>
      </w:pPr>
    </w:p>
    <w:p>
      <w:pPr>
        <w:jc w:val="both"/>
        <w:ind w:left="1740" w:right="20" w:hanging="868"/>
        <w:spacing w:after="0" w:line="244" w:lineRule="auto"/>
        <w:tabs>
          <w:tab w:leader="none" w:pos="174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arbitration conducted in accordance with this Agreement shall be conducted in Texas or such other location as the Parties may agree. The Parties shall abide by the arbitrator’s award, and judgment on that award may be entered by a court of competent jurisdiction in Texas, in accordance with Texas law.</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47" w:name="page48"/>
    <w:bookmarkEnd w:id="47"/>
    <w:p>
      <w:pPr>
        <w:ind w:left="820" w:hanging="812"/>
        <w:spacing w:after="0"/>
        <w:tabs>
          <w:tab w:leader="none" w:pos="82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Unless another person is designated, in writing, for receipt of notices hereunder, notices to the respective Parties shall be sent to the following person by facsimile transmission or overnight courier:</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20" w:type="dxa"/>
            <w:vAlign w:val="bottom"/>
          </w:tcPr>
          <w:p>
            <w:pPr>
              <w:spacing w:after="0"/>
              <w:rPr>
                <w:sz w:val="20"/>
                <w:szCs w:val="20"/>
                <w:color w:val="auto"/>
              </w:rPr>
            </w:pPr>
            <w:r>
              <w:rPr>
                <w:rFonts w:ascii="Times New Roman" w:cs="Times New Roman" w:eastAsia="Times New Roman" w:hAnsi="Times New Roman"/>
                <w:sz w:val="22"/>
                <w:szCs w:val="22"/>
                <w:color w:val="auto"/>
              </w:rPr>
              <w:t>CompX International Inc.:</w:t>
            </w:r>
          </w:p>
        </w:tc>
        <w:tc>
          <w:tcPr>
            <w:tcW w:w="3740" w:type="dxa"/>
            <w:vAlign w:val="bottom"/>
            <w:gridSpan w:val="2"/>
          </w:tcPr>
          <w:p>
            <w:pPr>
              <w:ind w:left="1740"/>
              <w:spacing w:after="0"/>
              <w:rPr>
                <w:sz w:val="20"/>
                <w:szCs w:val="20"/>
                <w:color w:val="auto"/>
              </w:rPr>
            </w:pPr>
            <w:r>
              <w:rPr>
                <w:rFonts w:ascii="Times New Roman" w:cs="Times New Roman" w:eastAsia="Times New Roman" w:hAnsi="Times New Roman"/>
                <w:sz w:val="22"/>
                <w:szCs w:val="22"/>
                <w:color w:val="auto"/>
                <w:w w:val="99"/>
              </w:rPr>
              <w:t>Attn: General Counsel</w:t>
            </w:r>
          </w:p>
        </w:tc>
      </w:tr>
      <w:tr>
        <w:trPr>
          <w:trHeight w:val="243"/>
        </w:trPr>
        <w:tc>
          <w:tcPr>
            <w:tcW w:w="4020" w:type="dxa"/>
            <w:vAlign w:val="bottom"/>
          </w:tcPr>
          <w:p>
            <w:pPr>
              <w:spacing w:after="0"/>
              <w:rPr>
                <w:sz w:val="21"/>
                <w:szCs w:val="21"/>
                <w:color w:val="auto"/>
              </w:rPr>
            </w:pPr>
          </w:p>
        </w:tc>
        <w:tc>
          <w:tcPr>
            <w:tcW w:w="3740" w:type="dxa"/>
            <w:vAlign w:val="bottom"/>
            <w:gridSpan w:val="2"/>
          </w:tcPr>
          <w:p>
            <w:pPr>
              <w:ind w:left="1740"/>
              <w:spacing w:after="0" w:line="243" w:lineRule="exact"/>
              <w:rPr>
                <w:sz w:val="20"/>
                <w:szCs w:val="20"/>
                <w:color w:val="auto"/>
              </w:rPr>
            </w:pPr>
            <w:r>
              <w:rPr>
                <w:rFonts w:ascii="Times New Roman" w:cs="Times New Roman" w:eastAsia="Times New Roman" w:hAnsi="Times New Roman"/>
                <w:sz w:val="22"/>
                <w:szCs w:val="22"/>
                <w:color w:val="auto"/>
              </w:rPr>
              <w:t>Three Lincoln Centre</w:t>
            </w:r>
          </w:p>
        </w:tc>
      </w:tr>
      <w:tr>
        <w:trPr>
          <w:trHeight w:val="243"/>
        </w:trPr>
        <w:tc>
          <w:tcPr>
            <w:tcW w:w="4020" w:type="dxa"/>
            <w:vAlign w:val="bottom"/>
          </w:tcPr>
          <w:p>
            <w:pPr>
              <w:spacing w:after="0"/>
              <w:rPr>
                <w:sz w:val="21"/>
                <w:szCs w:val="21"/>
                <w:color w:val="auto"/>
              </w:rPr>
            </w:pPr>
          </w:p>
        </w:tc>
        <w:tc>
          <w:tcPr>
            <w:tcW w:w="3740" w:type="dxa"/>
            <w:vAlign w:val="bottom"/>
            <w:gridSpan w:val="2"/>
          </w:tcPr>
          <w:p>
            <w:pPr>
              <w:ind w:left="1740"/>
              <w:spacing w:after="0" w:line="243" w:lineRule="exact"/>
              <w:rPr>
                <w:sz w:val="20"/>
                <w:szCs w:val="20"/>
                <w:color w:val="auto"/>
              </w:rPr>
            </w:pPr>
            <w:r>
              <w:rPr>
                <w:rFonts w:ascii="Times New Roman" w:cs="Times New Roman" w:eastAsia="Times New Roman" w:hAnsi="Times New Roman"/>
                <w:sz w:val="22"/>
                <w:szCs w:val="22"/>
                <w:color w:val="auto"/>
              </w:rPr>
              <w:t>5430 LBJ Freeway</w:t>
            </w:r>
          </w:p>
        </w:tc>
      </w:tr>
      <w:tr>
        <w:trPr>
          <w:trHeight w:val="243"/>
        </w:trPr>
        <w:tc>
          <w:tcPr>
            <w:tcW w:w="4020" w:type="dxa"/>
            <w:vAlign w:val="bottom"/>
          </w:tcPr>
          <w:p>
            <w:pPr>
              <w:spacing w:after="0"/>
              <w:rPr>
                <w:sz w:val="21"/>
                <w:szCs w:val="21"/>
                <w:color w:val="auto"/>
              </w:rPr>
            </w:pPr>
          </w:p>
        </w:tc>
        <w:tc>
          <w:tcPr>
            <w:tcW w:w="3740" w:type="dxa"/>
            <w:vAlign w:val="bottom"/>
            <w:gridSpan w:val="2"/>
          </w:tcPr>
          <w:p>
            <w:pPr>
              <w:ind w:left="1740"/>
              <w:spacing w:after="0" w:line="243" w:lineRule="exact"/>
              <w:rPr>
                <w:sz w:val="20"/>
                <w:szCs w:val="20"/>
                <w:color w:val="auto"/>
              </w:rPr>
            </w:pPr>
            <w:r>
              <w:rPr>
                <w:rFonts w:ascii="Times New Roman" w:cs="Times New Roman" w:eastAsia="Times New Roman" w:hAnsi="Times New Roman"/>
                <w:sz w:val="22"/>
                <w:szCs w:val="22"/>
                <w:color w:val="auto"/>
              </w:rPr>
              <w:t>Suite 1700</w:t>
            </w:r>
          </w:p>
        </w:tc>
      </w:tr>
      <w:tr>
        <w:trPr>
          <w:trHeight w:val="243"/>
        </w:trPr>
        <w:tc>
          <w:tcPr>
            <w:tcW w:w="4020" w:type="dxa"/>
            <w:vAlign w:val="bottom"/>
          </w:tcPr>
          <w:p>
            <w:pPr>
              <w:spacing w:after="0"/>
              <w:rPr>
                <w:sz w:val="21"/>
                <w:szCs w:val="21"/>
                <w:color w:val="auto"/>
              </w:rPr>
            </w:pPr>
          </w:p>
        </w:tc>
        <w:tc>
          <w:tcPr>
            <w:tcW w:w="3740" w:type="dxa"/>
            <w:vAlign w:val="bottom"/>
            <w:gridSpan w:val="2"/>
          </w:tcPr>
          <w:p>
            <w:pPr>
              <w:ind w:left="1740"/>
              <w:spacing w:after="0" w:line="243" w:lineRule="exact"/>
              <w:rPr>
                <w:sz w:val="20"/>
                <w:szCs w:val="20"/>
                <w:color w:val="auto"/>
              </w:rPr>
            </w:pPr>
            <w:r>
              <w:rPr>
                <w:rFonts w:ascii="Times New Roman" w:cs="Times New Roman" w:eastAsia="Times New Roman" w:hAnsi="Times New Roman"/>
                <w:sz w:val="22"/>
                <w:szCs w:val="22"/>
                <w:color w:val="auto"/>
              </w:rPr>
              <w:t>Dallas, Texas 75240</w:t>
            </w:r>
          </w:p>
        </w:tc>
      </w:tr>
      <w:tr>
        <w:trPr>
          <w:trHeight w:val="243"/>
        </w:trPr>
        <w:tc>
          <w:tcPr>
            <w:tcW w:w="4020" w:type="dxa"/>
            <w:vAlign w:val="bottom"/>
          </w:tcPr>
          <w:p>
            <w:pPr>
              <w:spacing w:after="0"/>
              <w:rPr>
                <w:sz w:val="21"/>
                <w:szCs w:val="21"/>
                <w:color w:val="auto"/>
              </w:rPr>
            </w:pPr>
          </w:p>
        </w:tc>
        <w:tc>
          <w:tcPr>
            <w:tcW w:w="2240" w:type="dxa"/>
            <w:vAlign w:val="bottom"/>
          </w:tcPr>
          <w:p>
            <w:pPr>
              <w:ind w:left="1740"/>
              <w:spacing w:after="0" w:line="243" w:lineRule="exact"/>
              <w:rPr>
                <w:sz w:val="20"/>
                <w:szCs w:val="20"/>
                <w:color w:val="auto"/>
              </w:rPr>
            </w:pPr>
            <w:r>
              <w:rPr>
                <w:rFonts w:ascii="Times New Roman" w:cs="Times New Roman" w:eastAsia="Times New Roman" w:hAnsi="Times New Roman"/>
                <w:sz w:val="22"/>
                <w:szCs w:val="22"/>
                <w:color w:val="auto"/>
              </w:rPr>
              <w:t>(972)</w:t>
            </w:r>
          </w:p>
        </w:tc>
        <w:tc>
          <w:tcPr>
            <w:tcW w:w="15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233-1700 phone</w:t>
            </w:r>
          </w:p>
        </w:tc>
      </w:tr>
      <w:tr>
        <w:trPr>
          <w:trHeight w:val="283"/>
        </w:trPr>
        <w:tc>
          <w:tcPr>
            <w:tcW w:w="4020" w:type="dxa"/>
            <w:vAlign w:val="bottom"/>
          </w:tcPr>
          <w:p>
            <w:pPr>
              <w:spacing w:after="0"/>
              <w:rPr>
                <w:sz w:val="24"/>
                <w:szCs w:val="24"/>
                <w:color w:val="auto"/>
              </w:rPr>
            </w:pPr>
          </w:p>
        </w:tc>
        <w:tc>
          <w:tcPr>
            <w:tcW w:w="2240" w:type="dxa"/>
            <w:vAlign w:val="bottom"/>
          </w:tcPr>
          <w:p>
            <w:pPr>
              <w:ind w:left="1740"/>
              <w:spacing w:after="0"/>
              <w:rPr>
                <w:sz w:val="20"/>
                <w:szCs w:val="20"/>
                <w:color w:val="auto"/>
              </w:rPr>
            </w:pPr>
            <w:r>
              <w:rPr>
                <w:rFonts w:ascii="Times New Roman" w:cs="Times New Roman" w:eastAsia="Times New Roman" w:hAnsi="Times New Roman"/>
                <w:sz w:val="22"/>
                <w:szCs w:val="22"/>
                <w:color w:val="auto"/>
              </w:rPr>
              <w:t>(972)</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448-1445 fax</w:t>
            </w:r>
          </w:p>
        </w:tc>
      </w:tr>
      <w:tr>
        <w:trPr>
          <w:trHeight w:val="420"/>
        </w:trPr>
        <w:tc>
          <w:tcPr>
            <w:tcW w:w="4020" w:type="dxa"/>
            <w:vAlign w:val="bottom"/>
          </w:tcPr>
          <w:p>
            <w:pPr>
              <w:spacing w:after="0"/>
              <w:rPr>
                <w:sz w:val="20"/>
                <w:szCs w:val="20"/>
                <w:color w:val="auto"/>
              </w:rPr>
            </w:pPr>
            <w:r>
              <w:rPr>
                <w:rFonts w:ascii="Times New Roman" w:cs="Times New Roman" w:eastAsia="Times New Roman" w:hAnsi="Times New Roman"/>
                <w:sz w:val="22"/>
                <w:szCs w:val="22"/>
                <w:color w:val="auto"/>
              </w:rPr>
              <w:t>Contran Corporation:</w:t>
            </w:r>
          </w:p>
        </w:tc>
        <w:tc>
          <w:tcPr>
            <w:tcW w:w="3740" w:type="dxa"/>
            <w:vAlign w:val="bottom"/>
            <w:gridSpan w:val="2"/>
          </w:tcPr>
          <w:p>
            <w:pPr>
              <w:ind w:left="1740"/>
              <w:spacing w:after="0"/>
              <w:rPr>
                <w:sz w:val="20"/>
                <w:szCs w:val="20"/>
                <w:color w:val="auto"/>
              </w:rPr>
            </w:pPr>
            <w:r>
              <w:rPr>
                <w:rFonts w:ascii="Times New Roman" w:cs="Times New Roman" w:eastAsia="Times New Roman" w:hAnsi="Times New Roman"/>
                <w:sz w:val="22"/>
                <w:szCs w:val="22"/>
                <w:color w:val="auto"/>
                <w:w w:val="99"/>
              </w:rPr>
              <w:t>Attn: General Counsel</w:t>
            </w:r>
          </w:p>
        </w:tc>
      </w:tr>
      <w:tr>
        <w:trPr>
          <w:trHeight w:val="243"/>
        </w:trPr>
        <w:tc>
          <w:tcPr>
            <w:tcW w:w="4020" w:type="dxa"/>
            <w:vAlign w:val="bottom"/>
          </w:tcPr>
          <w:p>
            <w:pPr>
              <w:spacing w:after="0"/>
              <w:rPr>
                <w:sz w:val="21"/>
                <w:szCs w:val="21"/>
                <w:color w:val="auto"/>
              </w:rPr>
            </w:pPr>
          </w:p>
        </w:tc>
        <w:tc>
          <w:tcPr>
            <w:tcW w:w="3740" w:type="dxa"/>
            <w:vAlign w:val="bottom"/>
            <w:gridSpan w:val="2"/>
          </w:tcPr>
          <w:p>
            <w:pPr>
              <w:ind w:left="1740"/>
              <w:spacing w:after="0" w:line="243" w:lineRule="exact"/>
              <w:rPr>
                <w:sz w:val="20"/>
                <w:szCs w:val="20"/>
                <w:color w:val="auto"/>
              </w:rPr>
            </w:pPr>
            <w:r>
              <w:rPr>
                <w:rFonts w:ascii="Times New Roman" w:cs="Times New Roman" w:eastAsia="Times New Roman" w:hAnsi="Times New Roman"/>
                <w:sz w:val="22"/>
                <w:szCs w:val="22"/>
                <w:color w:val="auto"/>
              </w:rPr>
              <w:t>Three Lincoln Centre</w:t>
            </w:r>
          </w:p>
        </w:tc>
      </w:tr>
      <w:tr>
        <w:trPr>
          <w:trHeight w:val="243"/>
        </w:trPr>
        <w:tc>
          <w:tcPr>
            <w:tcW w:w="4020" w:type="dxa"/>
            <w:vAlign w:val="bottom"/>
          </w:tcPr>
          <w:p>
            <w:pPr>
              <w:spacing w:after="0"/>
              <w:rPr>
                <w:sz w:val="21"/>
                <w:szCs w:val="21"/>
                <w:color w:val="auto"/>
              </w:rPr>
            </w:pPr>
          </w:p>
        </w:tc>
        <w:tc>
          <w:tcPr>
            <w:tcW w:w="3740" w:type="dxa"/>
            <w:vAlign w:val="bottom"/>
            <w:gridSpan w:val="2"/>
          </w:tcPr>
          <w:p>
            <w:pPr>
              <w:ind w:left="1740"/>
              <w:spacing w:after="0" w:line="243" w:lineRule="exact"/>
              <w:rPr>
                <w:sz w:val="20"/>
                <w:szCs w:val="20"/>
                <w:color w:val="auto"/>
              </w:rPr>
            </w:pPr>
            <w:r>
              <w:rPr>
                <w:rFonts w:ascii="Times New Roman" w:cs="Times New Roman" w:eastAsia="Times New Roman" w:hAnsi="Times New Roman"/>
                <w:sz w:val="22"/>
                <w:szCs w:val="22"/>
                <w:color w:val="auto"/>
              </w:rPr>
              <w:t>5430 LBJ Freeway</w:t>
            </w:r>
          </w:p>
        </w:tc>
      </w:tr>
      <w:tr>
        <w:trPr>
          <w:trHeight w:val="243"/>
        </w:trPr>
        <w:tc>
          <w:tcPr>
            <w:tcW w:w="4020" w:type="dxa"/>
            <w:vAlign w:val="bottom"/>
          </w:tcPr>
          <w:p>
            <w:pPr>
              <w:spacing w:after="0"/>
              <w:rPr>
                <w:sz w:val="21"/>
                <w:szCs w:val="21"/>
                <w:color w:val="auto"/>
              </w:rPr>
            </w:pPr>
          </w:p>
        </w:tc>
        <w:tc>
          <w:tcPr>
            <w:tcW w:w="3740" w:type="dxa"/>
            <w:vAlign w:val="bottom"/>
            <w:gridSpan w:val="2"/>
          </w:tcPr>
          <w:p>
            <w:pPr>
              <w:ind w:left="1740"/>
              <w:spacing w:after="0" w:line="243" w:lineRule="exact"/>
              <w:rPr>
                <w:sz w:val="20"/>
                <w:szCs w:val="20"/>
                <w:color w:val="auto"/>
              </w:rPr>
            </w:pPr>
            <w:r>
              <w:rPr>
                <w:rFonts w:ascii="Times New Roman" w:cs="Times New Roman" w:eastAsia="Times New Roman" w:hAnsi="Times New Roman"/>
                <w:sz w:val="22"/>
                <w:szCs w:val="22"/>
                <w:color w:val="auto"/>
              </w:rPr>
              <w:t>Suite 1700</w:t>
            </w:r>
          </w:p>
        </w:tc>
      </w:tr>
      <w:tr>
        <w:trPr>
          <w:trHeight w:val="243"/>
        </w:trPr>
        <w:tc>
          <w:tcPr>
            <w:tcW w:w="4020" w:type="dxa"/>
            <w:vAlign w:val="bottom"/>
          </w:tcPr>
          <w:p>
            <w:pPr>
              <w:spacing w:after="0"/>
              <w:rPr>
                <w:sz w:val="21"/>
                <w:szCs w:val="21"/>
                <w:color w:val="auto"/>
              </w:rPr>
            </w:pPr>
          </w:p>
        </w:tc>
        <w:tc>
          <w:tcPr>
            <w:tcW w:w="3740" w:type="dxa"/>
            <w:vAlign w:val="bottom"/>
            <w:gridSpan w:val="2"/>
          </w:tcPr>
          <w:p>
            <w:pPr>
              <w:ind w:left="1740"/>
              <w:spacing w:after="0" w:line="243" w:lineRule="exact"/>
              <w:rPr>
                <w:sz w:val="20"/>
                <w:szCs w:val="20"/>
                <w:color w:val="auto"/>
              </w:rPr>
            </w:pPr>
            <w:r>
              <w:rPr>
                <w:rFonts w:ascii="Times New Roman" w:cs="Times New Roman" w:eastAsia="Times New Roman" w:hAnsi="Times New Roman"/>
                <w:sz w:val="22"/>
                <w:szCs w:val="22"/>
                <w:color w:val="auto"/>
              </w:rPr>
              <w:t>Dallas, Texas 75240</w:t>
            </w:r>
          </w:p>
        </w:tc>
      </w:tr>
      <w:tr>
        <w:trPr>
          <w:trHeight w:val="243"/>
        </w:trPr>
        <w:tc>
          <w:tcPr>
            <w:tcW w:w="4020" w:type="dxa"/>
            <w:vAlign w:val="bottom"/>
          </w:tcPr>
          <w:p>
            <w:pPr>
              <w:spacing w:after="0"/>
              <w:rPr>
                <w:sz w:val="21"/>
                <w:szCs w:val="21"/>
                <w:color w:val="auto"/>
              </w:rPr>
            </w:pPr>
          </w:p>
        </w:tc>
        <w:tc>
          <w:tcPr>
            <w:tcW w:w="2240" w:type="dxa"/>
            <w:vAlign w:val="bottom"/>
          </w:tcPr>
          <w:p>
            <w:pPr>
              <w:ind w:left="1740"/>
              <w:spacing w:after="0" w:line="243" w:lineRule="exact"/>
              <w:rPr>
                <w:sz w:val="20"/>
                <w:szCs w:val="20"/>
                <w:color w:val="auto"/>
              </w:rPr>
            </w:pPr>
            <w:r>
              <w:rPr>
                <w:rFonts w:ascii="Times New Roman" w:cs="Times New Roman" w:eastAsia="Times New Roman" w:hAnsi="Times New Roman"/>
                <w:sz w:val="22"/>
                <w:szCs w:val="22"/>
                <w:color w:val="auto"/>
              </w:rPr>
              <w:t>(972)</w:t>
            </w:r>
          </w:p>
        </w:tc>
        <w:tc>
          <w:tcPr>
            <w:tcW w:w="15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233-1700 phone</w:t>
            </w:r>
          </w:p>
        </w:tc>
      </w:tr>
      <w:tr>
        <w:trPr>
          <w:trHeight w:val="283"/>
        </w:trPr>
        <w:tc>
          <w:tcPr>
            <w:tcW w:w="4020" w:type="dxa"/>
            <w:vAlign w:val="bottom"/>
          </w:tcPr>
          <w:p>
            <w:pPr>
              <w:spacing w:after="0"/>
              <w:rPr>
                <w:sz w:val="24"/>
                <w:szCs w:val="24"/>
                <w:color w:val="auto"/>
              </w:rPr>
            </w:pPr>
          </w:p>
        </w:tc>
        <w:tc>
          <w:tcPr>
            <w:tcW w:w="2240" w:type="dxa"/>
            <w:vAlign w:val="bottom"/>
          </w:tcPr>
          <w:p>
            <w:pPr>
              <w:ind w:left="1740"/>
              <w:spacing w:after="0"/>
              <w:rPr>
                <w:sz w:val="20"/>
                <w:szCs w:val="20"/>
                <w:color w:val="auto"/>
              </w:rPr>
            </w:pPr>
            <w:r>
              <w:rPr>
                <w:rFonts w:ascii="Times New Roman" w:cs="Times New Roman" w:eastAsia="Times New Roman" w:hAnsi="Times New Roman"/>
                <w:sz w:val="22"/>
                <w:szCs w:val="22"/>
                <w:color w:val="auto"/>
              </w:rPr>
              <w:t>(972)</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448-1445 fax</w:t>
            </w:r>
          </w:p>
        </w:tc>
      </w:tr>
      <w:tr>
        <w:trPr>
          <w:trHeight w:val="636"/>
        </w:trPr>
        <w:tc>
          <w:tcPr>
            <w:tcW w:w="4020" w:type="dxa"/>
            <w:vAlign w:val="bottom"/>
          </w:tcPr>
          <w:p>
            <w:pPr>
              <w:spacing w:after="0"/>
              <w:rPr>
                <w:sz w:val="20"/>
                <w:szCs w:val="20"/>
                <w:color w:val="auto"/>
              </w:rPr>
            </w:pPr>
            <w:r>
              <w:rPr>
                <w:rFonts w:ascii="Times New Roman" w:cs="Times New Roman" w:eastAsia="Times New Roman" w:hAnsi="Times New Roman"/>
                <w:sz w:val="22"/>
                <w:szCs w:val="22"/>
                <w:color w:val="auto"/>
              </w:rPr>
              <w:t>Kronos Worldwide, Inc.</w:t>
            </w:r>
          </w:p>
        </w:tc>
        <w:tc>
          <w:tcPr>
            <w:tcW w:w="3740" w:type="dxa"/>
            <w:vAlign w:val="bottom"/>
            <w:gridSpan w:val="2"/>
          </w:tcPr>
          <w:p>
            <w:pPr>
              <w:ind w:left="1740"/>
              <w:spacing w:after="0"/>
              <w:rPr>
                <w:sz w:val="20"/>
                <w:szCs w:val="20"/>
                <w:color w:val="auto"/>
              </w:rPr>
            </w:pPr>
            <w:r>
              <w:rPr>
                <w:rFonts w:ascii="Times New Roman" w:cs="Times New Roman" w:eastAsia="Times New Roman" w:hAnsi="Times New Roman"/>
                <w:sz w:val="22"/>
                <w:szCs w:val="22"/>
                <w:color w:val="auto"/>
                <w:w w:val="99"/>
              </w:rPr>
              <w:t>Attn: General Counsel</w:t>
            </w:r>
          </w:p>
        </w:tc>
      </w:tr>
      <w:tr>
        <w:trPr>
          <w:trHeight w:val="243"/>
        </w:trPr>
        <w:tc>
          <w:tcPr>
            <w:tcW w:w="4020" w:type="dxa"/>
            <w:vAlign w:val="bottom"/>
          </w:tcPr>
          <w:p>
            <w:pPr>
              <w:spacing w:after="0"/>
              <w:rPr>
                <w:sz w:val="21"/>
                <w:szCs w:val="21"/>
                <w:color w:val="auto"/>
              </w:rPr>
            </w:pPr>
          </w:p>
        </w:tc>
        <w:tc>
          <w:tcPr>
            <w:tcW w:w="3740" w:type="dxa"/>
            <w:vAlign w:val="bottom"/>
            <w:gridSpan w:val="2"/>
          </w:tcPr>
          <w:p>
            <w:pPr>
              <w:ind w:left="1740"/>
              <w:spacing w:after="0" w:line="243" w:lineRule="exact"/>
              <w:rPr>
                <w:sz w:val="20"/>
                <w:szCs w:val="20"/>
                <w:color w:val="auto"/>
              </w:rPr>
            </w:pPr>
            <w:r>
              <w:rPr>
                <w:rFonts w:ascii="Times New Roman" w:cs="Times New Roman" w:eastAsia="Times New Roman" w:hAnsi="Times New Roman"/>
                <w:sz w:val="22"/>
                <w:szCs w:val="22"/>
                <w:color w:val="auto"/>
              </w:rPr>
              <w:t>Three Lincoln Centre</w:t>
            </w:r>
          </w:p>
        </w:tc>
      </w:tr>
      <w:tr>
        <w:trPr>
          <w:trHeight w:val="243"/>
        </w:trPr>
        <w:tc>
          <w:tcPr>
            <w:tcW w:w="4020" w:type="dxa"/>
            <w:vAlign w:val="bottom"/>
          </w:tcPr>
          <w:p>
            <w:pPr>
              <w:spacing w:after="0"/>
              <w:rPr>
                <w:sz w:val="21"/>
                <w:szCs w:val="21"/>
                <w:color w:val="auto"/>
              </w:rPr>
            </w:pPr>
          </w:p>
        </w:tc>
        <w:tc>
          <w:tcPr>
            <w:tcW w:w="3740" w:type="dxa"/>
            <w:vAlign w:val="bottom"/>
            <w:gridSpan w:val="2"/>
          </w:tcPr>
          <w:p>
            <w:pPr>
              <w:ind w:left="1740"/>
              <w:spacing w:after="0" w:line="243" w:lineRule="exact"/>
              <w:rPr>
                <w:sz w:val="20"/>
                <w:szCs w:val="20"/>
                <w:color w:val="auto"/>
              </w:rPr>
            </w:pPr>
            <w:r>
              <w:rPr>
                <w:rFonts w:ascii="Times New Roman" w:cs="Times New Roman" w:eastAsia="Times New Roman" w:hAnsi="Times New Roman"/>
                <w:sz w:val="22"/>
                <w:szCs w:val="22"/>
                <w:color w:val="auto"/>
              </w:rPr>
              <w:t>5430 LBJ Freeway</w:t>
            </w:r>
          </w:p>
        </w:tc>
      </w:tr>
      <w:tr>
        <w:trPr>
          <w:trHeight w:val="243"/>
        </w:trPr>
        <w:tc>
          <w:tcPr>
            <w:tcW w:w="4020" w:type="dxa"/>
            <w:vAlign w:val="bottom"/>
          </w:tcPr>
          <w:p>
            <w:pPr>
              <w:spacing w:after="0"/>
              <w:rPr>
                <w:sz w:val="21"/>
                <w:szCs w:val="21"/>
                <w:color w:val="auto"/>
              </w:rPr>
            </w:pPr>
          </w:p>
        </w:tc>
        <w:tc>
          <w:tcPr>
            <w:tcW w:w="3740" w:type="dxa"/>
            <w:vAlign w:val="bottom"/>
            <w:gridSpan w:val="2"/>
          </w:tcPr>
          <w:p>
            <w:pPr>
              <w:ind w:left="1740"/>
              <w:spacing w:after="0" w:line="243" w:lineRule="exact"/>
              <w:rPr>
                <w:sz w:val="20"/>
                <w:szCs w:val="20"/>
                <w:color w:val="auto"/>
              </w:rPr>
            </w:pPr>
            <w:r>
              <w:rPr>
                <w:rFonts w:ascii="Times New Roman" w:cs="Times New Roman" w:eastAsia="Times New Roman" w:hAnsi="Times New Roman"/>
                <w:sz w:val="22"/>
                <w:szCs w:val="22"/>
                <w:color w:val="auto"/>
              </w:rPr>
              <w:t>Suite 1700</w:t>
            </w:r>
          </w:p>
        </w:tc>
      </w:tr>
      <w:tr>
        <w:trPr>
          <w:trHeight w:val="243"/>
        </w:trPr>
        <w:tc>
          <w:tcPr>
            <w:tcW w:w="4020" w:type="dxa"/>
            <w:vAlign w:val="bottom"/>
          </w:tcPr>
          <w:p>
            <w:pPr>
              <w:spacing w:after="0"/>
              <w:rPr>
                <w:sz w:val="21"/>
                <w:szCs w:val="21"/>
                <w:color w:val="auto"/>
              </w:rPr>
            </w:pPr>
          </w:p>
        </w:tc>
        <w:tc>
          <w:tcPr>
            <w:tcW w:w="3740" w:type="dxa"/>
            <w:vAlign w:val="bottom"/>
            <w:gridSpan w:val="2"/>
          </w:tcPr>
          <w:p>
            <w:pPr>
              <w:ind w:left="1740"/>
              <w:spacing w:after="0" w:line="243" w:lineRule="exact"/>
              <w:rPr>
                <w:sz w:val="20"/>
                <w:szCs w:val="20"/>
                <w:color w:val="auto"/>
              </w:rPr>
            </w:pPr>
            <w:r>
              <w:rPr>
                <w:rFonts w:ascii="Times New Roman" w:cs="Times New Roman" w:eastAsia="Times New Roman" w:hAnsi="Times New Roman"/>
                <w:sz w:val="22"/>
                <w:szCs w:val="22"/>
                <w:color w:val="auto"/>
              </w:rPr>
              <w:t>Dallas, Texas 75240</w:t>
            </w:r>
          </w:p>
        </w:tc>
      </w:tr>
      <w:tr>
        <w:trPr>
          <w:trHeight w:val="243"/>
        </w:trPr>
        <w:tc>
          <w:tcPr>
            <w:tcW w:w="4020" w:type="dxa"/>
            <w:vAlign w:val="bottom"/>
          </w:tcPr>
          <w:p>
            <w:pPr>
              <w:spacing w:after="0"/>
              <w:rPr>
                <w:sz w:val="21"/>
                <w:szCs w:val="21"/>
                <w:color w:val="auto"/>
              </w:rPr>
            </w:pPr>
          </w:p>
        </w:tc>
        <w:tc>
          <w:tcPr>
            <w:tcW w:w="2240" w:type="dxa"/>
            <w:vAlign w:val="bottom"/>
          </w:tcPr>
          <w:p>
            <w:pPr>
              <w:ind w:left="1740"/>
              <w:spacing w:after="0" w:line="243" w:lineRule="exact"/>
              <w:rPr>
                <w:sz w:val="20"/>
                <w:szCs w:val="20"/>
                <w:color w:val="auto"/>
              </w:rPr>
            </w:pPr>
            <w:r>
              <w:rPr>
                <w:rFonts w:ascii="Times New Roman" w:cs="Times New Roman" w:eastAsia="Times New Roman" w:hAnsi="Times New Roman"/>
                <w:sz w:val="22"/>
                <w:szCs w:val="22"/>
                <w:color w:val="auto"/>
              </w:rPr>
              <w:t>(972)</w:t>
            </w:r>
          </w:p>
        </w:tc>
        <w:tc>
          <w:tcPr>
            <w:tcW w:w="15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233-1700 phone</w:t>
            </w:r>
          </w:p>
        </w:tc>
      </w:tr>
      <w:tr>
        <w:trPr>
          <w:trHeight w:val="283"/>
        </w:trPr>
        <w:tc>
          <w:tcPr>
            <w:tcW w:w="4020" w:type="dxa"/>
            <w:vAlign w:val="bottom"/>
          </w:tcPr>
          <w:p>
            <w:pPr>
              <w:spacing w:after="0"/>
              <w:rPr>
                <w:sz w:val="24"/>
                <w:szCs w:val="24"/>
                <w:color w:val="auto"/>
              </w:rPr>
            </w:pPr>
          </w:p>
        </w:tc>
        <w:tc>
          <w:tcPr>
            <w:tcW w:w="2240" w:type="dxa"/>
            <w:vAlign w:val="bottom"/>
          </w:tcPr>
          <w:p>
            <w:pPr>
              <w:ind w:left="1740"/>
              <w:spacing w:after="0"/>
              <w:rPr>
                <w:sz w:val="20"/>
                <w:szCs w:val="20"/>
                <w:color w:val="auto"/>
              </w:rPr>
            </w:pPr>
            <w:r>
              <w:rPr>
                <w:rFonts w:ascii="Times New Roman" w:cs="Times New Roman" w:eastAsia="Times New Roman" w:hAnsi="Times New Roman"/>
                <w:sz w:val="22"/>
                <w:szCs w:val="22"/>
                <w:color w:val="auto"/>
              </w:rPr>
              <w:t>(972)</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448-1445 fax</w:t>
            </w:r>
          </w:p>
        </w:tc>
      </w:tr>
      <w:tr>
        <w:trPr>
          <w:trHeight w:val="420"/>
        </w:trPr>
        <w:tc>
          <w:tcPr>
            <w:tcW w:w="4020" w:type="dxa"/>
            <w:vAlign w:val="bottom"/>
          </w:tcPr>
          <w:p>
            <w:pPr>
              <w:spacing w:after="0"/>
              <w:rPr>
                <w:sz w:val="20"/>
                <w:szCs w:val="20"/>
                <w:color w:val="auto"/>
              </w:rPr>
            </w:pPr>
            <w:r>
              <w:rPr>
                <w:rFonts w:ascii="Times New Roman" w:cs="Times New Roman" w:eastAsia="Times New Roman" w:hAnsi="Times New Roman"/>
                <w:sz w:val="22"/>
                <w:szCs w:val="22"/>
                <w:color w:val="auto"/>
              </w:rPr>
              <w:t>NL Industries, Inc.</w:t>
            </w:r>
          </w:p>
        </w:tc>
        <w:tc>
          <w:tcPr>
            <w:tcW w:w="3740" w:type="dxa"/>
            <w:vAlign w:val="bottom"/>
            <w:gridSpan w:val="2"/>
          </w:tcPr>
          <w:p>
            <w:pPr>
              <w:ind w:left="1740"/>
              <w:spacing w:after="0"/>
              <w:rPr>
                <w:sz w:val="20"/>
                <w:szCs w:val="20"/>
                <w:color w:val="auto"/>
              </w:rPr>
            </w:pPr>
            <w:r>
              <w:rPr>
                <w:rFonts w:ascii="Times New Roman" w:cs="Times New Roman" w:eastAsia="Times New Roman" w:hAnsi="Times New Roman"/>
                <w:sz w:val="22"/>
                <w:szCs w:val="22"/>
                <w:color w:val="auto"/>
                <w:w w:val="99"/>
              </w:rPr>
              <w:t>Attn: General Counsel</w:t>
            </w:r>
          </w:p>
        </w:tc>
      </w:tr>
      <w:tr>
        <w:trPr>
          <w:trHeight w:val="243"/>
        </w:trPr>
        <w:tc>
          <w:tcPr>
            <w:tcW w:w="4020" w:type="dxa"/>
            <w:vAlign w:val="bottom"/>
          </w:tcPr>
          <w:p>
            <w:pPr>
              <w:spacing w:after="0"/>
              <w:rPr>
                <w:sz w:val="21"/>
                <w:szCs w:val="21"/>
                <w:color w:val="auto"/>
              </w:rPr>
            </w:pPr>
          </w:p>
        </w:tc>
        <w:tc>
          <w:tcPr>
            <w:tcW w:w="3740" w:type="dxa"/>
            <w:vAlign w:val="bottom"/>
            <w:gridSpan w:val="2"/>
          </w:tcPr>
          <w:p>
            <w:pPr>
              <w:ind w:left="1740"/>
              <w:spacing w:after="0" w:line="243" w:lineRule="exact"/>
              <w:rPr>
                <w:sz w:val="20"/>
                <w:szCs w:val="20"/>
                <w:color w:val="auto"/>
              </w:rPr>
            </w:pPr>
            <w:r>
              <w:rPr>
                <w:rFonts w:ascii="Times New Roman" w:cs="Times New Roman" w:eastAsia="Times New Roman" w:hAnsi="Times New Roman"/>
                <w:sz w:val="22"/>
                <w:szCs w:val="22"/>
                <w:color w:val="auto"/>
              </w:rPr>
              <w:t>Three Lincoln Centre</w:t>
            </w:r>
          </w:p>
        </w:tc>
      </w:tr>
      <w:tr>
        <w:trPr>
          <w:trHeight w:val="243"/>
        </w:trPr>
        <w:tc>
          <w:tcPr>
            <w:tcW w:w="4020" w:type="dxa"/>
            <w:vAlign w:val="bottom"/>
          </w:tcPr>
          <w:p>
            <w:pPr>
              <w:spacing w:after="0"/>
              <w:rPr>
                <w:sz w:val="21"/>
                <w:szCs w:val="21"/>
                <w:color w:val="auto"/>
              </w:rPr>
            </w:pPr>
          </w:p>
        </w:tc>
        <w:tc>
          <w:tcPr>
            <w:tcW w:w="3740" w:type="dxa"/>
            <w:vAlign w:val="bottom"/>
            <w:gridSpan w:val="2"/>
          </w:tcPr>
          <w:p>
            <w:pPr>
              <w:ind w:left="1740"/>
              <w:spacing w:after="0" w:line="243" w:lineRule="exact"/>
              <w:rPr>
                <w:sz w:val="20"/>
                <w:szCs w:val="20"/>
                <w:color w:val="auto"/>
              </w:rPr>
            </w:pPr>
            <w:r>
              <w:rPr>
                <w:rFonts w:ascii="Times New Roman" w:cs="Times New Roman" w:eastAsia="Times New Roman" w:hAnsi="Times New Roman"/>
                <w:sz w:val="22"/>
                <w:szCs w:val="22"/>
                <w:color w:val="auto"/>
              </w:rPr>
              <w:t>5430 LBJ Freeway</w:t>
            </w:r>
          </w:p>
        </w:tc>
      </w:tr>
      <w:tr>
        <w:trPr>
          <w:trHeight w:val="243"/>
        </w:trPr>
        <w:tc>
          <w:tcPr>
            <w:tcW w:w="4020" w:type="dxa"/>
            <w:vAlign w:val="bottom"/>
          </w:tcPr>
          <w:p>
            <w:pPr>
              <w:spacing w:after="0"/>
              <w:rPr>
                <w:sz w:val="21"/>
                <w:szCs w:val="21"/>
                <w:color w:val="auto"/>
              </w:rPr>
            </w:pPr>
          </w:p>
        </w:tc>
        <w:tc>
          <w:tcPr>
            <w:tcW w:w="3740" w:type="dxa"/>
            <w:vAlign w:val="bottom"/>
            <w:gridSpan w:val="2"/>
          </w:tcPr>
          <w:p>
            <w:pPr>
              <w:ind w:left="1740"/>
              <w:spacing w:after="0" w:line="243" w:lineRule="exact"/>
              <w:rPr>
                <w:sz w:val="20"/>
                <w:szCs w:val="20"/>
                <w:color w:val="auto"/>
              </w:rPr>
            </w:pPr>
            <w:r>
              <w:rPr>
                <w:rFonts w:ascii="Times New Roman" w:cs="Times New Roman" w:eastAsia="Times New Roman" w:hAnsi="Times New Roman"/>
                <w:sz w:val="22"/>
                <w:szCs w:val="22"/>
                <w:color w:val="auto"/>
              </w:rPr>
              <w:t>Suite 1700</w:t>
            </w:r>
          </w:p>
        </w:tc>
      </w:tr>
      <w:tr>
        <w:trPr>
          <w:trHeight w:val="243"/>
        </w:trPr>
        <w:tc>
          <w:tcPr>
            <w:tcW w:w="4020" w:type="dxa"/>
            <w:vAlign w:val="bottom"/>
          </w:tcPr>
          <w:p>
            <w:pPr>
              <w:spacing w:after="0"/>
              <w:rPr>
                <w:sz w:val="21"/>
                <w:szCs w:val="21"/>
                <w:color w:val="auto"/>
              </w:rPr>
            </w:pPr>
          </w:p>
        </w:tc>
        <w:tc>
          <w:tcPr>
            <w:tcW w:w="3740" w:type="dxa"/>
            <w:vAlign w:val="bottom"/>
            <w:gridSpan w:val="2"/>
          </w:tcPr>
          <w:p>
            <w:pPr>
              <w:ind w:left="1740"/>
              <w:spacing w:after="0" w:line="243" w:lineRule="exact"/>
              <w:rPr>
                <w:sz w:val="20"/>
                <w:szCs w:val="20"/>
                <w:color w:val="auto"/>
              </w:rPr>
            </w:pPr>
            <w:r>
              <w:rPr>
                <w:rFonts w:ascii="Times New Roman" w:cs="Times New Roman" w:eastAsia="Times New Roman" w:hAnsi="Times New Roman"/>
                <w:sz w:val="22"/>
                <w:szCs w:val="22"/>
                <w:color w:val="auto"/>
              </w:rPr>
              <w:t>Dallas, Texas 75240</w:t>
            </w:r>
          </w:p>
        </w:tc>
      </w:tr>
      <w:tr>
        <w:trPr>
          <w:trHeight w:val="243"/>
        </w:trPr>
        <w:tc>
          <w:tcPr>
            <w:tcW w:w="4020" w:type="dxa"/>
            <w:vAlign w:val="bottom"/>
          </w:tcPr>
          <w:p>
            <w:pPr>
              <w:spacing w:after="0"/>
              <w:rPr>
                <w:sz w:val="21"/>
                <w:szCs w:val="21"/>
                <w:color w:val="auto"/>
              </w:rPr>
            </w:pPr>
          </w:p>
        </w:tc>
        <w:tc>
          <w:tcPr>
            <w:tcW w:w="2240" w:type="dxa"/>
            <w:vAlign w:val="bottom"/>
          </w:tcPr>
          <w:p>
            <w:pPr>
              <w:ind w:left="1740"/>
              <w:spacing w:after="0" w:line="243" w:lineRule="exact"/>
              <w:rPr>
                <w:sz w:val="20"/>
                <w:szCs w:val="20"/>
                <w:color w:val="auto"/>
              </w:rPr>
            </w:pPr>
            <w:r>
              <w:rPr>
                <w:rFonts w:ascii="Times New Roman" w:cs="Times New Roman" w:eastAsia="Times New Roman" w:hAnsi="Times New Roman"/>
                <w:sz w:val="22"/>
                <w:szCs w:val="22"/>
                <w:color w:val="auto"/>
              </w:rPr>
              <w:t>(972)</w:t>
            </w:r>
          </w:p>
        </w:tc>
        <w:tc>
          <w:tcPr>
            <w:tcW w:w="15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233-1700 phone</w:t>
            </w:r>
          </w:p>
        </w:tc>
      </w:tr>
      <w:tr>
        <w:trPr>
          <w:trHeight w:val="283"/>
        </w:trPr>
        <w:tc>
          <w:tcPr>
            <w:tcW w:w="4020" w:type="dxa"/>
            <w:vAlign w:val="bottom"/>
          </w:tcPr>
          <w:p>
            <w:pPr>
              <w:spacing w:after="0"/>
              <w:rPr>
                <w:sz w:val="24"/>
                <w:szCs w:val="24"/>
                <w:color w:val="auto"/>
              </w:rPr>
            </w:pPr>
          </w:p>
        </w:tc>
        <w:tc>
          <w:tcPr>
            <w:tcW w:w="2240" w:type="dxa"/>
            <w:vAlign w:val="bottom"/>
          </w:tcPr>
          <w:p>
            <w:pPr>
              <w:ind w:left="1740"/>
              <w:spacing w:after="0"/>
              <w:rPr>
                <w:sz w:val="20"/>
                <w:szCs w:val="20"/>
                <w:color w:val="auto"/>
              </w:rPr>
            </w:pPr>
            <w:r>
              <w:rPr>
                <w:rFonts w:ascii="Times New Roman" w:cs="Times New Roman" w:eastAsia="Times New Roman" w:hAnsi="Times New Roman"/>
                <w:sz w:val="22"/>
                <w:szCs w:val="22"/>
                <w:color w:val="auto"/>
              </w:rPr>
              <w:t>(972)</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448-1445 fax</w:t>
            </w:r>
          </w:p>
        </w:tc>
      </w:tr>
      <w:tr>
        <w:trPr>
          <w:trHeight w:val="636"/>
        </w:trPr>
        <w:tc>
          <w:tcPr>
            <w:tcW w:w="4020" w:type="dxa"/>
            <w:vAlign w:val="bottom"/>
          </w:tcPr>
          <w:p>
            <w:pPr>
              <w:spacing w:after="0"/>
              <w:rPr>
                <w:sz w:val="20"/>
                <w:szCs w:val="20"/>
                <w:color w:val="auto"/>
              </w:rPr>
            </w:pPr>
            <w:r>
              <w:rPr>
                <w:rFonts w:ascii="Times New Roman" w:cs="Times New Roman" w:eastAsia="Times New Roman" w:hAnsi="Times New Roman"/>
                <w:sz w:val="22"/>
                <w:szCs w:val="22"/>
                <w:color w:val="auto"/>
              </w:rPr>
              <w:t>Valhi, Inc.:</w:t>
            </w:r>
          </w:p>
        </w:tc>
        <w:tc>
          <w:tcPr>
            <w:tcW w:w="3740" w:type="dxa"/>
            <w:vAlign w:val="bottom"/>
            <w:gridSpan w:val="2"/>
          </w:tcPr>
          <w:p>
            <w:pPr>
              <w:ind w:left="1740"/>
              <w:spacing w:after="0"/>
              <w:rPr>
                <w:sz w:val="20"/>
                <w:szCs w:val="20"/>
                <w:color w:val="auto"/>
              </w:rPr>
            </w:pPr>
            <w:r>
              <w:rPr>
                <w:rFonts w:ascii="Times New Roman" w:cs="Times New Roman" w:eastAsia="Times New Roman" w:hAnsi="Times New Roman"/>
                <w:sz w:val="22"/>
                <w:szCs w:val="22"/>
                <w:color w:val="auto"/>
                <w:w w:val="99"/>
              </w:rPr>
              <w:t>Attn: General Counsel</w:t>
            </w:r>
          </w:p>
        </w:tc>
      </w:tr>
      <w:tr>
        <w:trPr>
          <w:trHeight w:val="243"/>
        </w:trPr>
        <w:tc>
          <w:tcPr>
            <w:tcW w:w="4020" w:type="dxa"/>
            <w:vAlign w:val="bottom"/>
          </w:tcPr>
          <w:p>
            <w:pPr>
              <w:spacing w:after="0"/>
              <w:rPr>
                <w:sz w:val="21"/>
                <w:szCs w:val="21"/>
                <w:color w:val="auto"/>
              </w:rPr>
            </w:pPr>
          </w:p>
        </w:tc>
        <w:tc>
          <w:tcPr>
            <w:tcW w:w="3740" w:type="dxa"/>
            <w:vAlign w:val="bottom"/>
            <w:gridSpan w:val="2"/>
          </w:tcPr>
          <w:p>
            <w:pPr>
              <w:ind w:left="1740"/>
              <w:spacing w:after="0" w:line="243" w:lineRule="exact"/>
              <w:rPr>
                <w:sz w:val="20"/>
                <w:szCs w:val="20"/>
                <w:color w:val="auto"/>
              </w:rPr>
            </w:pPr>
            <w:r>
              <w:rPr>
                <w:rFonts w:ascii="Times New Roman" w:cs="Times New Roman" w:eastAsia="Times New Roman" w:hAnsi="Times New Roman"/>
                <w:sz w:val="22"/>
                <w:szCs w:val="22"/>
                <w:color w:val="auto"/>
              </w:rPr>
              <w:t>Three Lincoln Centre</w:t>
            </w:r>
          </w:p>
        </w:tc>
      </w:tr>
      <w:tr>
        <w:trPr>
          <w:trHeight w:val="243"/>
        </w:trPr>
        <w:tc>
          <w:tcPr>
            <w:tcW w:w="4020" w:type="dxa"/>
            <w:vAlign w:val="bottom"/>
          </w:tcPr>
          <w:p>
            <w:pPr>
              <w:spacing w:after="0"/>
              <w:rPr>
                <w:sz w:val="21"/>
                <w:szCs w:val="21"/>
                <w:color w:val="auto"/>
              </w:rPr>
            </w:pPr>
          </w:p>
        </w:tc>
        <w:tc>
          <w:tcPr>
            <w:tcW w:w="3740" w:type="dxa"/>
            <w:vAlign w:val="bottom"/>
            <w:gridSpan w:val="2"/>
          </w:tcPr>
          <w:p>
            <w:pPr>
              <w:ind w:left="1740"/>
              <w:spacing w:after="0" w:line="243" w:lineRule="exact"/>
              <w:rPr>
                <w:sz w:val="20"/>
                <w:szCs w:val="20"/>
                <w:color w:val="auto"/>
              </w:rPr>
            </w:pPr>
            <w:r>
              <w:rPr>
                <w:rFonts w:ascii="Times New Roman" w:cs="Times New Roman" w:eastAsia="Times New Roman" w:hAnsi="Times New Roman"/>
                <w:sz w:val="22"/>
                <w:szCs w:val="22"/>
                <w:color w:val="auto"/>
              </w:rPr>
              <w:t>5430 LBJ Freeway</w:t>
            </w:r>
          </w:p>
        </w:tc>
      </w:tr>
      <w:tr>
        <w:trPr>
          <w:trHeight w:val="243"/>
        </w:trPr>
        <w:tc>
          <w:tcPr>
            <w:tcW w:w="4020" w:type="dxa"/>
            <w:vAlign w:val="bottom"/>
          </w:tcPr>
          <w:p>
            <w:pPr>
              <w:spacing w:after="0"/>
              <w:rPr>
                <w:sz w:val="21"/>
                <w:szCs w:val="21"/>
                <w:color w:val="auto"/>
              </w:rPr>
            </w:pPr>
          </w:p>
        </w:tc>
        <w:tc>
          <w:tcPr>
            <w:tcW w:w="3740" w:type="dxa"/>
            <w:vAlign w:val="bottom"/>
            <w:gridSpan w:val="2"/>
          </w:tcPr>
          <w:p>
            <w:pPr>
              <w:ind w:left="1740"/>
              <w:spacing w:after="0" w:line="243" w:lineRule="exact"/>
              <w:rPr>
                <w:sz w:val="20"/>
                <w:szCs w:val="20"/>
                <w:color w:val="auto"/>
              </w:rPr>
            </w:pPr>
            <w:r>
              <w:rPr>
                <w:rFonts w:ascii="Times New Roman" w:cs="Times New Roman" w:eastAsia="Times New Roman" w:hAnsi="Times New Roman"/>
                <w:sz w:val="22"/>
                <w:szCs w:val="22"/>
                <w:color w:val="auto"/>
              </w:rPr>
              <w:t>Suite 1700</w:t>
            </w:r>
          </w:p>
        </w:tc>
      </w:tr>
      <w:tr>
        <w:trPr>
          <w:trHeight w:val="243"/>
        </w:trPr>
        <w:tc>
          <w:tcPr>
            <w:tcW w:w="4020" w:type="dxa"/>
            <w:vAlign w:val="bottom"/>
          </w:tcPr>
          <w:p>
            <w:pPr>
              <w:spacing w:after="0"/>
              <w:rPr>
                <w:sz w:val="21"/>
                <w:szCs w:val="21"/>
                <w:color w:val="auto"/>
              </w:rPr>
            </w:pPr>
          </w:p>
        </w:tc>
        <w:tc>
          <w:tcPr>
            <w:tcW w:w="3740" w:type="dxa"/>
            <w:vAlign w:val="bottom"/>
            <w:gridSpan w:val="2"/>
          </w:tcPr>
          <w:p>
            <w:pPr>
              <w:ind w:left="1740"/>
              <w:spacing w:after="0" w:line="243" w:lineRule="exact"/>
              <w:rPr>
                <w:sz w:val="20"/>
                <w:szCs w:val="20"/>
                <w:color w:val="auto"/>
              </w:rPr>
            </w:pPr>
            <w:r>
              <w:rPr>
                <w:rFonts w:ascii="Times New Roman" w:cs="Times New Roman" w:eastAsia="Times New Roman" w:hAnsi="Times New Roman"/>
                <w:sz w:val="22"/>
                <w:szCs w:val="22"/>
                <w:color w:val="auto"/>
              </w:rPr>
              <w:t>Dallas, Texas 75240</w:t>
            </w:r>
          </w:p>
        </w:tc>
      </w:tr>
      <w:tr>
        <w:trPr>
          <w:trHeight w:val="243"/>
        </w:trPr>
        <w:tc>
          <w:tcPr>
            <w:tcW w:w="4020" w:type="dxa"/>
            <w:vAlign w:val="bottom"/>
          </w:tcPr>
          <w:p>
            <w:pPr>
              <w:spacing w:after="0"/>
              <w:rPr>
                <w:sz w:val="21"/>
                <w:szCs w:val="21"/>
                <w:color w:val="auto"/>
              </w:rPr>
            </w:pPr>
          </w:p>
        </w:tc>
        <w:tc>
          <w:tcPr>
            <w:tcW w:w="2240" w:type="dxa"/>
            <w:vAlign w:val="bottom"/>
          </w:tcPr>
          <w:p>
            <w:pPr>
              <w:ind w:left="1740"/>
              <w:spacing w:after="0" w:line="243" w:lineRule="exact"/>
              <w:rPr>
                <w:sz w:val="20"/>
                <w:szCs w:val="20"/>
                <w:color w:val="auto"/>
              </w:rPr>
            </w:pPr>
            <w:r>
              <w:rPr>
                <w:rFonts w:ascii="Times New Roman" w:cs="Times New Roman" w:eastAsia="Times New Roman" w:hAnsi="Times New Roman"/>
                <w:sz w:val="22"/>
                <w:szCs w:val="22"/>
                <w:color w:val="auto"/>
              </w:rPr>
              <w:t>(972)</w:t>
            </w:r>
          </w:p>
        </w:tc>
        <w:tc>
          <w:tcPr>
            <w:tcW w:w="15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233-1700 phone</w:t>
            </w:r>
          </w:p>
        </w:tc>
      </w:tr>
      <w:tr>
        <w:trPr>
          <w:trHeight w:val="283"/>
        </w:trPr>
        <w:tc>
          <w:tcPr>
            <w:tcW w:w="4020" w:type="dxa"/>
            <w:vAlign w:val="bottom"/>
          </w:tcPr>
          <w:p>
            <w:pPr>
              <w:spacing w:after="0"/>
              <w:rPr>
                <w:sz w:val="24"/>
                <w:szCs w:val="24"/>
                <w:color w:val="auto"/>
              </w:rPr>
            </w:pPr>
          </w:p>
        </w:tc>
        <w:tc>
          <w:tcPr>
            <w:tcW w:w="2240" w:type="dxa"/>
            <w:vAlign w:val="bottom"/>
          </w:tcPr>
          <w:p>
            <w:pPr>
              <w:ind w:left="1740"/>
              <w:spacing w:after="0"/>
              <w:rPr>
                <w:sz w:val="20"/>
                <w:szCs w:val="20"/>
                <w:color w:val="auto"/>
              </w:rPr>
            </w:pPr>
            <w:r>
              <w:rPr>
                <w:rFonts w:ascii="Times New Roman" w:cs="Times New Roman" w:eastAsia="Times New Roman" w:hAnsi="Times New Roman"/>
                <w:sz w:val="22"/>
                <w:szCs w:val="22"/>
                <w:color w:val="auto"/>
              </w:rPr>
              <w:t>(972)</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448-1445 fax</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48" w:name="page49"/>
    <w:bookmarkEnd w:id="48"/>
    <w:p>
      <w:pPr>
        <w:ind w:left="920" w:hanging="912"/>
        <w:spacing w:after="0"/>
        <w:tabs>
          <w:tab w:leader="none" w:pos="92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and Restatement and Integration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Agreement:</w:t>
      </w:r>
    </w:p>
    <w:p>
      <w:pPr>
        <w:spacing w:after="0" w:line="206" w:lineRule="exact"/>
        <w:rPr>
          <w:sz w:val="20"/>
          <w:szCs w:val="20"/>
          <w:color w:val="auto"/>
        </w:rPr>
      </w:pPr>
    </w:p>
    <w:p>
      <w:pPr>
        <w:ind w:left="1740" w:hanging="868"/>
        <w:spacing w:after="0"/>
        <w:tabs>
          <w:tab w:leader="none" w:pos="174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amends, restates and replaces in its entirety the Prior Agreement; and</w:t>
      </w:r>
    </w:p>
    <w:p>
      <w:pPr>
        <w:spacing w:after="0" w:line="206" w:lineRule="exact"/>
        <w:rPr>
          <w:rFonts w:ascii="Times New Roman" w:cs="Times New Roman" w:eastAsia="Times New Roman" w:hAnsi="Times New Roman"/>
          <w:sz w:val="22"/>
          <w:szCs w:val="22"/>
          <w:color w:val="auto"/>
        </w:rPr>
      </w:pPr>
    </w:p>
    <w:p>
      <w:pPr>
        <w:ind w:left="1740" w:hanging="868"/>
        <w:spacing w:after="0" w:line="258" w:lineRule="auto"/>
        <w:tabs>
          <w:tab w:leader="none" w:pos="174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constitutes the entire agreement among the Parties with respect to the subject matter hereof, and supersedes all discussions, agreements and understandings, both written and oral, among the Parties with respect thereto.</w:t>
      </w:r>
    </w:p>
    <w:p>
      <w:pPr>
        <w:spacing w:after="0" w:line="15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Agreement shall be binding upon and inure to the benefit of the Parties hereto. In case any one or more of the provisions contained in this Agreement shall be invalid, illegal or unenforceable in any respect, the validity, legality and enforceability of the remaining provisions contained herein shall not in any way be affected or impaired hereby.</w:t>
      </w:r>
    </w:p>
    <w:p>
      <w:pPr>
        <w:spacing w:after="0" w:line="170" w:lineRule="exact"/>
        <w:rPr>
          <w:sz w:val="20"/>
          <w:szCs w:val="20"/>
          <w:color w:val="auto"/>
        </w:rPr>
      </w:pPr>
    </w:p>
    <w:p>
      <w:pPr>
        <w:ind w:left="920" w:hanging="912"/>
        <w:spacing w:after="0"/>
        <w:tabs>
          <w:tab w:leader="none" w:pos="920"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Agreement may be terminated by each of the Parties upon one (1) year’s written notice to the other Parties.</w:t>
      </w:r>
    </w:p>
    <w:p>
      <w:pPr>
        <w:spacing w:after="0" w:line="202" w:lineRule="exact"/>
        <w:rPr>
          <w:sz w:val="20"/>
          <w:szCs w:val="20"/>
          <w:color w:val="auto"/>
        </w:rPr>
      </w:pPr>
    </w:p>
    <w:p>
      <w:pPr>
        <w:ind w:left="920" w:hanging="912"/>
        <w:spacing w:after="0"/>
        <w:tabs>
          <w:tab w:leader="none" w:pos="920"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Agreement shall not be assignable by any Party without the prior written consent of the other Parties, except that any successor to a Party may assume the rights and obligations of the Party under this Agreement. Nothing in this Agreement, expressed or implied, is intended to confer upon any person, other than the Parties hereto and their successors and assigns, any rights or remedies under or by reason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49" w:name="page50"/>
    <w:bookmarkEnd w:id="49"/>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Parties have executed this Agreement as of the date of this Agreement by their duly authorized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representatives.</w:t>
      </w:r>
    </w:p>
    <w:p>
      <w:pPr>
        <w:sectPr>
          <w:pgSz w:w="11900" w:h="16838" w:orient="portrait"/>
          <w:cols w:equalWidth="0" w:num="1">
            <w:col w:w="11420"/>
          </w:cols>
          <w:pgMar w:left="240" w:top="324" w:right="239" w:bottom="1440" w:gutter="0" w:footer="0" w:header="0"/>
        </w:sectPr>
      </w:pP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CompX International Inc.</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NL Industries, Inc.</w:t>
      </w:r>
    </w:p>
    <w:p>
      <w:pPr>
        <w:spacing w:after="0" w:line="200" w:lineRule="exact"/>
        <w:rPr>
          <w:sz w:val="20"/>
          <w:szCs w:val="20"/>
          <w:color w:val="auto"/>
        </w:rPr>
      </w:pPr>
    </w:p>
    <w:p>
      <w:pPr>
        <w:sectPr>
          <w:pgSz w:w="11900" w:h="16838" w:orient="portrait"/>
          <w:cols w:equalWidth="0" w:num="2">
            <w:col w:w="5000" w:space="720"/>
            <w:col w:w="5700"/>
          </w:cols>
          <w:pgMar w:left="240" w:top="324" w:right="239" w:bottom="1440" w:gutter="0" w:footer="0" w:header="0"/>
          <w:type w:val="continuous"/>
        </w:sect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James W. Brown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Gregory M. Swalwell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1" w:lineRule="exact"/>
        <w:rPr>
          <w:sz w:val="20"/>
          <w:szCs w:val="20"/>
          <w:color w:val="auto"/>
        </w:rPr>
      </w:pPr>
    </w:p>
    <w:p>
      <w:pPr>
        <w:sectPr>
          <w:pgSz w:w="11900" w:h="16838" w:orient="portrait"/>
          <w:cols w:equalWidth="0" w:num="2">
            <w:col w:w="5000" w:space="720"/>
            <w:col w:w="5700"/>
          </w:cols>
          <w:pgMar w:left="240" w:top="324" w:right="239" w:bottom="1440" w:gutter="0" w:footer="0" w:header="0"/>
          <w:type w:val="continuous"/>
        </w:sectPr>
      </w:pPr>
    </w:p>
    <w:p>
      <w:pPr>
        <w:ind w:left="560"/>
        <w:spacing w:after="0" w:line="221" w:lineRule="auto"/>
        <w:rPr>
          <w:sz w:val="20"/>
          <w:szCs w:val="20"/>
          <w:color w:val="auto"/>
        </w:rPr>
      </w:pPr>
      <w:r>
        <w:rPr>
          <w:rFonts w:ascii="Times New Roman" w:cs="Times New Roman" w:eastAsia="Times New Roman" w:hAnsi="Times New Roman"/>
          <w:sz w:val="22"/>
          <w:szCs w:val="22"/>
          <w:color w:val="auto"/>
        </w:rPr>
        <w:t>James W. Brown</w:t>
      </w:r>
    </w:p>
    <w:p>
      <w:pPr>
        <w:ind w:left="560"/>
        <w:spacing w:after="0"/>
        <w:rPr>
          <w:sz w:val="20"/>
          <w:szCs w:val="20"/>
          <w:color w:val="auto"/>
        </w:rPr>
      </w:pPr>
      <w:r>
        <w:rPr>
          <w:rFonts w:ascii="Times New Roman" w:cs="Times New Roman" w:eastAsia="Times New Roman" w:hAnsi="Times New Roman"/>
          <w:sz w:val="21"/>
          <w:szCs w:val="21"/>
          <w:color w:val="auto"/>
        </w:rPr>
        <w:t>Vice President, Chief Financial Officer and Controller</w:t>
      </w:r>
    </w:p>
    <w:p>
      <w:pPr>
        <w:spacing w:after="0" w:line="20" w:lineRule="exact"/>
        <w:rPr>
          <w:sz w:val="20"/>
          <w:szCs w:val="20"/>
          <w:color w:val="auto"/>
        </w:rPr>
      </w:pPr>
      <w:r>
        <w:rPr>
          <w:sz w:val="20"/>
          <w:szCs w:val="20"/>
          <w:color w:val="auto"/>
        </w:rPr>
        <w:br w:type="column"/>
      </w:r>
    </w:p>
    <w:p>
      <w:pPr>
        <w:spacing w:after="0" w:line="221" w:lineRule="auto"/>
        <w:rPr>
          <w:sz w:val="20"/>
          <w:szCs w:val="20"/>
          <w:color w:val="auto"/>
        </w:rPr>
      </w:pPr>
      <w:r>
        <w:rPr>
          <w:rFonts w:ascii="Times New Roman" w:cs="Times New Roman" w:eastAsia="Times New Roman" w:hAnsi="Times New Roman"/>
          <w:sz w:val="22"/>
          <w:szCs w:val="22"/>
          <w:color w:val="auto"/>
        </w:rPr>
        <w:t>Gregory M. Swalwell</w:t>
      </w:r>
    </w:p>
    <w:p>
      <w:pPr>
        <w:spacing w:after="0"/>
        <w:rPr>
          <w:sz w:val="20"/>
          <w:szCs w:val="20"/>
          <w:color w:val="auto"/>
        </w:rPr>
      </w:pPr>
      <w:r>
        <w:rPr>
          <w:rFonts w:ascii="Times New Roman" w:cs="Times New Roman" w:eastAsia="Times New Roman" w:hAnsi="Times New Roman"/>
          <w:sz w:val="21"/>
          <w:szCs w:val="21"/>
          <w:color w:val="auto"/>
        </w:rPr>
        <w:t>Executive Vice President and Chief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Financial Officer</w:t>
      </w:r>
    </w:p>
    <w:p>
      <w:pPr>
        <w:spacing w:after="0" w:line="178" w:lineRule="exact"/>
        <w:rPr>
          <w:sz w:val="20"/>
          <w:szCs w:val="20"/>
          <w:color w:val="auto"/>
        </w:rPr>
      </w:pPr>
    </w:p>
    <w:p>
      <w:pPr>
        <w:sectPr>
          <w:pgSz w:w="11900" w:h="16838" w:orient="portrait"/>
          <w:cols w:equalWidth="0" w:num="2">
            <w:col w:w="5560" w:space="720"/>
            <w:col w:w="5140"/>
          </w:cols>
          <w:pgMar w:left="240" w:top="324" w:right="2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Contran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Valhi, Inc.</w:t>
      </w:r>
    </w:p>
    <w:p>
      <w:pPr>
        <w:spacing w:after="0" w:line="200" w:lineRule="exact"/>
        <w:rPr>
          <w:sz w:val="20"/>
          <w:szCs w:val="20"/>
          <w:color w:val="auto"/>
        </w:rPr>
      </w:pPr>
    </w:p>
    <w:p>
      <w:pPr>
        <w:sectPr>
          <w:pgSz w:w="11900" w:h="16838" w:orient="portrait"/>
          <w:cols w:equalWidth="0" w:num="2">
            <w:col w:w="5000" w:space="720"/>
            <w:col w:w="5700"/>
          </w:cols>
          <w:pgMar w:left="240" w:top="324" w:right="239" w:bottom="1440" w:gutter="0" w:footer="0" w:header="0"/>
          <w:type w:val="continuous"/>
        </w:sect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Gregory M. Swalwell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Gregory M. Swalwell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1" w:lineRule="exact"/>
        <w:rPr>
          <w:sz w:val="20"/>
          <w:szCs w:val="20"/>
          <w:color w:val="auto"/>
        </w:rPr>
      </w:pPr>
    </w:p>
    <w:p>
      <w:pPr>
        <w:sectPr>
          <w:pgSz w:w="11900" w:h="16838" w:orient="portrait"/>
          <w:cols w:equalWidth="0" w:num="2">
            <w:col w:w="5000" w:space="720"/>
            <w:col w:w="5700"/>
          </w:cols>
          <w:pgMar w:left="240" w:top="324" w:right="239" w:bottom="1440" w:gutter="0" w:footer="0" w:header="0"/>
          <w:type w:val="continuous"/>
        </w:sectPr>
      </w:pPr>
    </w:p>
    <w:p>
      <w:pPr>
        <w:ind w:left="560"/>
        <w:spacing w:after="0" w:line="221" w:lineRule="auto"/>
        <w:rPr>
          <w:sz w:val="20"/>
          <w:szCs w:val="20"/>
          <w:color w:val="auto"/>
        </w:rPr>
      </w:pPr>
      <w:r>
        <w:rPr>
          <w:rFonts w:ascii="Times New Roman" w:cs="Times New Roman" w:eastAsia="Times New Roman" w:hAnsi="Times New Roman"/>
          <w:sz w:val="22"/>
          <w:szCs w:val="22"/>
          <w:color w:val="auto"/>
        </w:rPr>
        <w:t>Gregory M. Swalwell</w:t>
      </w:r>
    </w:p>
    <w:p>
      <w:pPr>
        <w:ind w:left="560"/>
        <w:spacing w:after="0"/>
        <w:rPr>
          <w:sz w:val="20"/>
          <w:szCs w:val="20"/>
          <w:color w:val="auto"/>
        </w:rPr>
      </w:pPr>
      <w:r>
        <w:rPr>
          <w:rFonts w:ascii="Times New Roman" w:cs="Times New Roman" w:eastAsia="Times New Roman" w:hAnsi="Times New Roman"/>
          <w:sz w:val="21"/>
          <w:szCs w:val="21"/>
          <w:color w:val="auto"/>
        </w:rPr>
        <w:t>Executive Vice President, Chief Financial Officer and</w:t>
      </w:r>
    </w:p>
    <w:p>
      <w:pPr>
        <w:spacing w:after="0" w:line="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Chief Accounting Officer</w:t>
      </w:r>
    </w:p>
    <w:p>
      <w:pPr>
        <w:spacing w:after="0" w:line="20" w:lineRule="exact"/>
        <w:rPr>
          <w:sz w:val="20"/>
          <w:szCs w:val="20"/>
          <w:color w:val="auto"/>
        </w:rPr>
      </w:pPr>
      <w:r>
        <w:rPr>
          <w:sz w:val="20"/>
          <w:szCs w:val="20"/>
          <w:color w:val="auto"/>
        </w:rPr>
        <w:br w:type="column"/>
      </w:r>
    </w:p>
    <w:p>
      <w:pPr>
        <w:spacing w:after="0" w:line="221" w:lineRule="auto"/>
        <w:rPr>
          <w:sz w:val="20"/>
          <w:szCs w:val="20"/>
          <w:color w:val="auto"/>
        </w:rPr>
      </w:pPr>
      <w:r>
        <w:rPr>
          <w:rFonts w:ascii="Times New Roman" w:cs="Times New Roman" w:eastAsia="Times New Roman" w:hAnsi="Times New Roman"/>
          <w:sz w:val="22"/>
          <w:szCs w:val="22"/>
          <w:color w:val="auto"/>
        </w:rPr>
        <w:t>Gregory M. Swalwell.</w:t>
      </w:r>
    </w:p>
    <w:p>
      <w:pPr>
        <w:spacing w:after="0"/>
        <w:rPr>
          <w:sz w:val="20"/>
          <w:szCs w:val="20"/>
          <w:color w:val="auto"/>
        </w:rPr>
      </w:pPr>
      <w:r>
        <w:rPr>
          <w:rFonts w:ascii="Times New Roman" w:cs="Times New Roman" w:eastAsia="Times New Roman" w:hAnsi="Times New Roman"/>
          <w:sz w:val="21"/>
          <w:szCs w:val="21"/>
          <w:color w:val="auto"/>
        </w:rPr>
        <w:t>Executive Vice President, Chief Financial Officer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Accounting Officer</w:t>
      </w:r>
    </w:p>
    <w:p>
      <w:pPr>
        <w:spacing w:after="0" w:line="200" w:lineRule="exact"/>
        <w:rPr>
          <w:sz w:val="20"/>
          <w:szCs w:val="20"/>
          <w:color w:val="auto"/>
        </w:rPr>
      </w:pPr>
    </w:p>
    <w:p>
      <w:pPr>
        <w:sectPr>
          <w:pgSz w:w="11900" w:h="16838" w:orient="portrait"/>
          <w:cols w:equalWidth="0" w:num="2">
            <w:col w:w="5560" w:space="720"/>
            <w:col w:w="5140"/>
          </w:cols>
          <w:pgMar w:left="240" w:top="324" w:right="2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Kronos Worldwide, Inc.</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Gregory M. Swalwell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ind w:left="560"/>
        <w:spacing w:after="0" w:line="230" w:lineRule="auto"/>
        <w:rPr>
          <w:sz w:val="20"/>
          <w:szCs w:val="20"/>
          <w:color w:val="auto"/>
        </w:rPr>
      </w:pPr>
      <w:r>
        <w:rPr>
          <w:rFonts w:ascii="Times New Roman" w:cs="Times New Roman" w:eastAsia="Times New Roman" w:hAnsi="Times New Roman"/>
          <w:sz w:val="22"/>
          <w:szCs w:val="22"/>
          <w:color w:val="auto"/>
        </w:rPr>
        <w:t>Gregory M. Swalwell</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1"/>
          <w:szCs w:val="21"/>
          <w:color w:val="auto"/>
        </w:rPr>
        <w:t>Executive Vice President and Chief Financial Officer</w:t>
      </w:r>
    </w:p>
    <w:p>
      <w:pPr>
        <w:sectPr>
          <w:pgSz w:w="11900" w:h="16838" w:orient="portrait"/>
          <w:cols w:equalWidth="0" w:num="1">
            <w:col w:w="11420"/>
          </w:cols>
          <w:pgMar w:left="240" w:top="32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211455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type w:val="continuous"/>
        </w:sectPr>
      </w:pPr>
    </w:p>
    <w:bookmarkStart w:id="50" w:name="page51"/>
    <w:bookmarkEnd w:id="50"/>
    <w:p>
      <w:pPr>
        <w:ind w:left="470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ind w:right="3319"/>
        <w:spacing w:after="0"/>
        <w:rPr>
          <w:sz w:val="20"/>
          <w:szCs w:val="20"/>
          <w:color w:val="auto"/>
        </w:rPr>
      </w:pPr>
      <w:r>
        <w:rPr>
          <w:rFonts w:ascii="Times New Roman" w:cs="Times New Roman" w:eastAsia="Times New Roman" w:hAnsi="Times New Roman"/>
          <w:sz w:val="22"/>
          <w:szCs w:val="22"/>
          <w:b w:val="1"/>
          <w:bCs w:val="1"/>
          <w:color w:val="auto"/>
        </w:rPr>
        <w:t>Shared Insurance Policies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40" w:hanging="440"/>
        <w:spacing w:after="0"/>
        <w:tabs>
          <w:tab w:leader="none" w:pos="4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Directors and Officers Liability (Primary and Excess)</w:t>
      </w:r>
    </w:p>
    <w:p>
      <w:pPr>
        <w:spacing w:after="0" w:line="98" w:lineRule="exact"/>
        <w:rPr>
          <w:rFonts w:ascii="Times New Roman" w:cs="Times New Roman" w:eastAsia="Times New Roman" w:hAnsi="Times New Roman"/>
          <w:sz w:val="22"/>
          <w:szCs w:val="22"/>
          <w:color w:val="auto"/>
        </w:rPr>
      </w:pPr>
    </w:p>
    <w:p>
      <w:pPr>
        <w:ind w:left="440" w:hanging="440"/>
        <w:spacing w:after="0"/>
        <w:tabs>
          <w:tab w:leader="none" w:pos="4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Fiduciary liability</w:t>
      </w:r>
    </w:p>
    <w:p>
      <w:pPr>
        <w:spacing w:after="0" w:line="98" w:lineRule="exact"/>
        <w:rPr>
          <w:rFonts w:ascii="Times New Roman" w:cs="Times New Roman" w:eastAsia="Times New Roman" w:hAnsi="Times New Roman"/>
          <w:sz w:val="22"/>
          <w:szCs w:val="22"/>
          <w:color w:val="auto"/>
        </w:rPr>
      </w:pPr>
    </w:p>
    <w:p>
      <w:pPr>
        <w:ind w:left="440" w:hanging="440"/>
        <w:spacing w:after="0"/>
        <w:tabs>
          <w:tab w:leader="none" w:pos="4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Crime Insurance</w:t>
      </w:r>
    </w:p>
    <w:p>
      <w:pPr>
        <w:spacing w:after="0" w:line="98" w:lineRule="exact"/>
        <w:rPr>
          <w:rFonts w:ascii="Times New Roman" w:cs="Times New Roman" w:eastAsia="Times New Roman" w:hAnsi="Times New Roman"/>
          <w:sz w:val="22"/>
          <w:szCs w:val="22"/>
          <w:color w:val="auto"/>
        </w:rPr>
      </w:pPr>
    </w:p>
    <w:p>
      <w:pPr>
        <w:ind w:left="440" w:hanging="440"/>
        <w:spacing w:after="0"/>
        <w:tabs>
          <w:tab w:leader="none" w:pos="4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Liability (U.S)</w:t>
      </w:r>
    </w:p>
    <w:p>
      <w:pPr>
        <w:spacing w:after="0" w:line="98" w:lineRule="exact"/>
        <w:rPr>
          <w:rFonts w:ascii="Times New Roman" w:cs="Times New Roman" w:eastAsia="Times New Roman" w:hAnsi="Times New Roman"/>
          <w:sz w:val="22"/>
          <w:szCs w:val="22"/>
          <w:color w:val="auto"/>
        </w:rPr>
      </w:pPr>
    </w:p>
    <w:p>
      <w:pPr>
        <w:ind w:left="440" w:hanging="440"/>
        <w:spacing w:after="0"/>
        <w:tabs>
          <w:tab w:leader="none" w:pos="4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Excess Liability</w:t>
      </w:r>
    </w:p>
    <w:p>
      <w:pPr>
        <w:spacing w:after="0" w:line="98" w:lineRule="exact"/>
        <w:rPr>
          <w:rFonts w:ascii="Times New Roman" w:cs="Times New Roman" w:eastAsia="Times New Roman" w:hAnsi="Times New Roman"/>
          <w:sz w:val="22"/>
          <w:szCs w:val="22"/>
          <w:color w:val="auto"/>
        </w:rPr>
      </w:pPr>
    </w:p>
    <w:p>
      <w:pPr>
        <w:ind w:left="440" w:hanging="440"/>
        <w:spacing w:after="0"/>
        <w:tabs>
          <w:tab w:leader="none" w:pos="4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Property</w:t>
      </w:r>
    </w:p>
    <w:p>
      <w:pPr>
        <w:spacing w:after="0" w:line="98" w:lineRule="exact"/>
        <w:rPr>
          <w:rFonts w:ascii="Times New Roman" w:cs="Times New Roman" w:eastAsia="Times New Roman" w:hAnsi="Times New Roman"/>
          <w:sz w:val="22"/>
          <w:szCs w:val="22"/>
          <w:color w:val="auto"/>
        </w:rPr>
      </w:pPr>
    </w:p>
    <w:p>
      <w:pPr>
        <w:ind w:left="440" w:hanging="440"/>
        <w:spacing w:after="0"/>
        <w:tabs>
          <w:tab w:leader="none" w:pos="4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Deductible Buydown</w:t>
      </w:r>
    </w:p>
    <w:p>
      <w:pPr>
        <w:spacing w:after="0" w:line="200" w:lineRule="exact"/>
        <w:rPr>
          <w:sz w:val="20"/>
          <w:szCs w:val="20"/>
          <w:color w:val="auto"/>
        </w:rPr>
      </w:pPr>
    </w:p>
    <w:p>
      <w:pPr>
        <w:spacing w:after="0" w:line="26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Page 8 of 8</w:t>
      </w:r>
    </w:p>
    <w:p>
      <w:pPr>
        <w:sectPr>
          <w:pgSz w:w="11900" w:h="16838" w:orient="portrait"/>
          <w:cols w:equalWidth="0" w:num="1">
            <w:col w:w="9779"/>
          </w:cols>
          <w:pgMar w:left="680" w:top="324" w:right="1440" w:bottom="1440" w:gutter="0" w:footer="0" w:header="0"/>
        </w:sectPr>
      </w:pPr>
    </w:p>
    <w:bookmarkStart w:id="51" w:name="page52"/>
    <w:bookmarkEnd w:id="51"/>
    <w:p>
      <w:pPr>
        <w:ind w:left="10280"/>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UNSECURED REVOLVING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DEMAND PROMISSORY NOTE</w:t>
      </w:r>
    </w:p>
    <w:p>
      <w:pPr>
        <w:spacing w:after="0" w:line="203" w:lineRule="exact"/>
        <w:rPr>
          <w:sz w:val="20"/>
          <w:szCs w:val="20"/>
          <w:color w:val="auto"/>
        </w:rPr>
      </w:pPr>
    </w:p>
    <w:p>
      <w:pPr>
        <w:spacing w:after="0"/>
        <w:tabs>
          <w:tab w:leader="none" w:pos="9940" w:val="left"/>
        </w:tabs>
        <w:rPr>
          <w:sz w:val="20"/>
          <w:szCs w:val="20"/>
          <w:color w:val="auto"/>
        </w:rPr>
      </w:pPr>
      <w:r>
        <w:rPr>
          <w:rFonts w:ascii="Times New Roman" w:cs="Times New Roman" w:eastAsia="Times New Roman" w:hAnsi="Times New Roman"/>
          <w:sz w:val="18"/>
          <w:szCs w:val="18"/>
          <w:b w:val="1"/>
          <w:bCs w:val="1"/>
          <w:color w:val="auto"/>
        </w:rPr>
        <w:t>$40,000,000.00</w:t>
      </w:r>
      <w:r>
        <w:rPr>
          <w:sz w:val="20"/>
          <w:szCs w:val="20"/>
          <w:color w:val="auto"/>
        </w:rPr>
        <w:tab/>
      </w:r>
      <w:r>
        <w:rPr>
          <w:rFonts w:ascii="Times New Roman" w:cs="Times New Roman" w:eastAsia="Times New Roman" w:hAnsi="Times New Roman"/>
          <w:sz w:val="17"/>
          <w:szCs w:val="17"/>
          <w:b w:val="1"/>
          <w:bCs w:val="1"/>
          <w:color w:val="auto"/>
        </w:rPr>
        <w:t>December 31, 2018</w:t>
      </w:r>
    </w:p>
    <w:p>
      <w:pPr>
        <w:spacing w:after="0" w:line="200" w:lineRule="exact"/>
        <w:rPr>
          <w:sz w:val="20"/>
          <w:szCs w:val="20"/>
          <w:color w:val="auto"/>
        </w:rPr>
      </w:pPr>
    </w:p>
    <w:p>
      <w:pPr>
        <w:spacing w:after="0" w:line="241" w:lineRule="exact"/>
        <w:rPr>
          <w:sz w:val="20"/>
          <w:szCs w:val="20"/>
          <w:color w:val="auto"/>
        </w:rPr>
      </w:pPr>
    </w:p>
    <w:p>
      <w:pPr>
        <w:jc w:val="both"/>
        <w:ind w:firstLine="87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i w:val="1"/>
          <w:iCs w:val="1"/>
          <w:color w:val="auto"/>
        </w:rPr>
        <w:t>Promise to Pay</w:t>
      </w:r>
      <w:r>
        <w:rPr>
          <w:rFonts w:ascii="Times New Roman" w:cs="Times New Roman" w:eastAsia="Times New Roman" w:hAnsi="Times New Roman"/>
          <w:sz w:val="18"/>
          <w:szCs w:val="18"/>
          <w:color w:val="auto"/>
        </w:rPr>
        <w:t>. For and in consideration of value received, the undersigned, V</w:t>
      </w:r>
      <w:r>
        <w:rPr>
          <w:rFonts w:ascii="Times New Roman" w:cs="Times New Roman" w:eastAsia="Times New Roman" w:hAnsi="Times New Roman"/>
          <w:sz w:val="12"/>
          <w:szCs w:val="12"/>
          <w:color w:val="auto"/>
        </w:rPr>
        <w:t>ALHI</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 a corporation duly organized under the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Delaware (“</w:t>
      </w:r>
      <w:r>
        <w:rPr>
          <w:rFonts w:ascii="Times New Roman" w:cs="Times New Roman" w:eastAsia="Times New Roman" w:hAnsi="Times New Roman"/>
          <w:sz w:val="18"/>
          <w:szCs w:val="18"/>
          <w:i w:val="1"/>
          <w:iCs w:val="1"/>
          <w:color w:val="auto"/>
        </w:rPr>
        <w:t>Borrower</w:t>
      </w:r>
      <w:r>
        <w:rPr>
          <w:rFonts w:ascii="Times New Roman" w:cs="Times New Roman" w:eastAsia="Times New Roman" w:hAnsi="Times New Roman"/>
          <w:sz w:val="18"/>
          <w:szCs w:val="18"/>
          <w:color w:val="auto"/>
        </w:rPr>
        <w:t>”), promises to pay, in lawful money of the United States of America, to the order of COMPX INTERNATIONAL INC., a corporation duly organized under the laws of the state of Delaware (“</w:t>
      </w:r>
      <w:r>
        <w:rPr>
          <w:rFonts w:ascii="Times New Roman" w:cs="Times New Roman" w:eastAsia="Times New Roman" w:hAnsi="Times New Roman"/>
          <w:sz w:val="18"/>
          <w:szCs w:val="18"/>
          <w:i w:val="1"/>
          <w:iCs w:val="1"/>
          <w:color w:val="auto"/>
        </w:rPr>
        <w:t>CompX</w:t>
      </w:r>
      <w:r>
        <w:rPr>
          <w:rFonts w:ascii="Times New Roman" w:cs="Times New Roman" w:eastAsia="Times New Roman" w:hAnsi="Times New Roman"/>
          <w:sz w:val="18"/>
          <w:szCs w:val="18"/>
          <w:color w:val="auto"/>
        </w:rPr>
        <w:t>”), or the holder hereof (as applicable, CompX or such holder shall be referred to as the “</w:t>
      </w:r>
      <w:r>
        <w:rPr>
          <w:rFonts w:ascii="Times New Roman" w:cs="Times New Roman" w:eastAsia="Times New Roman" w:hAnsi="Times New Roman"/>
          <w:sz w:val="18"/>
          <w:szCs w:val="18"/>
          <w:i w:val="1"/>
          <w:iCs w:val="1"/>
          <w:color w:val="auto"/>
        </w:rPr>
        <w:t>Noteholder</w:t>
      </w:r>
      <w:r>
        <w:rPr>
          <w:rFonts w:ascii="Times New Roman" w:cs="Times New Roman" w:eastAsia="Times New Roman" w:hAnsi="Times New Roman"/>
          <w:sz w:val="18"/>
          <w:szCs w:val="18"/>
          <w:color w:val="auto"/>
        </w:rPr>
        <w:t>”), the principal sum of FORTY MILLION and NO/100ths United States Dollars ($40,000,000.00) or such lesser amount as shall equal the unpaid principal amount of the loan made by the Noteholder to Borrower together with accrued and unpaid interest on the unpaid principal balance from time to time pursuant to the terms of this Unsecured Revolving Demand Promissory Note, as it may be amended from time to time (this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This Note shall be unsecured and will bear interest on the terms set forth in </w:t>
      </w:r>
      <w:r>
        <w:rPr>
          <w:rFonts w:ascii="Times New Roman" w:cs="Times New Roman" w:eastAsia="Times New Roman" w:hAnsi="Times New Roman"/>
          <w:sz w:val="18"/>
          <w:szCs w:val="18"/>
          <w:b w:val="1"/>
          <w:bCs w:val="1"/>
          <w:color w:val="auto"/>
        </w:rPr>
        <w:t>Section 6</w:t>
      </w:r>
      <w:r>
        <w:rPr>
          <w:rFonts w:ascii="Times New Roman" w:cs="Times New Roman" w:eastAsia="Times New Roman" w:hAnsi="Times New Roman"/>
          <w:sz w:val="18"/>
          <w:szCs w:val="18"/>
          <w:color w:val="auto"/>
        </w:rPr>
        <w:t xml:space="preserve"> below. Capitalized terms not otherwise defined shall have the meanings given to such terms in </w:t>
      </w:r>
      <w:r>
        <w:rPr>
          <w:rFonts w:ascii="Times New Roman" w:cs="Times New Roman" w:eastAsia="Times New Roman" w:hAnsi="Times New Roman"/>
          <w:sz w:val="18"/>
          <w:szCs w:val="18"/>
          <w:b w:val="1"/>
          <w:bCs w:val="1"/>
          <w:color w:val="auto"/>
        </w:rPr>
        <w:t>Section 18</w:t>
      </w:r>
      <w:r>
        <w:rPr>
          <w:rFonts w:ascii="Times New Roman" w:cs="Times New Roman" w:eastAsia="Times New Roman" w:hAnsi="Times New Roman"/>
          <w:sz w:val="18"/>
          <w:szCs w:val="18"/>
          <w:color w:val="auto"/>
        </w:rPr>
        <w:t xml:space="preserve"> of this Note.</w:t>
      </w:r>
    </w:p>
    <w:p>
      <w:pPr>
        <w:spacing w:after="0" w:line="176" w:lineRule="exact"/>
        <w:rPr>
          <w:sz w:val="20"/>
          <w:szCs w:val="20"/>
          <w:color w:val="auto"/>
        </w:rPr>
      </w:pPr>
    </w:p>
    <w:p>
      <w:pPr>
        <w:jc w:val="both"/>
        <w:ind w:firstLine="87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w:t>
      </w:r>
      <w:r>
        <w:rPr>
          <w:rFonts w:ascii="Times New Roman" w:cs="Times New Roman" w:eastAsia="Times New Roman" w:hAnsi="Times New Roman"/>
          <w:sz w:val="21"/>
          <w:szCs w:val="21"/>
          <w:b w:val="1"/>
          <w:bCs w:val="1"/>
          <w:color w:val="auto"/>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Amendment and Restatement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Note renews, replaces, amends and restates in its entirety the Second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Unsecured Revolving Demand Promissory Note dated December 31, 2017 in the original principal amount of $40,000,000.00 payable to the order of the Noteholder and executed by the Borrower (the “</w:t>
      </w:r>
      <w:r>
        <w:rPr>
          <w:rFonts w:ascii="Times New Roman" w:cs="Times New Roman" w:eastAsia="Times New Roman" w:hAnsi="Times New Roman"/>
          <w:sz w:val="18"/>
          <w:szCs w:val="18"/>
          <w:i w:val="1"/>
          <w:iCs w:val="1"/>
          <w:color w:val="auto"/>
        </w:rPr>
        <w:t>Prior Note”</w:t>
      </w:r>
      <w:r>
        <w:rPr>
          <w:rFonts w:ascii="Times New Roman" w:cs="Times New Roman" w:eastAsia="Times New Roman" w:hAnsi="Times New Roman"/>
          <w:sz w:val="18"/>
          <w:szCs w:val="18"/>
          <w:color w:val="auto"/>
        </w:rPr>
        <w:t>). As of the close of business on December 31, 2018, the unpaid principal balance of the Prior Note was $40,000,000.00, the accrued and unpaid interest thereon was nil and the accrued and unpaid commitment fee thereon was nil, which is the unpaid principal, accrued and unpaid interest and accrued and unpaid commitment fee owed under this Note as of the close of business on the date of this Note. This Note contains the entire understanding between the Noteholder and the Borrower with respect to the transactions contemplated hereby and supersedes all other instruments, agreements and understandings between the Noteholder and the Borrower with respect to the subject matter of this Note</w:t>
      </w:r>
      <w:r>
        <w:rPr>
          <w:rFonts w:ascii="Times New Roman" w:cs="Times New Roman" w:eastAsia="Times New Roman" w:hAnsi="Times New Roman"/>
          <w:sz w:val="21"/>
          <w:szCs w:val="21"/>
          <w:color w:val="auto"/>
        </w:rPr>
        <w:t>.</w:t>
      </w:r>
    </w:p>
    <w:p>
      <w:pPr>
        <w:spacing w:after="0" w:line="164" w:lineRule="exact"/>
        <w:rPr>
          <w:sz w:val="20"/>
          <w:szCs w:val="20"/>
          <w:color w:val="auto"/>
        </w:rPr>
      </w:pPr>
    </w:p>
    <w:p>
      <w:pPr>
        <w:jc w:val="both"/>
        <w:ind w:right="20" w:firstLine="877"/>
        <w:spacing w:after="0" w:line="288" w:lineRule="auto"/>
        <w:rPr>
          <w:sz w:val="20"/>
          <w:szCs w:val="20"/>
          <w:color w:val="auto"/>
        </w:rPr>
      </w:pPr>
      <w:r>
        <w:rPr>
          <w:rFonts w:ascii="Times New Roman" w:cs="Times New Roman" w:eastAsia="Times New Roman" w:hAnsi="Times New Roman"/>
          <w:sz w:val="18"/>
          <w:szCs w:val="18"/>
          <w:b w:val="1"/>
          <w:bCs w:val="1"/>
          <w:color w:val="auto"/>
        </w:rPr>
        <w:t xml:space="preserve">Section </w:t>
      </w:r>
      <w:r>
        <w:rPr>
          <w:rFonts w:ascii="Times New Roman" w:cs="Times New Roman" w:eastAsia="Times New Roman" w:hAnsi="Times New Roman"/>
          <w:sz w:val="21"/>
          <w:szCs w:val="21"/>
          <w:b w:val="1"/>
          <w:bCs w:val="1"/>
          <w:color w:val="auto"/>
        </w:rPr>
        <w:t>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Place of Payment</w:t>
      </w:r>
      <w:r>
        <w:rPr>
          <w:rFonts w:ascii="Times New Roman" w:cs="Times New Roman" w:eastAsia="Times New Roman" w:hAnsi="Times New Roman"/>
          <w:sz w:val="18"/>
          <w:szCs w:val="18"/>
          <w:color w:val="auto"/>
        </w:rPr>
        <w:t>. All payments will be made at Noteholder’s address at Three Lincoln Centre, 5430 LBJ Freeway, Suite 1700,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Dallas, Texas 75240-2697, Attention: Treasurer, or such other place as the Noteholder may from time to time appoint in writing.</w:t>
      </w:r>
    </w:p>
    <w:p>
      <w:pPr>
        <w:spacing w:after="0" w:line="146" w:lineRule="exact"/>
        <w:rPr>
          <w:sz w:val="20"/>
          <w:szCs w:val="20"/>
          <w:color w:val="auto"/>
        </w:rPr>
      </w:pPr>
    </w:p>
    <w:p>
      <w:pPr>
        <w:jc w:val="both"/>
        <w:ind w:firstLine="877"/>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b w:val="1"/>
          <w:bCs w:val="1"/>
          <w:i w:val="1"/>
          <w:iCs w:val="1"/>
          <w:color w:val="auto"/>
        </w:rPr>
        <w:t>Payments</w:t>
      </w:r>
      <w:r>
        <w:rPr>
          <w:rFonts w:ascii="Times New Roman" w:cs="Times New Roman" w:eastAsia="Times New Roman" w:hAnsi="Times New Roman"/>
          <w:sz w:val="18"/>
          <w:szCs w:val="18"/>
          <w:color w:val="auto"/>
        </w:rPr>
        <w:t>. The unpaid principal balance of this Note and any accrued and unpaid interest thereon shall be due and payable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Final Payment Date. Prior to the Final Payment Date, any accrued and unpaid interest on an unpaid principal balance shall be paid in arrears quarterly on the last day of each March, June, September and December, commencing March 31, 2019. All payments on this Note shall be applied first to accrued and unpaid interest, next to accrued interest not yet payable and then to principal. If any payment of principal or interest on this Note shall become due on a day that is not a Business Day, such payment shall be made on the next succeeding Business Day and the payment shall be the amount owed on the original payment date.</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b w:val="1"/>
          <w:bCs w:val="1"/>
          <w:i w:val="1"/>
          <w:iCs w:val="1"/>
          <w:color w:val="auto"/>
        </w:rPr>
        <w:t>Prepayments</w:t>
      </w:r>
      <w:r>
        <w:rPr>
          <w:rFonts w:ascii="Times New Roman" w:cs="Times New Roman" w:eastAsia="Times New Roman" w:hAnsi="Times New Roman"/>
          <w:sz w:val="18"/>
          <w:szCs w:val="18"/>
          <w:color w:val="auto"/>
        </w:rPr>
        <w:t>. This Note may be prepaid in part or in full at any time without penalty.</w:t>
      </w:r>
    </w:p>
    <w:p>
      <w:pPr>
        <w:spacing w:after="0" w:line="225" w:lineRule="exact"/>
        <w:rPr>
          <w:sz w:val="20"/>
          <w:szCs w:val="20"/>
          <w:color w:val="auto"/>
        </w:rPr>
      </w:pPr>
    </w:p>
    <w:p>
      <w:pPr>
        <w:jc w:val="both"/>
        <w:ind w:firstLine="87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i w:val="1"/>
          <w:iCs w:val="1"/>
          <w:color w:val="auto"/>
        </w:rPr>
        <w:t>Borrowings</w:t>
      </w:r>
      <w:r>
        <w:rPr>
          <w:rFonts w:ascii="Times New Roman" w:cs="Times New Roman" w:eastAsia="Times New Roman" w:hAnsi="Times New Roman"/>
          <w:sz w:val="18"/>
          <w:szCs w:val="18"/>
          <w:color w:val="auto"/>
        </w:rPr>
        <w:t>. Prior to the Final Payment Date, Noteholder expressly authorizes Borrower to borrow, repay and re-borrow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Note in increments of $100,000 on a daily basis so long as:</w:t>
      </w:r>
    </w:p>
    <w:p>
      <w:pPr>
        <w:spacing w:after="0" w:line="140" w:lineRule="exact"/>
        <w:rPr>
          <w:sz w:val="20"/>
          <w:szCs w:val="20"/>
          <w:color w:val="auto"/>
        </w:rPr>
      </w:pPr>
    </w:p>
    <w:p>
      <w:pPr>
        <w:ind w:left="1740" w:hanging="868"/>
        <w:spacing w:after="0"/>
        <w:tabs>
          <w:tab w:leader="none" w:pos="17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aggregate outstanding principal balance does not exceed $40,000,000.00; and</w:t>
      </w:r>
    </w:p>
    <w:p>
      <w:pPr>
        <w:spacing w:after="0" w:line="28" w:lineRule="exact"/>
        <w:rPr>
          <w:rFonts w:ascii="Times New Roman" w:cs="Times New Roman" w:eastAsia="Times New Roman" w:hAnsi="Times New Roman"/>
          <w:sz w:val="22"/>
          <w:szCs w:val="22"/>
          <w:color w:val="auto"/>
        </w:rPr>
      </w:pPr>
    </w:p>
    <w:p>
      <w:pPr>
        <w:ind w:left="1740" w:hanging="868"/>
        <w:spacing w:after="0" w:line="203" w:lineRule="auto"/>
        <w:tabs>
          <w:tab w:leader="none" w:pos="17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 Event of Default has occurred and is continuing.</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Notwithstanding anything else in this Note, in no event will Noteholder be required to lend money to Borrower under this Note and loans under this Note shall be at the sole and absolute discretion of Noteholder.</w:t>
      </w:r>
    </w:p>
    <w:p>
      <w:pPr>
        <w:spacing w:after="0" w:line="156" w:lineRule="exact"/>
        <w:rPr>
          <w:sz w:val="20"/>
          <w:szCs w:val="20"/>
          <w:color w:val="auto"/>
        </w:rPr>
      </w:pPr>
    </w:p>
    <w:p>
      <w:pPr>
        <w:jc w:val="both"/>
        <w:ind w:firstLine="87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b w:val="1"/>
          <w:bCs w:val="1"/>
          <w:i w:val="1"/>
          <w:iCs w:val="1"/>
          <w:color w:val="auto"/>
        </w:rPr>
        <w:t>Interest</w:t>
      </w:r>
      <w:r>
        <w:rPr>
          <w:rFonts w:ascii="Times New Roman" w:cs="Times New Roman" w:eastAsia="Times New Roman" w:hAnsi="Times New Roman"/>
          <w:sz w:val="18"/>
          <w:szCs w:val="18"/>
          <w:color w:val="auto"/>
        </w:rPr>
        <w:t>. The unpaid principal balance of this Note shall bear interest at the rate per annum of the Prime Rate plus one percent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 In the event that an Event of Default occurs and is continuing, the unpaid principal amount shall bear interest from the Event of Default at the rate per annum of the Prime Rate plus four percent (4.00%) until such time as the Event of Default is cured. Accrued interest on the unpaid principal of this Note shall be computed on the basis of a 365- or 366-day year for actual days (including the first, but excluding the last day) elapsed, but in no event shall such computation result in an amount of accrued interest that would exceed accrued interest on the unpaid principal balance during the same period at the Maximum Rate. Notwithstanding anything to the contrary, this Note is expressly limited so that in no contingency or event whatsoever shall the amount paid or</w:t>
      </w:r>
    </w:p>
    <w:p>
      <w:pPr>
        <w:spacing w:after="0" w:line="30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Page 1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52" w:name="page53"/>
    <w:bookmarkEnd w:id="52"/>
    <w:p>
      <w:pPr>
        <w:jc w:val="both"/>
        <w:spacing w:after="0" w:line="252" w:lineRule="auto"/>
        <w:rPr>
          <w:sz w:val="20"/>
          <w:szCs w:val="20"/>
          <w:color w:val="auto"/>
        </w:rPr>
      </w:pPr>
      <w:r>
        <w:rPr>
          <w:rFonts w:ascii="Times New Roman" w:cs="Times New Roman" w:eastAsia="Times New Roman" w:hAnsi="Times New Roman"/>
          <w:sz w:val="18"/>
          <w:szCs w:val="18"/>
          <w:color w:val="auto"/>
        </w:rPr>
        <w:t>agreed to be paid to the Noteholder exceed the Maximum Rate. If, from any circumstances whatsoever, the Noteholder shall ever receive as interest an amount that would exceed the Maximum Rate, such amount that would be excessive interest shall be applied to the reduction of the unpaid principal balance and not to the payment of interest, and if the principal amount of this Note is paid in full, any remaining excess shall be paid to Borrower, and in such event, the Noteholder shall not be subject to any penalties provided by any laws for contracting for, charging, taking, reserving or receiving interest in excess of the highest lawful rate permissible under applicable law. All sums paid or agreed to be paid to Noteholder for the use, forbearance or detention of the indebtedness of the Borrower to Noteholder shall, to the extent permitted by applicable law, be amortized, prorated, allocated and spread throughout the full term of such indebtedness until payment in full of the principal (including the period of any renewal or extension thereof) so that the interest on account of such indebtedness shall not exceed the Maximum Rate. If at any time the Contract Rate is limited to the Maximum Rate, any subsequent reductions in the Contract Rate shall not reduce the rate of interest on this Note below the Maximum Rate until the total amount of interest accrued equals the amount of interest that would have accrued if the Contract Rate had not been limited by the Maximum Rate. In the event that, upon the Final Payment Date, the total amount of interest paid or accrued on this Note is less than the amount of interest that would have accrued if the Contract Rate had not been limited by the Maximum Rate, then at such time, to the extent permitted by law, in addition to the principal and any other amounts Borrower owes to the Noteholder, the Borrower shall pay to the Noteholder an amount equal to the difference between: (i) the lesser of the amount of interest that would have accrued if the Contract Rate had not been limited by the Maximum Rate or the amount of interest that would have accrued if the Maximum Rate had at all times been in effect; and (ii) the amount of interest actually paid on this Note.</w:t>
      </w:r>
    </w:p>
    <w:p>
      <w:pPr>
        <w:spacing w:after="0" w:line="193" w:lineRule="exact"/>
        <w:rPr>
          <w:sz w:val="20"/>
          <w:szCs w:val="20"/>
          <w:color w:val="auto"/>
        </w:rPr>
      </w:pPr>
    </w:p>
    <w:p>
      <w:pPr>
        <w:jc w:val="both"/>
        <w:ind w:firstLine="877"/>
        <w:spacing w:after="0" w:line="257" w:lineRule="auto"/>
        <w:rPr>
          <w:sz w:val="20"/>
          <w:szCs w:val="20"/>
          <w:color w:val="auto"/>
        </w:rPr>
      </w:pPr>
      <w:r>
        <w:rPr>
          <w:rFonts w:ascii="Times New Roman" w:cs="Times New Roman" w:eastAsia="Times New Roman" w:hAnsi="Times New Roman"/>
          <w:sz w:val="18"/>
          <w:szCs w:val="18"/>
          <w:b w:val="1"/>
          <w:bCs w:val="1"/>
          <w:color w:val="auto"/>
        </w:rPr>
        <w:t>Section 7. Fees and Expenses</w:t>
      </w:r>
      <w:r>
        <w:rPr>
          <w:rFonts w:ascii="Times New Roman" w:cs="Times New Roman" w:eastAsia="Times New Roman" w:hAnsi="Times New Roman"/>
          <w:sz w:val="18"/>
          <w:szCs w:val="18"/>
          <w:color w:val="auto"/>
        </w:rPr>
        <w:t>. On the last day of each March, June, September and December, commencing March 31, 2019, and on the Final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Payment Date, Borrower shall pay to Noteholder the Unused Commitment Fee for such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Borrower will not owe any Unused Commitment Fee for any part of such period (prorated as applicable) that the Noteholder is a net borrower of money from the Borrower. In addition, Borrower and any guarantor jointly and severally agree to pay on the Final Payment Date to Noteholder any other cost or expense reasonably incurred by Noteholder in connection with Noteholder’s commitment to Borrower pursuant to the terms of this Note, including without limitation any other cost reasonably incurred by Noteholder pursuant to the terms of any credit facility of Noteholder.</w:t>
      </w:r>
    </w:p>
    <w:p>
      <w:pPr>
        <w:spacing w:after="0" w:line="183" w:lineRule="exact"/>
        <w:rPr>
          <w:sz w:val="20"/>
          <w:szCs w:val="20"/>
          <w:color w:val="auto"/>
        </w:rPr>
      </w:pPr>
    </w:p>
    <w:p>
      <w:pPr>
        <w:jc w:val="both"/>
        <w:ind w:firstLine="877"/>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 </w:t>
      </w:r>
      <w:r>
        <w:rPr>
          <w:rFonts w:ascii="Times New Roman" w:cs="Times New Roman" w:eastAsia="Times New Roman" w:hAnsi="Times New Roman"/>
          <w:sz w:val="18"/>
          <w:szCs w:val="18"/>
          <w:b w:val="1"/>
          <w:bCs w:val="1"/>
          <w:i w:val="1"/>
          <w:iCs w:val="1"/>
          <w:color w:val="auto"/>
        </w:rPr>
        <w:t>Remedy</w:t>
      </w:r>
      <w:r>
        <w:rPr>
          <w:rFonts w:ascii="Times New Roman" w:cs="Times New Roman" w:eastAsia="Times New Roman" w:hAnsi="Times New Roman"/>
          <w:sz w:val="18"/>
          <w:szCs w:val="18"/>
          <w:color w:val="auto"/>
        </w:rPr>
        <w:t>. Upon the occurrence and during the continuation of an Event of Default, the Noteholder shall have all of the rights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remedies provided in the applicable Uniform Commercial Code, this Note or any other agreement among Borrower and in favor of the Noteholder, as well as those rights and remedies provided by any other applicable law, rule or regulation. In conjunction with and in addition to the foregoing rights and remedies of the Noteholder, the Noteholder may declare all indebtedness due under this Note, although otherwise unmatured, to be due and payable immediately without notice or demand whatsoever. All rights and remedies of the Noteholder are cumulative and may be exercised singly or concurrently. The failure to exercise any right or remedy will not be a waiver of such right or remedy.</w:t>
      </w:r>
    </w:p>
    <w:p>
      <w:pPr>
        <w:spacing w:after="0" w:line="183" w:lineRule="exact"/>
        <w:rPr>
          <w:sz w:val="20"/>
          <w:szCs w:val="20"/>
          <w:color w:val="auto"/>
        </w:rPr>
      </w:pPr>
    </w:p>
    <w:p>
      <w:pPr>
        <w:jc w:val="both"/>
        <w:ind w:firstLine="87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9. </w:t>
      </w:r>
      <w:r>
        <w:rPr>
          <w:rFonts w:ascii="Times New Roman" w:cs="Times New Roman" w:eastAsia="Times New Roman" w:hAnsi="Times New Roman"/>
          <w:sz w:val="18"/>
          <w:szCs w:val="18"/>
          <w:b w:val="1"/>
          <w:bCs w:val="1"/>
          <w:i w:val="1"/>
          <w:iCs w:val="1"/>
          <w:color w:val="auto"/>
        </w:rPr>
        <w:t>Right of Offset</w:t>
      </w:r>
      <w:r>
        <w:rPr>
          <w:rFonts w:ascii="Times New Roman" w:cs="Times New Roman" w:eastAsia="Times New Roman" w:hAnsi="Times New Roman"/>
          <w:sz w:val="18"/>
          <w:szCs w:val="18"/>
          <w:color w:val="auto"/>
        </w:rPr>
        <w:t>. The Noteholder shall have the right of offset against amounts that may be due by the Noteholder now or in the future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Borrower against amounts due under this Note.</w:t>
      </w:r>
    </w:p>
    <w:p>
      <w:pPr>
        <w:spacing w:after="0" w:line="155" w:lineRule="exact"/>
        <w:rPr>
          <w:sz w:val="20"/>
          <w:szCs w:val="20"/>
          <w:color w:val="auto"/>
        </w:rPr>
      </w:pPr>
    </w:p>
    <w:p>
      <w:pPr>
        <w:jc w:val="both"/>
        <w:ind w:firstLine="87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 </w:t>
      </w:r>
      <w:r>
        <w:rPr>
          <w:rFonts w:ascii="Times New Roman" w:cs="Times New Roman" w:eastAsia="Times New Roman" w:hAnsi="Times New Roman"/>
          <w:sz w:val="18"/>
          <w:szCs w:val="18"/>
          <w:b w:val="1"/>
          <w:bCs w:val="1"/>
          <w:i w:val="1"/>
          <w:iCs w:val="1"/>
          <w:color w:val="auto"/>
        </w:rPr>
        <w:t>Record of Outstanding Indebtedness</w:t>
      </w:r>
      <w:r>
        <w:rPr>
          <w:rFonts w:ascii="Times New Roman" w:cs="Times New Roman" w:eastAsia="Times New Roman" w:hAnsi="Times New Roman"/>
          <w:sz w:val="18"/>
          <w:szCs w:val="18"/>
          <w:color w:val="auto"/>
        </w:rPr>
        <w:t>. The date and amount of each repayment of principal outstanding under this Note or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thereon shall be recorded by Noteholder in its records. The principal balance outstanding and all accrued or accruing interest owed under this Note as recorded by Noteholder in its records shall be the best evidence of the principal balance outstanding and all accrued or accruing interest owed under this Note;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failure of Noteholder to so record or any error in so recording or computing any such amount owed shall not limit or otherwise affect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of the Borrower under this Note to repay the principal balance outstanding and all accrued or accruing interest.</w:t>
      </w:r>
    </w:p>
    <w:p>
      <w:pPr>
        <w:spacing w:after="0" w:line="180" w:lineRule="exact"/>
        <w:rPr>
          <w:sz w:val="20"/>
          <w:szCs w:val="20"/>
          <w:color w:val="auto"/>
        </w:rPr>
      </w:pPr>
    </w:p>
    <w:p>
      <w:pPr>
        <w:jc w:val="both"/>
        <w:ind w:firstLine="87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i w:val="1"/>
          <w:iCs w:val="1"/>
          <w:color w:val="auto"/>
        </w:rPr>
        <w:t>Waiver</w:t>
      </w:r>
      <w:r>
        <w:rPr>
          <w:rFonts w:ascii="Times New Roman" w:cs="Times New Roman" w:eastAsia="Times New Roman" w:hAnsi="Times New Roman"/>
          <w:sz w:val="18"/>
          <w:szCs w:val="18"/>
          <w:color w:val="auto"/>
        </w:rPr>
        <w:t>. Borrower and each surety, endorser, guarantor, and other party now or subsequently liable for payment of this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severally waive demand, presentment for payment, notice of nonpayment, notice of dishonor, protest, notice of protest, notice of the intention to accelerate, notice of acceleration, diligence in collecting or bringing suit against any party liable on this Note, and further agree to any and all extensions, renewals, modifications, partial payments, substitutions of evidence of indebtedness, and the taking or release of any collateral with or without notice before or after demand by the Noteholder for payment under this Note.</w:t>
      </w:r>
    </w:p>
    <w:p>
      <w:pPr>
        <w:spacing w:after="0" w:line="200" w:lineRule="exact"/>
        <w:rPr>
          <w:sz w:val="20"/>
          <w:szCs w:val="20"/>
          <w:color w:val="auto"/>
        </w:rPr>
      </w:pPr>
    </w:p>
    <w:p>
      <w:pPr>
        <w:spacing w:after="0" w:line="3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3" w:name="page54"/>
    <w:bookmarkEnd w:id="53"/>
    <w:p>
      <w:pPr>
        <w:jc w:val="both"/>
        <w:ind w:firstLine="87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i w:val="1"/>
          <w:iCs w:val="1"/>
          <w:color w:val="auto"/>
        </w:rPr>
        <w:t>Costs and Attorneys’ Fees</w:t>
      </w:r>
      <w:r>
        <w:rPr>
          <w:rFonts w:ascii="Times New Roman" w:cs="Times New Roman" w:eastAsia="Times New Roman" w:hAnsi="Times New Roman"/>
          <w:sz w:val="18"/>
          <w:szCs w:val="18"/>
          <w:color w:val="auto"/>
        </w:rPr>
        <w:t>. In addition to any other amounts payable to Noteholder pursuant to the terms of this Note, in the event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Noteholder incurs costs in collecting on this Note, this Note is placed in the hands of any attorney for collection, suit is filed on this Note or if proceedings are had in bankruptcy, receivership, reorganization, or other legal or judicial proceedings for the collection of this Note, Borrower and any guarantor jointly and severally agree to pay on demand to the Noteholder all expenses and costs of collection, including, but not limited to, reasonable attorneys’ fees incurred in connection with any such collection, suit, or proceeding, in addition to the principal and interest then due.</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 xml:space="preserve">Section 13. </w:t>
      </w:r>
      <w:r>
        <w:rPr>
          <w:rFonts w:ascii="Times New Roman" w:cs="Times New Roman" w:eastAsia="Times New Roman" w:hAnsi="Times New Roman"/>
          <w:sz w:val="18"/>
          <w:szCs w:val="18"/>
          <w:b w:val="1"/>
          <w:bCs w:val="1"/>
          <w:i w:val="1"/>
          <w:iCs w:val="1"/>
          <w:color w:val="auto"/>
        </w:rPr>
        <w:t>Time of Essence</w:t>
      </w:r>
      <w:r>
        <w:rPr>
          <w:rFonts w:ascii="Times New Roman" w:cs="Times New Roman" w:eastAsia="Times New Roman" w:hAnsi="Times New Roman"/>
          <w:sz w:val="18"/>
          <w:szCs w:val="18"/>
          <w:color w:val="auto"/>
        </w:rPr>
        <w:t>. Time is of the essence with respect to all of Borrower’s obligations and agreements under this Note.</w:t>
      </w:r>
    </w:p>
    <w:p>
      <w:pPr>
        <w:spacing w:after="0" w:line="225" w:lineRule="exact"/>
        <w:rPr>
          <w:sz w:val="20"/>
          <w:szCs w:val="20"/>
          <w:color w:val="auto"/>
        </w:rPr>
      </w:pPr>
    </w:p>
    <w:p>
      <w:pPr>
        <w:jc w:val="both"/>
        <w:ind w:firstLine="87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14. </w:t>
      </w:r>
      <w:r>
        <w:rPr>
          <w:rFonts w:ascii="Times New Roman" w:cs="Times New Roman" w:eastAsia="Times New Roman" w:hAnsi="Times New Roman"/>
          <w:sz w:val="18"/>
          <w:szCs w:val="18"/>
          <w:b w:val="1"/>
          <w:bCs w:val="1"/>
          <w:i w:val="1"/>
          <w:iCs w:val="1"/>
          <w:color w:val="auto"/>
        </w:rPr>
        <w:t>Jurisdiction and Venue</w:t>
      </w:r>
      <w:r>
        <w:rPr>
          <w:rFonts w:ascii="Times New Roman" w:cs="Times New Roman" w:eastAsia="Times New Roman" w:hAnsi="Times New Roman"/>
          <w:sz w:val="18"/>
          <w:szCs w:val="18"/>
          <w:color w:val="auto"/>
        </w:rPr>
        <w:t>. THIS NOTE SHALL BE GOVERNED BY AND CONSTRUED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DOMESTIC LAWS OF THE STATE OF TEXAS, WITHOUT GIVING EFFECT TO ANY CHOICE OF LAW OR CONFLICT OF LAW PROVISION OR RULE (WHETHER OF THE STATE OF TEXAS OR ANY OTHER JURISDICTION) THAT WOULD CAUSE THE APPLICATION OF THE LAWS OF ANY JURISDICTION OTHER THAN THE STATE OF TEXAS. BORROWER CONSENTS TO JURISDICTION IN THE COURTS LOCATED IN DALLAS, TEXAS.</w:t>
      </w:r>
    </w:p>
    <w:p>
      <w:pPr>
        <w:spacing w:after="0" w:line="180" w:lineRule="exact"/>
        <w:rPr>
          <w:sz w:val="20"/>
          <w:szCs w:val="20"/>
          <w:color w:val="auto"/>
        </w:rPr>
      </w:pPr>
    </w:p>
    <w:p>
      <w:pPr>
        <w:jc w:val="both"/>
        <w:ind w:firstLine="87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15.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Any notice or demand required by this Note shall be deemed to have been given and received on the earlier of</w:t>
      </w:r>
      <w:r>
        <w:rPr>
          <w:rFonts w:ascii="Times New Roman" w:cs="Times New Roman" w:eastAsia="Times New Roman" w:hAnsi="Times New Roman"/>
          <w:sz w:val="18"/>
          <w:szCs w:val="18"/>
          <w:b w:val="1"/>
          <w:bCs w:val="1"/>
          <w:color w:val="auto"/>
        </w:rPr>
        <w:t xml:space="preserve"> (i) </w:t>
      </w:r>
      <w:r>
        <w:rPr>
          <w:rFonts w:ascii="Times New Roman" w:cs="Times New Roman" w:eastAsia="Times New Roman" w:hAnsi="Times New Roman"/>
          <w:sz w:val="18"/>
          <w:szCs w:val="18"/>
          <w:color w:val="auto"/>
        </w:rPr>
        <w:t>when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notice or demand is actually received by the recipient or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72 hours after the notice is deposited in the United States mail, certified or registered, with postage prepaid, and addressed to the recipient. The address for giving notice or demand under this Note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to the Noteholder shall be the place of payment specified in </w:t>
      </w:r>
      <w:r>
        <w:rPr>
          <w:rFonts w:ascii="Times New Roman" w:cs="Times New Roman" w:eastAsia="Times New Roman" w:hAnsi="Times New Roman"/>
          <w:sz w:val="18"/>
          <w:szCs w:val="18"/>
          <w:b w:val="1"/>
          <w:bCs w:val="1"/>
          <w:color w:val="auto"/>
        </w:rPr>
        <w:t>Section 3</w:t>
      </w:r>
      <w:r>
        <w:rPr>
          <w:rFonts w:ascii="Times New Roman" w:cs="Times New Roman" w:eastAsia="Times New Roman" w:hAnsi="Times New Roman"/>
          <w:sz w:val="18"/>
          <w:szCs w:val="18"/>
          <w:color w:val="auto"/>
        </w:rPr>
        <w:t xml:space="preserve"> or such other place as the Noteholder may specify in writing to the Borrower and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to Borrower shall be the address below the Borrower’s signature or such other place as the Borrower may specify in writing to the Noteholder.</w:t>
      </w:r>
    </w:p>
    <w:p>
      <w:pPr>
        <w:spacing w:after="0" w:line="180"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16. </w:t>
      </w:r>
      <w:r>
        <w:rPr>
          <w:rFonts w:ascii="Times New Roman" w:cs="Times New Roman" w:eastAsia="Times New Roman" w:hAnsi="Times New Roman"/>
          <w:sz w:val="18"/>
          <w:szCs w:val="18"/>
          <w:b w:val="1"/>
          <w:bCs w:val="1"/>
          <w:i w:val="1"/>
          <w:iCs w:val="1"/>
          <w:color w:val="auto"/>
        </w:rPr>
        <w:t>Amendment or Waiver of Provisions of this Note</w:t>
      </w:r>
      <w:r>
        <w:rPr>
          <w:rFonts w:ascii="Times New Roman" w:cs="Times New Roman" w:eastAsia="Times New Roman" w:hAnsi="Times New Roman"/>
          <w:sz w:val="18"/>
          <w:szCs w:val="18"/>
          <w:color w:val="auto"/>
        </w:rPr>
        <w:t>. No amendment or waiver of any provision of this Note shall in any event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unless the same shall be in a writing referring to this Note and signed by the Borrower and the Noteholder. Such amendment or waiver shall be effective only in the specific instance and for the specific purpose for which given. No waiver of any of the provisions of this Note shall be deemed or shall constitute a waiver of any other provisions, whether or not similar, nor shall any waiver constitute a continuing waiver.</w:t>
      </w:r>
    </w:p>
    <w:p>
      <w:pPr>
        <w:spacing w:after="0" w:line="177" w:lineRule="exact"/>
        <w:rPr>
          <w:sz w:val="20"/>
          <w:szCs w:val="20"/>
          <w:color w:val="auto"/>
        </w:rPr>
      </w:pPr>
    </w:p>
    <w:p>
      <w:pPr>
        <w:jc w:val="both"/>
        <w:ind w:firstLine="87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17. </w:t>
      </w:r>
      <w:r>
        <w:rPr>
          <w:rFonts w:ascii="Times New Roman" w:cs="Times New Roman" w:eastAsia="Times New Roman" w:hAnsi="Times New Roman"/>
          <w:sz w:val="18"/>
          <w:szCs w:val="18"/>
          <w:b w:val="1"/>
          <w:bCs w:val="1"/>
          <w:i w:val="1"/>
          <w:iCs w:val="1"/>
          <w:color w:val="auto"/>
        </w:rPr>
        <w:t>Successors and Assigns</w:t>
      </w:r>
      <w:r>
        <w:rPr>
          <w:rFonts w:ascii="Times New Roman" w:cs="Times New Roman" w:eastAsia="Times New Roman" w:hAnsi="Times New Roman"/>
          <w:sz w:val="18"/>
          <w:szCs w:val="18"/>
          <w:color w:val="auto"/>
        </w:rPr>
        <w:t>. All of the covenants, obligations, promises and agreements contained in this Note made by Borrower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binding upon its successors and permitted assigns, as applicable. Notwithstanding the foregoing, Borrower shall not assign this Note or its performance under this Note without the prior written consent of the Noteholder. Noteholder at any time may assign this Note without the consent of Borrower.</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 xml:space="preserve">Section 18. </w:t>
      </w:r>
      <w:r>
        <w:rPr>
          <w:rFonts w:ascii="Times New Roman" w:cs="Times New Roman" w:eastAsia="Times New Roman" w:hAnsi="Times New Roman"/>
          <w:sz w:val="18"/>
          <w:szCs w:val="18"/>
          <w:b w:val="1"/>
          <w:bCs w:val="1"/>
          <w:i w:val="1"/>
          <w:iCs w:val="1"/>
          <w:color w:val="auto"/>
        </w:rPr>
        <w:t>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this Note, the following terms shall have the following meanings:</w:t>
      </w:r>
    </w:p>
    <w:p>
      <w:pPr>
        <w:sectPr>
          <w:pgSz w:w="11900" w:h="16838" w:orient="portrait"/>
          <w:cols w:equalWidth="0" w:num="1">
            <w:col w:w="11420"/>
          </w:cols>
          <w:pgMar w:left="240" w:top="333" w:right="239" w:bottom="1440" w:gutter="0" w:footer="0" w:header="0"/>
        </w:sect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(a)</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Basis Point</w:t>
      </w:r>
      <w:r>
        <w:rPr>
          <w:rFonts w:ascii="Times New Roman" w:cs="Times New Roman" w:eastAsia="Times New Roman" w:hAnsi="Times New Roman"/>
          <w:sz w:val="18"/>
          <w:szCs w:val="18"/>
          <w:color w:val="auto"/>
        </w:rPr>
        <w:t>” shall mean 1/100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1 percent.</w:t>
      </w:r>
    </w:p>
    <w:p>
      <w:pPr>
        <w:spacing w:after="0" w:line="200" w:lineRule="exact"/>
        <w:rPr>
          <w:sz w:val="20"/>
          <w:szCs w:val="20"/>
          <w:color w:val="auto"/>
        </w:rPr>
      </w:pPr>
    </w:p>
    <w:p>
      <w:pPr>
        <w:sectPr>
          <w:pgSz w:w="11900" w:h="16838" w:orient="portrait"/>
          <w:cols w:equalWidth="0" w:num="2">
            <w:col w:w="960" w:space="720"/>
            <w:col w:w="9740"/>
          </w:cols>
          <w:pgMar w:left="240" w:top="333" w:right="239" w:bottom="1440" w:gutter="0" w:footer="0" w:header="0"/>
          <w:type w:val="continuous"/>
        </w:sectPr>
      </w:pPr>
    </w:p>
    <w:p>
      <w:pPr>
        <w:spacing w:after="0" w:line="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(b)</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Business Day</w:t>
      </w:r>
      <w:r>
        <w:rPr>
          <w:rFonts w:ascii="Times New Roman" w:cs="Times New Roman" w:eastAsia="Times New Roman" w:hAnsi="Times New Roman"/>
          <w:sz w:val="17"/>
          <w:szCs w:val="17"/>
          <w:color w:val="auto"/>
        </w:rPr>
        <w:t>” shall mean any day banks are open in the state of Texas.</w:t>
      </w:r>
    </w:p>
    <w:p>
      <w:pPr>
        <w:spacing w:after="0" w:line="211" w:lineRule="exact"/>
        <w:rPr>
          <w:sz w:val="20"/>
          <w:szCs w:val="20"/>
          <w:color w:val="auto"/>
        </w:rPr>
      </w:pPr>
    </w:p>
    <w:p>
      <w:pPr>
        <w:sectPr>
          <w:pgSz w:w="11900" w:h="16838" w:orient="portrait"/>
          <w:cols w:equalWidth="0" w:num="2">
            <w:col w:w="960" w:space="720"/>
            <w:col w:w="9740"/>
          </w:cols>
          <w:pgMar w:left="240" w:top="333" w:right="239" w:bottom="1440" w:gutter="0" w:footer="0" w:header="0"/>
          <w:type w:val="continuous"/>
        </w:sectPr>
      </w:pPr>
    </w:p>
    <w:p>
      <w:pPr>
        <w:spacing w:after="0" w:line="25" w:lineRule="exact"/>
        <w:rPr>
          <w:sz w:val="20"/>
          <w:szCs w:val="20"/>
          <w:color w:val="auto"/>
        </w:rPr>
      </w:pPr>
    </w:p>
    <w:p>
      <w:pPr>
        <w:ind w:left="880" w:hanging="797"/>
        <w:spacing w:after="0" w:line="286" w:lineRule="auto"/>
        <w:tabs>
          <w:tab w:leader="none" w:pos="86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Contract Rate</w:t>
      </w:r>
      <w:r>
        <w:rPr>
          <w:rFonts w:ascii="Times New Roman" w:cs="Times New Roman" w:eastAsia="Times New Roman" w:hAnsi="Times New Roman"/>
          <w:sz w:val="18"/>
          <w:szCs w:val="18"/>
          <w:color w:val="auto"/>
        </w:rPr>
        <w:t>” means the amount of any interest (including fees, charges or expenses or any other amounts that, under applicable law, are deemed interest) contracted for, charged or received by or for the account of Noteholder.</w:t>
      </w:r>
    </w:p>
    <w:p>
      <w:pPr>
        <w:sectPr>
          <w:pgSz w:w="11900" w:h="16838" w:orient="portrait"/>
          <w:cols w:equalWidth="0" w:num="1">
            <w:col w:w="11420"/>
          </w:cols>
          <w:pgMar w:left="240" w:top="333" w:right="239" w:bottom="1440" w:gutter="0" w:footer="0" w:header="0"/>
          <w:type w:val="continuous"/>
        </w:sectPr>
      </w:pPr>
    </w:p>
    <w:p>
      <w:pPr>
        <w:spacing w:after="0" w:line="1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(d)</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wherever used herein, means any one of the following events:</w:t>
      </w:r>
    </w:p>
    <w:p>
      <w:pPr>
        <w:spacing w:after="0" w:line="200" w:lineRule="exact"/>
        <w:rPr>
          <w:sz w:val="20"/>
          <w:szCs w:val="20"/>
          <w:color w:val="auto"/>
        </w:rPr>
      </w:pPr>
    </w:p>
    <w:p>
      <w:pPr>
        <w:sectPr>
          <w:pgSz w:w="11900" w:h="16838" w:orient="portrait"/>
          <w:cols w:equalWidth="0" w:num="2">
            <w:col w:w="960" w:space="720"/>
            <w:col w:w="9740"/>
          </w:cols>
          <w:pgMar w:left="240" w:top="333" w:right="239" w:bottom="1440" w:gutter="0" w:footer="0" w:header="0"/>
          <w:type w:val="continuous"/>
        </w:sectPr>
      </w:pPr>
    </w:p>
    <w:p>
      <w:pPr>
        <w:spacing w:after="0" w:line="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b w:val="1"/>
          <w:bCs w:val="1"/>
          <w:color w:val="auto"/>
        </w:rPr>
        <w:t>(i)</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firstLine="744"/>
        <w:spacing w:after="0" w:line="282" w:lineRule="auto"/>
        <w:rPr>
          <w:sz w:val="20"/>
          <w:szCs w:val="20"/>
          <w:color w:val="auto"/>
        </w:rPr>
      </w:pPr>
      <w:r>
        <w:rPr>
          <w:rFonts w:ascii="Times New Roman" w:cs="Times New Roman" w:eastAsia="Times New Roman" w:hAnsi="Times New Roman"/>
          <w:sz w:val="18"/>
          <w:szCs w:val="18"/>
          <w:color w:val="auto"/>
        </w:rPr>
        <w:t>the Borrower fails to pay any amount due on this Note and/or any fees or sums due under or in connection with this Note after any such payment otherwise becomes due and payable and three Business Days after demand for such payment;</w:t>
      </w:r>
    </w:p>
    <w:p>
      <w:pPr>
        <w:spacing w:after="0" w:line="158" w:lineRule="exact"/>
        <w:rPr>
          <w:sz w:val="20"/>
          <w:szCs w:val="20"/>
          <w:color w:val="auto"/>
        </w:rPr>
      </w:pPr>
    </w:p>
    <w:p>
      <w:pPr>
        <w:sectPr>
          <w:pgSz w:w="11900" w:h="16838" w:orient="portrait"/>
          <w:cols w:equalWidth="0" w:num="2">
            <w:col w:w="1100" w:space="640"/>
            <w:col w:w="9680"/>
          </w:cols>
          <w:pgMar w:left="240" w:top="333" w:right="239" w:bottom="1440" w:gutter="0" w:footer="0" w:header="0"/>
          <w:type w:val="continuous"/>
        </w:sectPr>
      </w:pPr>
    </w:p>
    <w:p>
      <w:pPr>
        <w:ind w:left="1740" w:hanging="797"/>
        <w:spacing w:after="0" w:line="282" w:lineRule="auto"/>
        <w:tabs>
          <w:tab w:leader="none" w:pos="1720" w:val="left"/>
        </w:tabs>
        <w:rPr>
          <w:sz w:val="20"/>
          <w:szCs w:val="20"/>
          <w:color w:val="auto"/>
        </w:rPr>
      </w:pPr>
      <w:r>
        <w:rPr>
          <w:rFonts w:ascii="Times New Roman" w:cs="Times New Roman" w:eastAsia="Times New Roman" w:hAnsi="Times New Roman"/>
          <w:sz w:val="18"/>
          <w:szCs w:val="18"/>
          <w:b w:val="1"/>
          <w:bCs w:val="1"/>
          <w:color w:val="auto"/>
        </w:rPr>
        <w:t>(ii)</w:t>
      </w:r>
      <w:r>
        <w:rPr>
          <w:sz w:val="20"/>
          <w:szCs w:val="20"/>
          <w:color w:val="auto"/>
        </w:rPr>
        <w:tab/>
      </w:r>
      <w:r>
        <w:rPr>
          <w:rFonts w:ascii="Times New Roman" w:cs="Times New Roman" w:eastAsia="Times New Roman" w:hAnsi="Times New Roman"/>
          <w:sz w:val="18"/>
          <w:szCs w:val="18"/>
          <w:color w:val="auto"/>
        </w:rPr>
        <w:t>the Borrower otherwise fails to perform or observe any other provision contained in this Note and such breach or failure to perform shall continue for a period of thirty days after notice thereof shall have been given to the Borrower by the Noteholder;</w:t>
      </w:r>
    </w:p>
    <w:p>
      <w:pPr>
        <w:sectPr>
          <w:pgSz w:w="11900" w:h="16838" w:orient="portrait"/>
          <w:cols w:equalWidth="0" w:num="1">
            <w:col w:w="11420"/>
          </w:cols>
          <w:pgMar w:left="240" w:top="333" w:right="239" w:bottom="1440" w:gutter="0" w:footer="0" w:header="0"/>
          <w:type w:val="continuous"/>
        </w:sectPr>
      </w:pPr>
    </w:p>
    <w:p>
      <w:pPr>
        <w:spacing w:after="0" w:line="200" w:lineRule="exact"/>
        <w:rPr>
          <w:sz w:val="20"/>
          <w:szCs w:val="20"/>
          <w:color w:val="auto"/>
        </w:rPr>
      </w:pPr>
    </w:p>
    <w:p>
      <w:pPr>
        <w:spacing w:after="0" w:line="30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type w:val="continuous"/>
        </w:sectPr>
      </w:pPr>
    </w:p>
    <w:bookmarkStart w:id="54" w:name="page55"/>
    <w:bookmarkEnd w:id="54"/>
    <w:p>
      <w:pPr>
        <w:jc w:val="both"/>
        <w:ind w:left="1660" w:hanging="801"/>
        <w:spacing w:after="0" w:line="256" w:lineRule="auto"/>
        <w:tabs>
          <w:tab w:leader="none" w:pos="2404"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case shall be commenced against Borrower, or Borrower shall file a petition commencing a case, under any provision of the Federal Bankruptcy Code of 1978, as amended, or shall seek relief under any provision of any other bankruptcy, reorganization, arrangement, insolvency, readjustment of debt, dissolution or liquidation law of any jurisdiction, whether now or hereafter in effect, or shall consent to the filing of any petition against it under such law, or Borrower shall make an assignment for the benefit of its creditors, or shall admit in writing its inability to pay its debts generally as they become due, or shall consent to the appointment of a receiver, trustee or liquidator of Borrower or all or any part of its property; or</w:t>
      </w:r>
    </w:p>
    <w:p>
      <w:pPr>
        <w:spacing w:after="0" w:line="187" w:lineRule="exact"/>
        <w:rPr>
          <w:rFonts w:ascii="Times New Roman" w:cs="Times New Roman" w:eastAsia="Times New Roman" w:hAnsi="Times New Roman"/>
          <w:sz w:val="18"/>
          <w:szCs w:val="18"/>
          <w:b w:val="1"/>
          <w:bCs w:val="1"/>
          <w:color w:val="auto"/>
        </w:rPr>
      </w:pPr>
    </w:p>
    <w:p>
      <w:pPr>
        <w:ind w:left="2400" w:hanging="1541"/>
        <w:spacing w:after="0"/>
        <w:tabs>
          <w:tab w:leader="none" w:pos="24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event occurs that, with notice or lapse of time, or both, would become any of the foregoing Events of Default.</w:t>
      </w:r>
    </w:p>
    <w:p>
      <w:pPr>
        <w:spacing w:after="0" w:line="221"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Payment Date</w:t>
      </w:r>
      <w:r>
        <w:rPr>
          <w:rFonts w:ascii="Times New Roman" w:cs="Times New Roman" w:eastAsia="Times New Roman" w:hAnsi="Times New Roman"/>
          <w:sz w:val="18"/>
          <w:szCs w:val="18"/>
          <w:color w:val="auto"/>
        </w:rPr>
        <w:t>” shall mean the earlier of:</w:t>
      </w:r>
    </w:p>
    <w:p>
      <w:pPr>
        <w:spacing w:after="0" w:line="229" w:lineRule="exact"/>
        <w:rPr>
          <w:sz w:val="20"/>
          <w:szCs w:val="20"/>
          <w:color w:val="auto"/>
        </w:rPr>
      </w:pPr>
    </w:p>
    <w:p>
      <w:pPr>
        <w:jc w:val="both"/>
        <w:ind w:left="3420" w:hanging="858"/>
        <w:spacing w:after="0" w:line="239" w:lineRule="auto"/>
        <w:tabs>
          <w:tab w:leader="none" w:pos="34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written demand by the Noteholder for payment of all or part of the unpaid principal, the accrued and unpaid interest thereon and the accrued and unpaid commitment fee thereon, but in any event no earlier than December 31, 2020; or</w:t>
      </w:r>
    </w:p>
    <w:p>
      <w:pPr>
        <w:spacing w:after="0" w:line="2" w:lineRule="exact"/>
        <w:rPr>
          <w:rFonts w:ascii="Times New Roman" w:cs="Times New Roman" w:eastAsia="Times New Roman" w:hAnsi="Times New Roman"/>
          <w:sz w:val="22"/>
          <w:szCs w:val="22"/>
          <w:color w:val="auto"/>
        </w:rPr>
      </w:pPr>
    </w:p>
    <w:p>
      <w:pPr>
        <w:ind w:left="3420" w:hanging="858"/>
        <w:spacing w:after="0" w:line="204" w:lineRule="auto"/>
        <w:tabs>
          <w:tab w:leader="none" w:pos="34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acceleration as provided herein.</w:t>
      </w:r>
    </w:p>
    <w:p>
      <w:pPr>
        <w:sectPr>
          <w:pgSz w:w="11900" w:h="16838" w:orient="portrait"/>
          <w:cols w:equalWidth="0" w:num="1">
            <w:col w:w="11340"/>
          </w:cols>
          <w:pgMar w:left="320" w:top="337" w:right="239" w:bottom="1440" w:gutter="0" w:footer="0" w:header="0"/>
        </w:sect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Maximum Rate</w:t>
      </w:r>
      <w:r>
        <w:rPr>
          <w:rFonts w:ascii="Times New Roman" w:cs="Times New Roman" w:eastAsia="Times New Roman" w:hAnsi="Times New Roman"/>
          <w:sz w:val="17"/>
          <w:szCs w:val="17"/>
          <w:color w:val="auto"/>
        </w:rPr>
        <w:t>” shall mean the highest lawful rate permissible under applicable law for the use, forbearance or detention of money.</w:t>
      </w:r>
    </w:p>
    <w:p>
      <w:pPr>
        <w:spacing w:after="0" w:line="211" w:lineRule="exact"/>
        <w:rPr>
          <w:sz w:val="20"/>
          <w:szCs w:val="20"/>
          <w:color w:val="auto"/>
        </w:rPr>
      </w:pPr>
    </w:p>
    <w:p>
      <w:pPr>
        <w:sectPr>
          <w:pgSz w:w="11900" w:h="16838" w:orient="portrait"/>
          <w:cols w:equalWidth="0" w:num="2">
            <w:col w:w="880" w:space="720"/>
            <w:col w:w="9740"/>
          </w:cols>
          <w:pgMar w:left="320" w:top="337"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firstLine="81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Prime Rate</w:t>
      </w:r>
      <w:r>
        <w:rPr>
          <w:rFonts w:ascii="Times New Roman" w:cs="Times New Roman" w:eastAsia="Times New Roman" w:hAnsi="Times New Roman"/>
          <w:sz w:val="18"/>
          <w:szCs w:val="18"/>
          <w:color w:val="auto"/>
        </w:rPr>
        <w:t xml:space="preserve">” shall mean the fluctuating interest rate per annum in effect from time to time equal to the base rate on corporate loans as reported as the Prime Rate in the Money Rates column of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other reliable source.</w:t>
      </w:r>
    </w:p>
    <w:p>
      <w:pPr>
        <w:spacing w:after="0" w:line="155" w:lineRule="exact"/>
        <w:rPr>
          <w:sz w:val="20"/>
          <w:szCs w:val="20"/>
          <w:color w:val="auto"/>
        </w:rPr>
      </w:pPr>
    </w:p>
    <w:p>
      <w:pPr>
        <w:sectPr>
          <w:pgSz w:w="11900" w:h="16838" w:orient="portrait"/>
          <w:cols w:equalWidth="0" w:num="2">
            <w:col w:w="200" w:space="600"/>
            <w:col w:w="10540"/>
          </w:cols>
          <w:pgMar w:left="320" w:top="337" w:right="239" w:bottom="1440" w:gutter="0" w:footer="0" w:header="0"/>
          <w:type w:val="continuous"/>
        </w:sectPr>
      </w:pPr>
    </w:p>
    <w:p>
      <w:pPr>
        <w:ind w:left="800" w:hanging="797"/>
        <w:spacing w:after="0" w:line="286" w:lineRule="auto"/>
        <w:tabs>
          <w:tab w:leader="none" w:pos="780" w:val="left"/>
        </w:tabs>
        <w:rPr>
          <w:sz w:val="20"/>
          <w:szCs w:val="20"/>
          <w:color w:val="auto"/>
        </w:rPr>
      </w:pPr>
      <w:r>
        <w:rPr>
          <w:rFonts w:ascii="Times New Roman" w:cs="Times New Roman" w:eastAsia="Times New Roman" w:hAnsi="Times New Roman"/>
          <w:sz w:val="18"/>
          <w:szCs w:val="18"/>
          <w:b w:val="1"/>
          <w:bCs w:val="1"/>
          <w:color w:val="auto"/>
        </w:rPr>
        <w:t>(h)</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Unused Commitment Amount</w:t>
      </w:r>
      <w:r>
        <w:rPr>
          <w:rFonts w:ascii="Times New Roman" w:cs="Times New Roman" w:eastAsia="Times New Roman" w:hAnsi="Times New Roman"/>
          <w:sz w:val="18"/>
          <w:szCs w:val="18"/>
          <w:color w:val="auto"/>
        </w:rPr>
        <w:t>” for any period on after the date of this Note shall mean the average on each day of such period of the difference between (A) $40,000,000.00 and (B) the amount of the unpaid principal balance of this Note.</w:t>
      </w:r>
    </w:p>
    <w:p>
      <w:pPr>
        <w:spacing w:after="0" w:line="155" w:lineRule="exact"/>
        <w:rPr>
          <w:sz w:val="20"/>
          <w:szCs w:val="20"/>
          <w:color w:val="auto"/>
        </w:rPr>
      </w:pPr>
    </w:p>
    <w:p>
      <w:pPr>
        <w:ind w:left="800" w:hanging="797"/>
        <w:spacing w:after="0" w:line="286" w:lineRule="auto"/>
        <w:tabs>
          <w:tab w:leader="none" w:pos="780" w:val="left"/>
        </w:tabs>
        <w:rPr>
          <w:sz w:val="20"/>
          <w:szCs w:val="20"/>
          <w:color w:val="auto"/>
        </w:rPr>
      </w:pPr>
      <w:r>
        <w:rPr>
          <w:rFonts w:ascii="Times New Roman" w:cs="Times New Roman" w:eastAsia="Times New Roman" w:hAnsi="Times New Roman"/>
          <w:sz w:val="18"/>
          <w:szCs w:val="18"/>
          <w:b w:val="1"/>
          <w:bCs w:val="1"/>
          <w:color w:val="auto"/>
        </w:rPr>
        <w:t>(i)</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Unused Commitment Fee</w:t>
      </w:r>
      <w:r>
        <w:rPr>
          <w:rFonts w:ascii="Times New Roman" w:cs="Times New Roman" w:eastAsia="Times New Roman" w:hAnsi="Times New Roman"/>
          <w:sz w:val="18"/>
          <w:szCs w:val="18"/>
          <w:color w:val="auto"/>
        </w:rPr>
        <w:t>” shall mean the product of (A) 50 Basis Points per annum (pro rated to take into account that the fee is payable quarterly, or such shorter period if applicable) and (B) the Unused Commitment Amount.</w:t>
      </w:r>
    </w:p>
    <w:p>
      <w:pPr>
        <w:spacing w:after="0" w:line="15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ALHI</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ectPr>
          <w:pgSz w:w="11900" w:h="16838" w:orient="portrait"/>
          <w:cols w:equalWidth="0" w:num="1">
            <w:col w:w="11340"/>
          </w:cols>
          <w:pgMar w:left="320" w:top="33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u w:val="single" w:color="auto"/>
          <w:color w:val="auto"/>
        </w:rPr>
        <w:t>By: /s/ Gregory M. Swalwell</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i w:val="1"/>
          <w:iCs w:val="1"/>
          <w:color w:val="auto"/>
        </w:rPr>
        <w:t>Gregory M. Swalwell</w:t>
      </w:r>
    </w:p>
    <w:p>
      <w:pPr>
        <w:spacing w:after="0" w:line="9" w:lineRule="exact"/>
        <w:rPr>
          <w:sz w:val="20"/>
          <w:szCs w:val="20"/>
          <w:color w:val="auto"/>
        </w:rPr>
      </w:pPr>
    </w:p>
    <w:p>
      <w:pPr>
        <w:ind w:left="6300"/>
        <w:spacing w:after="0"/>
        <w:tabs>
          <w:tab w:leader="none" w:pos="7120" w:val="left"/>
          <w:tab w:leader="none" w:pos="7580" w:val="left"/>
          <w:tab w:leader="none" w:pos="8460" w:val="left"/>
          <w:tab w:leader="none" w:pos="9000" w:val="left"/>
          <w:tab w:leader="none" w:pos="9840" w:val="left"/>
          <w:tab w:leader="none" w:pos="10500" w:val="left"/>
          <w:tab w:leader="none" w:pos="10920" w:val="left"/>
        </w:tabs>
        <w:rPr>
          <w:sz w:val="20"/>
          <w:szCs w:val="20"/>
          <w:color w:val="auto"/>
        </w:rPr>
      </w:pPr>
      <w:r>
        <w:rPr>
          <w:rFonts w:ascii="Times New Roman" w:cs="Times New Roman" w:eastAsia="Times New Roman" w:hAnsi="Times New Roman"/>
          <w:sz w:val="18"/>
          <w:szCs w:val="18"/>
          <w:i w:val="1"/>
          <w:iCs w:val="1"/>
          <w:color w:val="auto"/>
        </w:rPr>
        <w:t>Executive</w:t>
        <w:tab/>
        <w:t>Vice</w:t>
        <w:tab/>
        <w:t>President,</w:t>
        <w:tab/>
        <w:t>Chief</w:t>
        <w:tab/>
        <w:t>Financial</w:t>
        <w:tab/>
        <w:t>Officer</w:t>
        <w:tab/>
        <w:t>and</w:t>
        <w:tab/>
        <w:t>Chief</w:t>
      </w:r>
    </w:p>
    <w:p>
      <w:pPr>
        <w:spacing w:after="0" w:line="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5430 LBJ Freeway, Suite 1700</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Dallas, Texas  75240-2697</w:t>
      </w:r>
    </w:p>
    <w:p>
      <w:pPr>
        <w:spacing w:after="0" w:line="200" w:lineRule="exact"/>
        <w:rPr>
          <w:sz w:val="20"/>
          <w:szCs w:val="20"/>
          <w:color w:val="auto"/>
        </w:rPr>
      </w:pPr>
    </w:p>
    <w:p>
      <w:pPr>
        <w:spacing w:after="0" w:line="3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320" w:top="337" w:right="239" w:bottom="1440" w:gutter="0" w:footer="0" w:header="0"/>
          <w:type w:val="continuous"/>
        </w:sectPr>
      </w:pPr>
    </w:p>
    <w:bookmarkStart w:id="55" w:name="page56"/>
    <w:bookmarkEnd w:id="55"/>
    <w:p>
      <w:pPr>
        <w:jc w:val="both"/>
        <w:ind w:firstLine="877"/>
        <w:spacing w:after="0" w:line="261" w:lineRule="auto"/>
        <w:rPr>
          <w:sz w:val="20"/>
          <w:szCs w:val="20"/>
          <w:color w:val="auto"/>
        </w:rPr>
      </w:pPr>
      <w:r>
        <w:rPr>
          <w:rFonts w:ascii="Times New Roman" w:cs="Times New Roman" w:eastAsia="Times New Roman" w:hAnsi="Times New Roman"/>
          <w:sz w:val="18"/>
          <w:szCs w:val="18"/>
          <w:color w:val="auto"/>
        </w:rPr>
        <w:t>As of the date hereof, CompX International Inc., as the Noteholder, hereby agrees that this Note renews, replaces, amends and restates in it’s the Prior Note, and that the unpaid principal of $40,000,000.00, the accrued and unpaid interest thereon of nil and the accrued and unpaid commitment fee thereon of nil that was owed under the Prior Note as of the close of business on December 31, 2018 are the unpaid principal, the accrued and unpaid interest thereon and the accrued and unpaid commitment fee thereon, respectively, owed under this Note as of the close of business on the date of this Note.</w:t>
      </w:r>
    </w:p>
    <w:p>
      <w:pPr>
        <w:spacing w:after="0" w:line="39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COMPX INTERNATIONAL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u w:val="single" w:color="auto"/>
          <w:color w:val="auto"/>
        </w:rPr>
        <w:t>By: /s/ James W. Brown</w:t>
      </w:r>
    </w:p>
    <w:p>
      <w:pPr>
        <w:spacing w:after="0" w:line="2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i w:val="1"/>
          <w:iCs w:val="1"/>
          <w:color w:val="auto"/>
        </w:rPr>
        <w:t>James W. Brown</w:t>
      </w:r>
    </w:p>
    <w:p>
      <w:pPr>
        <w:spacing w:after="0" w:line="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i w:val="1"/>
          <w:iCs w:val="1"/>
          <w:color w:val="auto"/>
        </w:rPr>
        <w:t>Vice President, Chief Financial Officer and Controller</w:t>
      </w:r>
    </w:p>
    <w:p>
      <w:pPr>
        <w:spacing w:after="0" w:line="200" w:lineRule="exact"/>
        <w:rPr>
          <w:sz w:val="20"/>
          <w:szCs w:val="20"/>
          <w:color w:val="auto"/>
        </w:rPr>
      </w:pPr>
    </w:p>
    <w:p>
      <w:pPr>
        <w:spacing w:after="0" w:line="3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Page 5 of 5.</w:t>
      </w:r>
    </w:p>
    <w:p>
      <w:pPr>
        <w:sectPr>
          <w:pgSz w:w="11900" w:h="16838" w:orient="portrait"/>
          <w:cols w:equalWidth="0" w:num="1">
            <w:col w:w="11420"/>
          </w:cols>
          <w:pgMar w:left="240" w:top="337"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SUBSIDIARIES OF THE REGISTRANT</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421068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CompX Security Products Inc.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CompX Marine Inc.</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Custom Marine Inc.</w:t>
      </w:r>
    </w:p>
    <w:p>
      <w:pPr>
        <w:spacing w:after="0" w:line="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JZTB Realty LLC</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Livorsi Marine Inc.</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 of Voting</w:t>
            </w:r>
          </w:p>
        </w:tc>
      </w:tr>
      <w:tr>
        <w:trPr>
          <w:trHeight w:val="216"/>
        </w:trPr>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Jurisdiction of</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w:t>
            </w:r>
          </w:p>
        </w:tc>
      </w:tr>
      <w:tr>
        <w:trPr>
          <w:trHeight w:val="216"/>
        </w:trPr>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Incorporation or</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Held at December 31,</w:t>
            </w:r>
          </w:p>
        </w:tc>
      </w:tr>
      <w:tr>
        <w:trPr>
          <w:trHeight w:val="238"/>
        </w:trPr>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c>
          <w:tcPr>
            <w:tcW w:w="12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358"/>
        </w:trPr>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Delaware</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r>
      <w:tr>
        <w:trPr>
          <w:trHeight w:val="365"/>
        </w:trPr>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Delaware</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Delaware</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Wisconsin</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Illinois</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r>
    </w:tbl>
    <w:p>
      <w:pPr>
        <w:sectPr>
          <w:pgSz w:w="11900" w:h="16838" w:orient="portrait"/>
          <w:cols w:equalWidth="0" w:num="2">
            <w:col w:w="6020" w:space="720"/>
            <w:col w:w="4680"/>
          </w:cols>
          <w:pgMar w:left="240" w:top="117" w:right="239" w:bottom="1440" w:gutter="0" w:footer="0" w:header="0"/>
          <w:type w:val="continuous"/>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333-181794) of CompX International Inc. of our report dated February 27, 2019 relating to the consolidated financial statements, which appears in this Form 10-K.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2019</w:t>
      </w:r>
    </w:p>
    <w:p>
      <w:pPr>
        <w:sectPr>
          <w:pgSz w:w="11900" w:h="16838" w:orient="portrait"/>
          <w:cols w:equalWidth="0" w:num="1">
            <w:col w:w="11420"/>
          </w:cols>
          <w:pgMar w:left="240" w:top="117" w:right="2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C. James, certify that:</w:t>
      </w:r>
    </w:p>
    <w:p>
      <w:pPr>
        <w:spacing w:after="0" w:line="117" w:lineRule="exact"/>
        <w:rPr>
          <w:sz w:val="20"/>
          <w:szCs w:val="20"/>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CompX International Inc.;</w:t>
      </w:r>
    </w:p>
    <w:p>
      <w:pPr>
        <w:spacing w:after="0" w:line="117" w:lineRule="exact"/>
        <w:rPr>
          <w:rFonts w:ascii="Times New Roman" w:cs="Times New Roman" w:eastAsia="Times New Roman" w:hAnsi="Times New Roman"/>
          <w:sz w:val="18"/>
          <w:szCs w:val="18"/>
          <w:color w:val="auto"/>
        </w:rPr>
      </w:pPr>
    </w:p>
    <w:p>
      <w:pPr>
        <w:jc w:val="both"/>
        <w:ind w:left="380" w:hanging="372"/>
        <w:spacing w:after="0" w:line="282"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53"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60" w:right="20" w:hanging="374"/>
        <w:spacing w:after="0" w:line="282" w:lineRule="auto"/>
        <w:tabs>
          <w:tab w:leader="none" w:pos="7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2019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Scott C. James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333" w:right="2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W. Brown, certify that:</w:t>
      </w:r>
    </w:p>
    <w:p>
      <w:pPr>
        <w:spacing w:after="0" w:line="117" w:lineRule="exact"/>
        <w:rPr>
          <w:sz w:val="20"/>
          <w:szCs w:val="20"/>
          <w:color w:val="auto"/>
        </w:rPr>
      </w:pPr>
    </w:p>
    <w:p>
      <w:pPr>
        <w:ind w:left="380" w:hanging="372"/>
        <w:spacing w:after="0"/>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CompX International Inc.;</w:t>
      </w:r>
    </w:p>
    <w:p>
      <w:pPr>
        <w:spacing w:after="0" w:line="117" w:lineRule="exact"/>
        <w:rPr>
          <w:rFonts w:ascii="Times New Roman" w:cs="Times New Roman" w:eastAsia="Times New Roman" w:hAnsi="Times New Roman"/>
          <w:sz w:val="18"/>
          <w:szCs w:val="18"/>
          <w:color w:val="auto"/>
        </w:rPr>
      </w:pPr>
    </w:p>
    <w:p>
      <w:pPr>
        <w:jc w:val="both"/>
        <w:ind w:left="380" w:hanging="372"/>
        <w:spacing w:after="0" w:line="282"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p>
      <w:pPr>
        <w:spacing w:after="0" w:line="68"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53" w:lineRule="exact"/>
        <w:rPr>
          <w:rFonts w:ascii="Times New Roman" w:cs="Times New Roman" w:eastAsia="Times New Roman" w:hAnsi="Times New Roman"/>
          <w:sz w:val="18"/>
          <w:szCs w:val="18"/>
          <w:color w:val="auto"/>
        </w:rPr>
      </w:pPr>
    </w:p>
    <w:p>
      <w:pPr>
        <w:ind w:left="760" w:right="340" w:hanging="374"/>
        <w:spacing w:after="0" w:line="282" w:lineRule="auto"/>
        <w:tabs>
          <w:tab w:leader="none" w:pos="7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60" w:right="320" w:hanging="374"/>
        <w:spacing w:after="0" w:line="282" w:lineRule="auto"/>
        <w:tabs>
          <w:tab w:leader="none" w:pos="7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2019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James W. Brown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W.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Chief Financial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Controller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ectPr>
          <w:pgSz w:w="11900" w:h="16838" w:orient="portrait"/>
          <w:cols w:equalWidth="0" w:num="1">
            <w:col w:w="11420"/>
          </w:cols>
          <w:pgMar w:left="240" w:top="131" w:right="2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CompX International Inc. (the Company) on Form 10-K for the period ending December 31, 2018 as filed with the Securities and Exchange Commission on the date hereof (the Report), I, Scott C. James, President and Chief Executive Officer of the Company and I, James W. Brown, Vice President, Chief Financial Officer and Controller of the Company, certify, pursuant to 18 U.S.C. §1350, as adopted pursuant to §906 of the Sarbanes-Oxley Act of 2002, that:</w:t>
      </w:r>
    </w:p>
    <w:p>
      <w:pPr>
        <w:spacing w:after="0" w:line="72" w:lineRule="exact"/>
        <w:rPr>
          <w:sz w:val="20"/>
          <w:szCs w:val="20"/>
          <w:color w:val="auto"/>
        </w:rPr>
      </w:pPr>
    </w:p>
    <w:p>
      <w:pPr>
        <w:ind w:left="1880" w:hanging="859"/>
        <w:spacing w:after="0"/>
        <w:tabs>
          <w:tab w:leader="none" w:pos="1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880" w:hanging="859"/>
        <w:spacing w:after="0"/>
        <w:tabs>
          <w:tab w:leader="none" w:pos="18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w:t>
      </w:r>
    </w:p>
    <w:p>
      <w:pPr>
        <w:spacing w:after="0" w:line="38" w:lineRule="exact"/>
        <w:rPr>
          <w:rFonts w:ascii="Times New Roman" w:cs="Times New Roman" w:eastAsia="Times New Roman" w:hAnsi="Times New Roman"/>
          <w:sz w:val="17"/>
          <w:szCs w:val="17"/>
          <w:color w:val="auto"/>
        </w:rPr>
      </w:pP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Company.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Scott C. James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0873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James W. Brown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W.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0873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Chief Financial Officer and Controller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2019</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lvl w:ilvl="1">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lvl w:ilvl="1">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lvl w:ilvl="1">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
      <w:numFmt w:val="bullet"/>
      <w:start w:val="1"/>
    </w:lvl>
    <w:lvl w:ilvl="1">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1)"/>
      <w:numFmt w:val="lowerLetter"/>
      <w:start w:val="2"/>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upperLetter"/>
      <w:start w:val="1"/>
    </w:lvl>
  </w:abstractNum>
  <w:abstractNum w:abstractNumId="18">
    <w:nsid w:val="2CA88611"/>
    <w:multiLevelType w:val="hybridMultilevel"/>
    <w:lvl w:ilvl="0">
      <w:lvlJc w:val="left"/>
      <w:lvlText w:val="%1."/>
      <w:numFmt w:val="decimal"/>
      <w:start w:val="2"/>
    </w:lvl>
  </w:abstractNum>
  <w:abstractNum w:abstractNumId="19">
    <w:nsid w:val="836C40E"/>
    <w:multiLevelType w:val="hybridMultilevel"/>
    <w:lvl w:ilvl="0">
      <w:lvlJc w:val="left"/>
      <w:lvlText w:val="%1."/>
      <w:numFmt w:val="decimal"/>
      <w:start w:val="3"/>
    </w:lvl>
  </w:abstractNum>
  <w:abstractNum w:abstractNumId="20">
    <w:nsid w:val="2901D82"/>
    <w:multiLevelType w:val="hybridMultilevel"/>
    <w:lvl w:ilvl="0">
      <w:lvlJc w:val="left"/>
      <w:lvlText w:val="%1."/>
      <w:numFmt w:val="decimal"/>
      <w:start w:val="4"/>
    </w:lvl>
  </w:abstractNum>
  <w:abstractNum w:abstractNumId="21">
    <w:nsid w:val="3A95F874"/>
    <w:multiLevelType w:val="hybridMultilevel"/>
    <w:lvl w:ilvl="0">
      <w:lvlJc w:val="left"/>
      <w:lvlText w:val="%1."/>
      <w:numFmt w:val="decimal"/>
      <w:start w:val="5"/>
    </w:lvl>
  </w:abstractNum>
  <w:abstractNum w:abstractNumId="22">
    <w:nsid w:val="8138641"/>
    <w:multiLevelType w:val="hybridMultilevel"/>
    <w:lvl w:ilvl="0">
      <w:lvlJc w:val="left"/>
      <w:lvlText w:val="%1."/>
      <w:numFmt w:val="decimal"/>
      <w:start w:val="6"/>
    </w:lvl>
  </w:abstractNum>
  <w:abstractNum w:abstractNumId="23">
    <w:nsid w:val="1E7FF521"/>
    <w:multiLevelType w:val="hybridMultilevel"/>
    <w:lvl w:ilvl="0">
      <w:lvlJc w:val="left"/>
      <w:lvlText w:val="%1."/>
      <w:numFmt w:val="decimal"/>
      <w:start w:val="7"/>
    </w:lvl>
    <w:lvl w:ilvl="1">
      <w:lvlJc w:val="left"/>
      <w:lvlText w:val="%2."/>
      <w:numFmt w:val="upperLetter"/>
      <w:start w:val="1"/>
    </w:lvl>
  </w:abstractNum>
  <w:abstractNum w:abstractNumId="24">
    <w:nsid w:val="7C3DBD3D"/>
    <w:multiLevelType w:val="hybridMultilevel"/>
    <w:lvl w:ilvl="0">
      <w:lvlJc w:val="left"/>
      <w:lvlText w:val="%1."/>
      <w:numFmt w:val="decimal"/>
      <w:start w:val="8"/>
    </w:lvl>
  </w:abstractNum>
  <w:abstractNum w:abstractNumId="25">
    <w:nsid w:val="737B8DDC"/>
    <w:multiLevelType w:val="hybridMultilevel"/>
    <w:lvl w:ilvl="0">
      <w:lvlJc w:val="left"/>
      <w:lvlText w:val="%1."/>
      <w:numFmt w:val="decimal"/>
      <w:start w:val="9"/>
    </w:lvl>
  </w:abstractNum>
  <w:abstractNum w:abstractNumId="26">
    <w:nsid w:val="6CEAF087"/>
    <w:multiLevelType w:val="hybridMultilevel"/>
    <w:lvl w:ilvl="0">
      <w:lvlJc w:val="left"/>
      <w:lvlText w:val="%1"/>
      <w:numFmt w:val="decimal"/>
      <w:start w:val="1"/>
    </w:lvl>
    <w:lvl w:ilvl="1">
      <w:lvlJc w:val="left"/>
      <w:lvlText w:val="%2."/>
      <w:numFmt w:val="upperLetter"/>
      <w:start w:val="1"/>
    </w:lvl>
  </w:abstractNum>
  <w:abstractNum w:abstractNumId="27">
    <w:nsid w:val="22221A70"/>
    <w:multiLevelType w:val="hybridMultilevel"/>
    <w:lvl w:ilvl="0">
      <w:lvlJc w:val="left"/>
      <w:lvlText w:val="%1."/>
      <w:numFmt w:val="decimal"/>
      <w:start w:val="10"/>
    </w:lvl>
    <w:lvl w:ilvl="1">
      <w:lvlJc w:val="left"/>
      <w:lvlText w:val="%2"/>
      <w:numFmt w:val="upperLetter"/>
      <w:start w:val="1"/>
    </w:lvl>
  </w:abstractNum>
  <w:abstractNum w:abstractNumId="28">
    <w:nsid w:val="4516DDE9"/>
    <w:multiLevelType w:val="hybridMultilevel"/>
    <w:lvl w:ilvl="0">
      <w:lvlJc w:val="left"/>
      <w:lvlText w:val="%1."/>
      <w:numFmt w:val="decimal"/>
      <w:start w:val="11"/>
    </w:lvl>
  </w:abstractNum>
  <w:abstractNum w:abstractNumId="29">
    <w:nsid w:val="3006C83E"/>
    <w:multiLevelType w:val="hybridMultilevel"/>
    <w:lvl w:ilvl="0">
      <w:lvlJc w:val="left"/>
      <w:lvlText w:val="%1."/>
      <w:numFmt w:val="decimal"/>
      <w:start w:val="12"/>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1)"/>
      <w:numFmt w:val="lowerRoman"/>
      <w:start w:val="3"/>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42" Type="http://schemas.openxmlformats.org/officeDocument/2006/relationships/hyperlink" Target="http://www.sec.gov/Archives/edgar/data/1049606/000156459018019438/cix-ex31_101.htm" TargetMode="External"/><Relationship Id="rId43" Type="http://schemas.openxmlformats.org/officeDocument/2006/relationships/hyperlink" Target="http://www.sec.gov/Archives/edgar/data/0001049606/000002424018000016/exh31.htm" TargetMode="External"/><Relationship Id="rId44" Type="http://schemas.openxmlformats.org/officeDocument/2006/relationships/hyperlink" Target="http://www.sec.gov/Archives/edgar/data/1049606/000005925507000103/exhibit31.htm" TargetMode="External"/><Relationship Id="rId45" Type="http://schemas.openxmlformats.org/officeDocument/2006/relationships/hyperlink" Target="http://www.sec.gov/Archives/edgar/data/1049606/000104960604000011/ciiexh102.txt" TargetMode="External"/><Relationship Id="rId46" Type="http://schemas.openxmlformats.org/officeDocument/2006/relationships/hyperlink" Target="http://www.sec.gov/Archives/edgar/data/1049606/000119312513094118/d440599dex102.htm" TargetMode="External"/><Relationship Id="rId47" Type="http://schemas.openxmlformats.org/officeDocument/2006/relationships/hyperlink" Target="http://www.sec.gov/Archives/edgar/data/1049606/000119312513094118/d440599dex103.htm" TargetMode="External"/><Relationship Id="rId48" Type="http://schemas.openxmlformats.org/officeDocument/2006/relationships/hyperlink" Target="http://www.sec.gov/Archives/edgar/data/1049606/000005925516000191/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2019-12-28T15:46:49Z</dcterms:created>
  <dcterms:modified xsi:type="dcterms:W3CDTF">2019-12-28T15:46:49Z</dcterms:modified>
</cp:coreProperties>
</file>