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August 4, 2020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vMerge w:val="restart"/>
          </w:tcPr>
          <w:p>
            <w:pPr>
              <w:jc w:val="center"/>
              <w:spacing w:after="0"/>
              <w:rPr>
                <w:sz w:val="20"/>
                <w:szCs w:val="20"/>
                <w:color w:val="auto"/>
              </w:rPr>
            </w:pPr>
            <w:r>
              <w:rPr>
                <w:rFonts w:ascii="Arial" w:cs="Arial" w:eastAsia="Arial" w:hAnsi="Arial"/>
                <w:sz w:val="18"/>
                <w:szCs w:val="18"/>
                <w:color w:val="auto"/>
                <w:w w:val="93"/>
              </w:rPr>
              <w:t>NYSE American</w:t>
            </w:r>
          </w:p>
        </w:tc>
        <w:tc>
          <w:tcPr>
            <w:tcW w:w="0" w:type="dxa"/>
            <w:vAlign w:val="bottom"/>
          </w:tcPr>
          <w:p>
            <w:pPr>
              <w:spacing w:after="0"/>
              <w:rPr>
                <w:sz w:val="1"/>
                <w:szCs w:val="1"/>
                <w:color w:val="auto"/>
              </w:rPr>
            </w:pP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right="14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Second Quarter 2020 Results” that the registrant issued on August 4, 2020,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Declares Quarterly Dividend” that the registrant also issued on August 4, 2020,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80" w:hanging="672"/>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110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3"/>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Press release dated August 4, 2020 entitled “CompX Reports Second Quarter 2019 Results”</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tcBorders>
              <w:bottom w:val="single" w:sz="8" w:color="0000EE"/>
            </w:tcBorders>
            <w:gridSpan w:val="3"/>
          </w:tcPr>
          <w:p>
            <w:pPr>
              <w:spacing w:after="0"/>
              <w:rPr>
                <w:rFonts w:ascii="Arial" w:cs="Arial" w:eastAsia="Arial" w:hAnsi="Arial"/>
                <w:sz w:val="22"/>
                <w:szCs w:val="22"/>
                <w:color w:val="0000EE"/>
                <w:w w:val="94"/>
              </w:rPr>
            </w:pPr>
            <w:hyperlink w:anchor="page8">
              <w:r>
                <w:rPr>
                  <w:rFonts w:ascii="Arial" w:cs="Arial" w:eastAsia="Arial" w:hAnsi="Arial"/>
                  <w:sz w:val="22"/>
                  <w:szCs w:val="22"/>
                  <w:color w:val="0000EE"/>
                  <w:w w:val="94"/>
                </w:rPr>
                <w:t>Press release dated August 4, 2020 entitled “CompX Declares Quarterly Dividend” and</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3"/>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issued by the registrant</w:t>
              </w:r>
              <w:r>
                <w:rPr>
                  <w:rFonts w:ascii="Arial" w:cs="Arial" w:eastAsia="Arial" w:hAnsi="Arial"/>
                  <w:sz w:val="22"/>
                  <w:szCs w:val="22"/>
                  <w:color w:val="000000"/>
                </w:rPr>
                <w:t>.</w:t>
              </w:r>
            </w:hyperlink>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472"/>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274"/>
        </w:trPr>
        <w:tc>
          <w:tcPr>
            <w:tcW w:w="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40" w:type="dxa"/>
            <w:vAlign w:val="bottom"/>
            <w:gridSpan w:val="2"/>
          </w:tcPr>
          <w:p>
            <w:pPr>
              <w:ind w:left="280"/>
              <w:spacing w:after="0"/>
              <w:rPr>
                <w:sz w:val="20"/>
                <w:szCs w:val="20"/>
                <w:color w:val="auto"/>
              </w:rPr>
            </w:pPr>
            <w:r>
              <w:rPr>
                <w:rFonts w:ascii="Arial" w:cs="Arial" w:eastAsia="Arial" w:hAnsi="Arial"/>
                <w:sz w:val="22"/>
                <w:szCs w:val="22"/>
                <w:color w:val="auto"/>
              </w:rPr>
              <w:t>Filed herewith</w:t>
            </w:r>
          </w:p>
        </w:tc>
        <w:tc>
          <w:tcPr>
            <w:tcW w:w="5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20" w:type="dxa"/>
            <w:vAlign w:val="bottom"/>
          </w:tcPr>
          <w:p>
            <w:pPr>
              <w:spacing w:after="0"/>
              <w:rPr>
                <w:sz w:val="23"/>
                <w:szCs w:val="23"/>
                <w:color w:val="auto"/>
              </w:rPr>
            </w:pPr>
          </w:p>
        </w:tc>
      </w:tr>
      <w:tr>
        <w:trPr>
          <w:trHeight w:val="901"/>
        </w:trPr>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00" w:type="dxa"/>
            <w:vAlign w:val="bottom"/>
          </w:tcPr>
          <w:p>
            <w:pPr>
              <w:spacing w:after="0"/>
              <w:rPr>
                <w:sz w:val="23"/>
                <w:szCs w:val="23"/>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/s/ Amy A. Samford</w:t>
            </w:r>
          </w:p>
        </w:tc>
      </w:tr>
      <w:tr>
        <w:trPr>
          <w:trHeight w:val="222"/>
        </w:trPr>
        <w:tc>
          <w:tcPr>
            <w:tcW w:w="5600" w:type="dxa"/>
            <w:vAlign w:val="bottom"/>
          </w:tcPr>
          <w:p>
            <w:pPr>
              <w:spacing w:after="0" w:line="222" w:lineRule="exact"/>
              <w:rPr>
                <w:sz w:val="20"/>
                <w:szCs w:val="20"/>
                <w:color w:val="auto"/>
              </w:rPr>
            </w:pPr>
            <w:r>
              <w:rPr>
                <w:rFonts w:ascii="Arial" w:cs="Arial" w:eastAsia="Arial" w:hAnsi="Arial"/>
                <w:sz w:val="22"/>
                <w:szCs w:val="22"/>
                <w:color w:val="auto"/>
              </w:rPr>
              <w:t>Date: August 4, 2020</w:t>
            </w:r>
          </w:p>
        </w:tc>
        <w:tc>
          <w:tcPr>
            <w:tcW w:w="380" w:type="dxa"/>
            <w:vAlign w:val="bottom"/>
          </w:tcPr>
          <w:p>
            <w:pPr>
              <w:spacing w:after="0"/>
              <w:rPr>
                <w:sz w:val="19"/>
                <w:szCs w:val="19"/>
                <w:color w:val="auto"/>
              </w:rPr>
            </w:pPr>
          </w:p>
        </w:tc>
        <w:tc>
          <w:tcPr>
            <w:tcW w:w="5260" w:type="dxa"/>
            <w:vAlign w:val="bottom"/>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4"/>
        </w:trPr>
        <w:tc>
          <w:tcPr>
            <w:tcW w:w="5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3977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57"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57" w:orient="portrait"/>
          <w:cols w:equalWidth="0" w:num="2">
            <w:col w:w="4920" w:space="720"/>
            <w:col w:w="5600"/>
          </w:cols>
          <w:pgMar w:left="320" w:top="1440" w:right="3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57" w:orient="portrait"/>
          <w:cols w:equalWidth="0" w:num="2">
            <w:col w:w="4920" w:space="720"/>
            <w:col w:w="5600"/>
          </w:cols>
          <w:pgMar w:left="320" w:top="1440" w:right="339" w:bottom="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SECOND QUARTER 2020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…August 4, 2020 … CompX International Inc. (NYSE American: CIX) announced today sales of $23.8 million for the second quarter of 2020 compared to $33.7 million in the same period of 2019. Operating income was $2.4 million in the second quarter of 2020 compared to $5.6 million in the same period in 2019. Net income for the second quarter of 2020 was $2.1 million, or $0.17 per diluted share, compared to $4.9 million, or $0.39 per diluted share, in the second quarter of 2019.</w:t>
      </w:r>
    </w:p>
    <w:p>
      <w:pPr>
        <w:spacing w:after="0" w:line="3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six months ended June 30, 2020, sales were $56.1 million compared to $64.9 million in the previous year. Operating income was $7.4 million for the first six months of 2020 compared to $9.9 million for 2019. Net income for the six months ended June 30, 2020 was $6.3 million or $0.51 per diluted share, compared to $8.9 million, or $0.71 per diluted share, in 2019.</w:t>
      </w:r>
    </w:p>
    <w:p>
      <w:pPr>
        <w:spacing w:after="0" w:line="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COVID-19 pandemic impacted our operations during the second quarter of 2020 due to government mandated closures and reduced demand for many of our products resulting from the rapid contraction of vast areas of the economy leading to a decrease in net sales and operating income in the second quarter and for the first six months of 2020 compared to the same periods in 2019</w:t>
      </w:r>
    </w:p>
    <w:p>
      <w:pPr>
        <w:sectPr>
          <w:pgSz w:w="11900" w:h="16857" w:orient="portrait"/>
          <w:cols w:equalWidth="0" w:num="1">
            <w:col w:w="11240"/>
          </w:cols>
          <w:pgMar w:left="320" w:top="1440" w:right="339" w:bottom="0" w:gutter="0" w:footer="0" w:header="0"/>
          <w:type w:val="continuous"/>
        </w:sectPr>
      </w:pPr>
    </w:p>
    <w:bookmarkStart w:id="4" w:name="page5"/>
    <w:bookmarkEnd w:id="4"/>
    <w:p>
      <w:pPr>
        <w:jc w:val="both"/>
        <w:spacing w:after="0" w:line="235" w:lineRule="auto"/>
        <w:rPr>
          <w:sz w:val="20"/>
          <w:szCs w:val="20"/>
          <w:color w:val="auto"/>
        </w:rPr>
      </w:pPr>
      <w:r>
        <w:rPr>
          <w:rFonts w:ascii="Arial" w:cs="Arial" w:eastAsia="Arial" w:hAnsi="Arial"/>
          <w:sz w:val="22"/>
          <w:szCs w:val="22"/>
          <w:color w:val="auto"/>
        </w:rPr>
        <w:t>and could further impact our operations and the operations of our suppliers and customers for the foreseeable future. The extent of the COVID-19 impact on our future operations will depend on the time period and degree to which the COVID-19 pandemic persists in the economy thereby reducing customer demand for certain of our products,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525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144" w:lineRule="exact"/>
        <w:rPr>
          <w:sz w:val="20"/>
          <w:szCs w:val="20"/>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179"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23" w:lineRule="exact"/>
        <w:rPr>
          <w:rFonts w:ascii="Arial" w:cs="Arial" w:eastAsia="Arial" w:hAnsi="Arial"/>
          <w:sz w:val="21"/>
          <w:szCs w:val="21"/>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13" w:lineRule="exact"/>
        <w:rPr>
          <w:rFonts w:ascii="Arial" w:cs="Arial" w:eastAsia="Arial" w:hAnsi="Arial"/>
          <w:sz w:val="19"/>
          <w:szCs w:val="19"/>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00" w:lineRule="exact"/>
        <w:rPr>
          <w:rFonts w:ascii="Arial" w:cs="Arial" w:eastAsia="Arial" w:hAnsi="Arial"/>
          <w:sz w:val="19"/>
          <w:szCs w:val="19"/>
          <w:color w:val="auto"/>
        </w:rPr>
      </w:pPr>
    </w:p>
    <w:p>
      <w:pPr>
        <w:ind w:left="880" w:hanging="431"/>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13"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57" w:lineRule="exact"/>
        <w:rPr>
          <w:rFonts w:ascii="Arial" w:cs="Arial" w:eastAsia="Arial" w:hAnsi="Arial"/>
          <w:sz w:val="22"/>
          <w:szCs w:val="22"/>
          <w:color w:val="auto"/>
        </w:rPr>
      </w:pPr>
    </w:p>
    <w:p>
      <w:pPr>
        <w:jc w:val="both"/>
        <w:ind w:left="880" w:hanging="431"/>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45"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CONSOLIDATED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33.7</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23.8</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64.9</w:t>
            </w:r>
          </w:p>
        </w:tc>
        <w:tc>
          <w:tcPr>
            <w:tcW w:w="30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56.1</w:t>
            </w: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22.8</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16.4</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44.3</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38.3</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profit</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10.9</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7.4</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20.6</w:t>
            </w:r>
          </w:p>
        </w:tc>
        <w:tc>
          <w:tcPr>
            <w:tcW w:w="2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17.8</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5.0</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10.7</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10.4</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5.6</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2.4</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9.9</w:t>
            </w:r>
          </w:p>
        </w:tc>
        <w:tc>
          <w:tcPr>
            <w:tcW w:w="2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7.4</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0.8</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0.4</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w:t>
            </w: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6.4</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11.6</w:t>
            </w:r>
          </w:p>
        </w:tc>
        <w:tc>
          <w:tcPr>
            <w:tcW w:w="2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8.4</w:t>
            </w: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0.7</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2.7</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w:t>
            </w:r>
          </w:p>
        </w:tc>
      </w:tr>
      <w:tr>
        <w:trPr>
          <w:trHeight w:val="283"/>
        </w:trPr>
        <w:tc>
          <w:tcPr>
            <w:tcW w:w="59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74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4.9</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8.9</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98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598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per common share</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0.39</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0.17</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0.71</w:t>
            </w:r>
          </w:p>
        </w:tc>
        <w:tc>
          <w:tcPr>
            <w:tcW w:w="30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0.51</w:t>
            </w:r>
          </w:p>
        </w:tc>
      </w:tr>
      <w:tr>
        <w:trPr>
          <w:trHeight w:val="209"/>
        </w:trPr>
        <w:tc>
          <w:tcPr>
            <w:tcW w:w="59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980" w:type="dxa"/>
            <w:vAlign w:val="bottom"/>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12.4</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12.4</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240"/>
          </w:cols>
          <w:pgMar w:left="320" w:top="11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2051685</wp:posOffset>
            </wp:positionV>
            <wp:extent cx="7132320" cy="198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1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440" w:right="339" w:bottom="1129"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440" w:right="339" w:bottom="1129"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DECLARES REGULAR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DALLAS, TEXAS . . . August 4, 2020 . . . CompX International Inc. (NYSE American: CIX) announced today that its board of directors has declared CompX’s regular quarterly dividend of ten cents ($0.10) per share on its class A common stock, payable on September 8, 2020 to stockholders of record at the close of business on September 1, 2020.</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1440" w:right="339" w:bottom="11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2020-08-04T15:24:04Z</dcterms:created>
  <dcterms:modified xsi:type="dcterms:W3CDTF">2020-08-04T15:24:04Z</dcterms:modified>
</cp:coreProperties>
</file>