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the earliest event reported)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4, 2017</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040" w:type="dxa"/>
            <w:vAlign w:val="bottom"/>
          </w:tcPr>
          <w:p>
            <w:pPr>
              <w:jc w:val="center"/>
              <w:ind w:right="79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1-13905</w:t>
            </w: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57-0981653</w:t>
            </w:r>
          </w:p>
        </w:tc>
      </w:tr>
      <w:tr>
        <w:trPr>
          <w:trHeight w:val="216"/>
        </w:trPr>
        <w:tc>
          <w:tcPr>
            <w:tcW w:w="404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5"/>
              </w:rPr>
              <w:t>Identification No.)</w:t>
            </w:r>
          </w:p>
        </w:tc>
      </w:tr>
      <w:tr>
        <w:trPr>
          <w:trHeight w:val="634"/>
        </w:trPr>
        <w:tc>
          <w:tcPr>
            <w:tcW w:w="72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5430 LBJ Freeway, Suite 1700, Dallas, Texas</w:t>
            </w:r>
          </w:p>
        </w:tc>
        <w:tc>
          <w:tcPr>
            <w:tcW w:w="266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75240-2697</w:t>
            </w:r>
          </w:p>
        </w:tc>
      </w:tr>
      <w:tr>
        <w:trPr>
          <w:trHeight w:val="230"/>
        </w:trPr>
        <w:tc>
          <w:tcPr>
            <w:tcW w:w="7200" w:type="dxa"/>
            <w:vAlign w:val="bottom"/>
            <w:gridSpan w:val="2"/>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7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280035</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88" w:lineRule="exact"/>
        <w:rPr>
          <w:sz w:val="24"/>
          <w:szCs w:val="24"/>
          <w:color w:val="auto"/>
        </w:rPr>
      </w:pPr>
    </w:p>
    <w:p>
      <w:pPr>
        <w:ind w:left="800" w:hanging="508"/>
        <w:spacing w:after="0"/>
        <w:tabs>
          <w:tab w:leader="none" w:pos="800" w:val="left"/>
        </w:tabs>
        <w:numPr>
          <w:ilvl w:val="0"/>
          <w:numId w:val="1"/>
        </w:numPr>
        <w:rPr>
          <w:rFonts w:ascii="MS PGothic" w:cs="MS PGothic" w:eastAsia="MS PGothic" w:hAnsi="MS PGothic"/>
          <w:sz w:val="25"/>
          <w:szCs w:val="25"/>
          <w:color w:val="auto"/>
        </w:rPr>
      </w:pPr>
      <w:r>
        <w:rPr>
          <w:rFonts w:ascii="Arial" w:cs="Arial" w:eastAsia="Arial" w:hAnsi="Arial"/>
          <w:sz w:val="18"/>
          <w:szCs w:val="18"/>
          <w:color w:val="auto"/>
        </w:rPr>
        <w:t>Written communications pursuant to Rule 425 under the Securities Act (17 CFR 230.425)</w:t>
      </w:r>
    </w:p>
    <w:p>
      <w:pPr>
        <w:spacing w:after="0" w:line="260" w:lineRule="exact"/>
        <w:rPr>
          <w:rFonts w:ascii="MS PGothic" w:cs="MS PGothic" w:eastAsia="MS PGothic" w:hAnsi="MS PGothic"/>
          <w:sz w:val="25"/>
          <w:szCs w:val="25"/>
          <w:color w:val="auto"/>
        </w:rPr>
      </w:pPr>
    </w:p>
    <w:p>
      <w:pPr>
        <w:ind w:left="800" w:hanging="508"/>
        <w:spacing w:after="0"/>
        <w:tabs>
          <w:tab w:leader="none" w:pos="800" w:val="left"/>
        </w:tabs>
        <w:numPr>
          <w:ilvl w:val="0"/>
          <w:numId w:val="1"/>
        </w:numPr>
        <w:rPr>
          <w:rFonts w:ascii="MS PGothic" w:cs="MS PGothic" w:eastAsia="MS PGothic" w:hAnsi="MS PGothic"/>
          <w:sz w:val="25"/>
          <w:szCs w:val="25"/>
          <w:color w:val="auto"/>
        </w:rPr>
      </w:pPr>
      <w:r>
        <w:rPr>
          <w:rFonts w:ascii="Arial" w:cs="Arial" w:eastAsia="Arial" w:hAnsi="Arial"/>
          <w:sz w:val="18"/>
          <w:szCs w:val="18"/>
          <w:color w:val="auto"/>
        </w:rPr>
        <w:t>Soliciting material pursuant to Rule 14a-12 under the Exchange Act (17 CFR 240.14a-12)</w:t>
      </w:r>
    </w:p>
    <w:p>
      <w:pPr>
        <w:spacing w:after="0" w:line="260" w:lineRule="exact"/>
        <w:rPr>
          <w:rFonts w:ascii="MS PGothic" w:cs="MS PGothic" w:eastAsia="MS PGothic" w:hAnsi="MS PGothic"/>
          <w:sz w:val="25"/>
          <w:szCs w:val="25"/>
          <w:color w:val="auto"/>
        </w:rPr>
      </w:pPr>
    </w:p>
    <w:p>
      <w:pPr>
        <w:ind w:left="800" w:hanging="508"/>
        <w:spacing w:after="0"/>
        <w:tabs>
          <w:tab w:leader="none" w:pos="800" w:val="left"/>
        </w:tabs>
        <w:numPr>
          <w:ilvl w:val="0"/>
          <w:numId w:val="1"/>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14d-2(b) under the Exchange Act (17 CFR 240.14d-2(b))</w:t>
      </w:r>
    </w:p>
    <w:p>
      <w:pPr>
        <w:spacing w:after="0" w:line="260" w:lineRule="exact"/>
        <w:rPr>
          <w:rFonts w:ascii="MS PGothic" w:cs="MS PGothic" w:eastAsia="MS PGothic" w:hAnsi="MS PGothic"/>
          <w:sz w:val="25"/>
          <w:szCs w:val="25"/>
          <w:color w:val="auto"/>
        </w:rPr>
      </w:pPr>
    </w:p>
    <w:p>
      <w:pPr>
        <w:ind w:left="800" w:hanging="508"/>
        <w:spacing w:after="0"/>
        <w:tabs>
          <w:tab w:leader="none" w:pos="800" w:val="left"/>
        </w:tabs>
        <w:numPr>
          <w:ilvl w:val="0"/>
          <w:numId w:val="1"/>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p>
      <w:pPr>
        <w:spacing w:after="0"/>
        <w:tabs>
          <w:tab w:leader="none" w:pos="14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 hereby furnishes the information set forth in its press release entitled "CompX Reports Second Quarter 2017 Results" that the registrant issued on August 4, 2017, a copy of which is attached hereto as Exhibit 99.1 and incorporated herein by reference.</w:t>
      </w:r>
    </w:p>
    <w:p>
      <w:pPr>
        <w:spacing w:after="0" w:line="19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8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 hereby furnishes the information set forth in its press release entitled "CompX Declares Quarterly Dividend" that the registrant also issued on August 4, 2017, a copy of which is attached hereto as Exhibit 99.2 and incorporated herein by reference.</w:t>
      </w:r>
    </w:p>
    <w:p>
      <w:pPr>
        <w:spacing w:after="0" w:line="19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Item No.</w:t>
            </w:r>
          </w:p>
        </w:tc>
        <w:tc>
          <w:tcPr>
            <w:tcW w:w="520" w:type="dxa"/>
            <w:vAlign w:val="bottom"/>
          </w:tcPr>
          <w:p>
            <w:pPr>
              <w:spacing w:after="0"/>
              <w:rPr>
                <w:sz w:val="20"/>
                <w:szCs w:val="20"/>
                <w:color w:val="auto"/>
              </w:rPr>
            </w:pPr>
          </w:p>
        </w:tc>
        <w:tc>
          <w:tcPr>
            <w:tcW w:w="8120" w:type="dxa"/>
            <w:vAlign w:val="bottom"/>
            <w:tcBorders>
              <w:bottom w:val="single" w:sz="8" w:color="auto"/>
            </w:tcBorders>
          </w:tcPr>
          <w:p>
            <w:pPr>
              <w:ind w:left="362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380" w:type="dxa"/>
            <w:vAlign w:val="bottom"/>
          </w:tcPr>
          <w:p>
            <w:pPr>
              <w:spacing w:after="0"/>
              <w:rPr>
                <w:sz w:val="24"/>
                <w:szCs w:val="24"/>
                <w:color w:val="auto"/>
              </w:rPr>
            </w:pPr>
          </w:p>
        </w:tc>
        <w:tc>
          <w:tcPr>
            <w:tcW w:w="2400" w:type="dxa"/>
            <w:vAlign w:val="bottom"/>
            <w:gridSpan w:val="2"/>
          </w:tcPr>
          <w:p>
            <w:pPr>
              <w:jc w:val="right"/>
              <w:ind w:right="1590"/>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8120" w:type="dxa"/>
            <w:vAlign w:val="bottom"/>
          </w:tcPr>
          <w:p>
            <w:pPr>
              <w:spacing w:after="0"/>
              <w:rPr>
                <w:sz w:val="20"/>
                <w:szCs w:val="20"/>
                <w:color w:val="auto"/>
              </w:rPr>
            </w:pPr>
            <w:r>
              <w:rPr>
                <w:rFonts w:ascii="Arial" w:cs="Arial" w:eastAsia="Arial" w:hAnsi="Arial"/>
                <w:sz w:val="18"/>
                <w:szCs w:val="18"/>
                <w:color w:val="auto"/>
                <w:w w:val="91"/>
              </w:rPr>
              <w:t>Press release dated August 4, 2017 entitled "CompX Reports Second Quarter 2017 Results" and issued by the</w:t>
            </w:r>
          </w:p>
        </w:tc>
      </w:tr>
      <w:tr>
        <w:trPr>
          <w:trHeight w:val="230"/>
        </w:trPr>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80" w:type="dxa"/>
            <w:vAlign w:val="bottom"/>
          </w:tcPr>
          <w:p>
            <w:pPr>
              <w:spacing w:after="0"/>
              <w:rPr>
                <w:sz w:val="24"/>
                <w:szCs w:val="24"/>
                <w:color w:val="auto"/>
              </w:rPr>
            </w:pPr>
          </w:p>
        </w:tc>
        <w:tc>
          <w:tcPr>
            <w:tcW w:w="2400" w:type="dxa"/>
            <w:vAlign w:val="bottom"/>
            <w:gridSpan w:val="2"/>
          </w:tcPr>
          <w:p>
            <w:pPr>
              <w:jc w:val="right"/>
              <w:ind w:right="1590"/>
              <w:spacing w:after="0"/>
              <w:rPr>
                <w:sz w:val="20"/>
                <w:szCs w:val="20"/>
                <w:color w:val="auto"/>
              </w:rPr>
            </w:pPr>
            <w:r>
              <w:rPr>
                <w:rFonts w:ascii="Arial" w:cs="Arial" w:eastAsia="Arial" w:hAnsi="Arial"/>
                <w:sz w:val="18"/>
                <w:szCs w:val="18"/>
                <w:color w:val="auto"/>
              </w:rPr>
              <w:t>99.2*</w:t>
            </w:r>
          </w:p>
        </w:tc>
        <w:tc>
          <w:tcPr>
            <w:tcW w:w="520" w:type="dxa"/>
            <w:vAlign w:val="bottom"/>
          </w:tcPr>
          <w:p>
            <w:pPr>
              <w:spacing w:after="0"/>
              <w:rPr>
                <w:sz w:val="24"/>
                <w:szCs w:val="24"/>
                <w:color w:val="auto"/>
              </w:rPr>
            </w:pPr>
          </w:p>
        </w:tc>
        <w:tc>
          <w:tcPr>
            <w:tcW w:w="8120" w:type="dxa"/>
            <w:vAlign w:val="bottom"/>
          </w:tcPr>
          <w:p>
            <w:pPr>
              <w:spacing w:after="0"/>
              <w:rPr>
                <w:sz w:val="20"/>
                <w:szCs w:val="20"/>
                <w:color w:val="auto"/>
              </w:rPr>
            </w:pPr>
            <w:r>
              <w:rPr>
                <w:rFonts w:ascii="Arial" w:cs="Arial" w:eastAsia="Arial" w:hAnsi="Arial"/>
                <w:sz w:val="18"/>
                <w:szCs w:val="18"/>
                <w:color w:val="auto"/>
                <w:w w:val="91"/>
              </w:rPr>
              <w:t>Press release dated August 4, 2017 entitled "CompX Declares Quarterly Dividend" and issued by the registrant.</w:t>
            </w:r>
          </w:p>
        </w:tc>
      </w:tr>
      <w:tr>
        <w:trPr>
          <w:trHeight w:val="459"/>
        </w:trPr>
        <w:tc>
          <w:tcPr>
            <w:tcW w:w="3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990"/>
              <w:spacing w:after="0"/>
              <w:rPr>
                <w:sz w:val="20"/>
                <w:szCs w:val="20"/>
                <w:color w:val="auto"/>
              </w:rPr>
            </w:pPr>
            <w:r>
              <w:rPr>
                <w:rFonts w:ascii="Arial" w:cs="Arial" w:eastAsia="Arial" w:hAnsi="Arial"/>
                <w:sz w:val="18"/>
                <w:szCs w:val="18"/>
                <w:color w:val="auto"/>
              </w:rPr>
              <w:t>Filed herewith</w:t>
            </w:r>
          </w:p>
        </w:tc>
        <w:tc>
          <w:tcPr>
            <w:tcW w:w="520" w:type="dxa"/>
            <w:vAlign w:val="bottom"/>
          </w:tcPr>
          <w:p>
            <w:pPr>
              <w:spacing w:after="0"/>
              <w:rPr>
                <w:sz w:val="24"/>
                <w:szCs w:val="24"/>
                <w:color w:val="auto"/>
              </w:rPr>
            </w:pPr>
          </w:p>
        </w:tc>
        <w:tc>
          <w:tcPr>
            <w:tcW w:w="8120" w:type="dxa"/>
            <w:vAlign w:val="bottom"/>
          </w:tcPr>
          <w:p>
            <w:pPr>
              <w:spacing w:after="0"/>
              <w:rPr>
                <w:sz w:val="24"/>
                <w:szCs w:val="24"/>
                <w:color w:val="auto"/>
              </w:rPr>
            </w:pPr>
          </w:p>
        </w:tc>
      </w:tr>
      <w:tr>
        <w:trPr>
          <w:trHeight w:val="912"/>
        </w:trPr>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Gregory M. Swalwell</w:t>
            </w: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rPr>
              <w:t>Date: August 4, 2017</w:t>
            </w:r>
          </w:p>
        </w:tc>
        <w:tc>
          <w:tcPr>
            <w:tcW w:w="360" w:type="dxa"/>
            <w:vAlign w:val="bottom"/>
          </w:tcPr>
          <w:p>
            <w:pPr>
              <w:spacing w:after="0"/>
              <w:rPr>
                <w:sz w:val="17"/>
                <w:szCs w:val="17"/>
                <w:color w:val="auto"/>
              </w:rPr>
            </w:pPr>
          </w:p>
        </w:tc>
        <w:tc>
          <w:tcPr>
            <w:tcW w:w="5360" w:type="dxa"/>
            <w:vAlign w:val="bottom"/>
          </w:tcPr>
          <w:p>
            <w:pPr>
              <w:ind w:left="100"/>
              <w:spacing w:after="0" w:line="201" w:lineRule="exact"/>
              <w:rPr>
                <w:sz w:val="20"/>
                <w:szCs w:val="20"/>
                <w:color w:val="auto"/>
              </w:rPr>
            </w:pPr>
            <w:r>
              <w:rPr>
                <w:rFonts w:ascii="Arial" w:cs="Arial" w:eastAsia="Arial" w:hAnsi="Arial"/>
                <w:sz w:val="18"/>
                <w:szCs w:val="18"/>
                <w:i w:val="1"/>
                <w:iCs w:val="1"/>
                <w:color w:val="auto"/>
              </w:rPr>
              <w:t>Gregory M. Swalwell</w:t>
            </w:r>
          </w:p>
        </w:tc>
      </w:tr>
      <w:tr>
        <w:trPr>
          <w:trHeight w:val="230"/>
        </w:trPr>
        <w:tc>
          <w:tcPr>
            <w:tcW w:w="5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w:t>
            </w:r>
          </w:p>
        </w:tc>
      </w:tr>
      <w:tr>
        <w:trPr>
          <w:trHeight w:val="426"/>
        </w:trPr>
        <w:tc>
          <w:tcPr>
            <w:tcW w:w="5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0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99" w:lineRule="exact"/>
        <w:rPr>
          <w:sz w:val="20"/>
          <w:szCs w:val="20"/>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Item No.</w:t>
            </w:r>
          </w:p>
        </w:tc>
        <w:tc>
          <w:tcPr>
            <w:tcW w:w="520" w:type="dxa"/>
            <w:vAlign w:val="bottom"/>
          </w:tcPr>
          <w:p>
            <w:pPr>
              <w:spacing w:after="0"/>
              <w:rPr>
                <w:sz w:val="20"/>
                <w:szCs w:val="20"/>
                <w:color w:val="auto"/>
              </w:rPr>
            </w:pPr>
          </w:p>
        </w:tc>
        <w:tc>
          <w:tcPr>
            <w:tcW w:w="8120" w:type="dxa"/>
            <w:vAlign w:val="bottom"/>
            <w:tcBorders>
              <w:bottom w:val="single" w:sz="8" w:color="auto"/>
            </w:tcBorders>
          </w:tcPr>
          <w:p>
            <w:pPr>
              <w:ind w:left="362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380" w:type="dxa"/>
            <w:vAlign w:val="bottom"/>
          </w:tcPr>
          <w:p>
            <w:pPr>
              <w:spacing w:after="0"/>
              <w:rPr>
                <w:sz w:val="24"/>
                <w:szCs w:val="24"/>
                <w:color w:val="auto"/>
              </w:rPr>
            </w:pPr>
          </w:p>
        </w:tc>
        <w:tc>
          <w:tcPr>
            <w:tcW w:w="2400" w:type="dxa"/>
            <w:vAlign w:val="bottom"/>
            <w:gridSpan w:val="2"/>
          </w:tcPr>
          <w:p>
            <w:pPr>
              <w:jc w:val="right"/>
              <w:ind w:right="1590"/>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8120" w:type="dxa"/>
            <w:vAlign w:val="bottom"/>
          </w:tcPr>
          <w:p>
            <w:pPr>
              <w:spacing w:after="0"/>
              <w:rPr>
                <w:sz w:val="20"/>
                <w:szCs w:val="20"/>
                <w:color w:val="auto"/>
              </w:rPr>
            </w:pPr>
            <w:r>
              <w:rPr>
                <w:rFonts w:ascii="Arial" w:cs="Arial" w:eastAsia="Arial" w:hAnsi="Arial"/>
                <w:sz w:val="18"/>
                <w:szCs w:val="18"/>
                <w:color w:val="auto"/>
                <w:w w:val="91"/>
              </w:rPr>
              <w:t>Press release dated August 4, 2017 entitled "CompX Reports Second Quarter 2017 Results" and issued by the</w:t>
            </w:r>
          </w:p>
        </w:tc>
      </w:tr>
      <w:tr>
        <w:trPr>
          <w:trHeight w:val="230"/>
        </w:trPr>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80" w:type="dxa"/>
            <w:vAlign w:val="bottom"/>
          </w:tcPr>
          <w:p>
            <w:pPr>
              <w:spacing w:after="0"/>
              <w:rPr>
                <w:sz w:val="24"/>
                <w:szCs w:val="24"/>
                <w:color w:val="auto"/>
              </w:rPr>
            </w:pPr>
          </w:p>
        </w:tc>
        <w:tc>
          <w:tcPr>
            <w:tcW w:w="2400" w:type="dxa"/>
            <w:vAlign w:val="bottom"/>
            <w:gridSpan w:val="2"/>
          </w:tcPr>
          <w:p>
            <w:pPr>
              <w:jc w:val="right"/>
              <w:ind w:right="1590"/>
              <w:spacing w:after="0"/>
              <w:rPr>
                <w:sz w:val="20"/>
                <w:szCs w:val="20"/>
                <w:color w:val="auto"/>
              </w:rPr>
            </w:pPr>
            <w:r>
              <w:rPr>
                <w:rFonts w:ascii="Arial" w:cs="Arial" w:eastAsia="Arial" w:hAnsi="Arial"/>
                <w:sz w:val="18"/>
                <w:szCs w:val="18"/>
                <w:color w:val="auto"/>
              </w:rPr>
              <w:t>99.2*</w:t>
            </w:r>
          </w:p>
        </w:tc>
        <w:tc>
          <w:tcPr>
            <w:tcW w:w="520" w:type="dxa"/>
            <w:vAlign w:val="bottom"/>
          </w:tcPr>
          <w:p>
            <w:pPr>
              <w:spacing w:after="0"/>
              <w:rPr>
                <w:sz w:val="24"/>
                <w:szCs w:val="24"/>
                <w:color w:val="auto"/>
              </w:rPr>
            </w:pPr>
          </w:p>
        </w:tc>
        <w:tc>
          <w:tcPr>
            <w:tcW w:w="8120" w:type="dxa"/>
            <w:vAlign w:val="bottom"/>
          </w:tcPr>
          <w:p>
            <w:pPr>
              <w:spacing w:after="0"/>
              <w:rPr>
                <w:sz w:val="20"/>
                <w:szCs w:val="20"/>
                <w:color w:val="auto"/>
              </w:rPr>
            </w:pPr>
            <w:r>
              <w:rPr>
                <w:rFonts w:ascii="Arial" w:cs="Arial" w:eastAsia="Arial" w:hAnsi="Arial"/>
                <w:sz w:val="18"/>
                <w:szCs w:val="18"/>
                <w:color w:val="auto"/>
                <w:w w:val="91"/>
              </w:rPr>
              <w:t>Press release dated August 4, 2017 entitled "CompX Declares Quarterly Dividend" and issued by the registrant.</w:t>
            </w:r>
          </w:p>
        </w:tc>
      </w:tr>
      <w:tr>
        <w:trPr>
          <w:trHeight w:val="459"/>
        </w:trPr>
        <w:tc>
          <w:tcPr>
            <w:tcW w:w="3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990"/>
              <w:spacing w:after="0"/>
              <w:rPr>
                <w:sz w:val="20"/>
                <w:szCs w:val="20"/>
                <w:color w:val="auto"/>
              </w:rPr>
            </w:pPr>
            <w:r>
              <w:rPr>
                <w:rFonts w:ascii="Arial" w:cs="Arial" w:eastAsia="Arial" w:hAnsi="Arial"/>
                <w:sz w:val="18"/>
                <w:szCs w:val="18"/>
                <w:color w:val="auto"/>
              </w:rPr>
              <w:t>Filed herewith</w:t>
            </w:r>
          </w:p>
        </w:tc>
        <w:tc>
          <w:tcPr>
            <w:tcW w:w="520" w:type="dxa"/>
            <w:vAlign w:val="bottom"/>
          </w:tcPr>
          <w:p>
            <w:pPr>
              <w:spacing w:after="0"/>
              <w:rPr>
                <w:sz w:val="24"/>
                <w:szCs w:val="24"/>
                <w:color w:val="auto"/>
              </w:rPr>
            </w:pPr>
          </w:p>
        </w:tc>
        <w:tc>
          <w:tcPr>
            <w:tcW w:w="81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85229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229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CONTACT:</w:t>
      </w:r>
    </w:p>
    <w:p>
      <w:pPr>
        <w:spacing w:after="0" w:line="211" w:lineRule="exact"/>
        <w:rPr>
          <w:sz w:val="20"/>
          <w:szCs w:val="20"/>
          <w:color w:val="auto"/>
        </w:rPr>
      </w:pPr>
    </w:p>
    <w:p>
      <w:pPr>
        <w:sectPr>
          <w:pgSz w:w="11900" w:h="16838" w:orient="portrait"/>
          <w:cols w:equalWidth="0" w:num="2">
            <w:col w:w="5000" w:space="720"/>
            <w:col w:w="5700"/>
          </w:cols>
          <w:pgMar w:left="240" w:top="1440"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CompX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5430 LBJ Freeway, Suite 1700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Janet G. Keckeisen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 972-233-1700</w:t>
      </w:r>
    </w:p>
    <w:p>
      <w:pPr>
        <w:spacing w:after="0" w:line="222" w:lineRule="exact"/>
        <w:rPr>
          <w:sz w:val="20"/>
          <w:szCs w:val="20"/>
          <w:color w:val="auto"/>
        </w:rPr>
      </w:pPr>
    </w:p>
    <w:p>
      <w:pPr>
        <w:sectPr>
          <w:pgSz w:w="11900" w:h="16838" w:orient="portrait"/>
          <w:cols w:equalWidth="0" w:num="2">
            <w:col w:w="5000" w:space="720"/>
            <w:col w:w="5700"/>
          </w:cols>
          <w:pgMar w:left="240" w:top="1440" w:right="2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COMPX REPORTS SECOND QUARTER 2017 RESULTS</w:t>
      </w: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DALLAS, TEXAS …August 4, 2017 … CompX International Inc. (NYSE American: CIX) announced today sales of $30.0 million for the second quarter of 2017 compared to $27.1 million in the same period of 2016. Operating income was $4.6 million in the second quarter of 2017 compared to $3.7 million in the same period in 2016. Net income for the second quarter of 2017 was $3.3 million, or $0.27 per diluted share, compared to $2.4 million, or $0.20 per diluted share, in the second quarter of 2016.</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2017, sales were $60.0 million compared to $54.2 million in the previous year. Operating income was $9.1 million for the first six months of 2017 compared to $7.1 million for 2016. Net income for the six months ended June 30, 2017 was $6.4 million or $0.52 per diluted share, compared to $4.6 million, or $0.37 per diluted share, in 2016.</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Second quarter and year-to-date 2017 net sales increased over the comparable 2016 periods primarily due to Security Products' sales volumes to existing government security customers, partially offset by a decrease in sales of security products to an original equipment manufacturer of recreational transportation products. Operating income increased for both comparative periods principally due to the higher sales and manufacturing efficiencies facilitated by the higher production volumes at Security Products.</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first half of 2017 featured strong sales performances for both our Security Products and Marine Components segments," commented Scott C. James, President and CEO, "including exceptional demand for government security applications. While we expect some moderation in government volumes and continued softness in demand from a significant transportation customer during the second half of 2017, full year sales should meet or exceed 2016 levels. We continue to focus on the development of new product features companywide to broaden our sales base and help mitigate the impact of market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5" w:name="page6"/>
    <w:bookmarkEnd w:id="5"/>
    <w:p>
      <w:pPr>
        <w:jc w:val="both"/>
        <w:ind w:right="20"/>
        <w:spacing w:after="0" w:line="277" w:lineRule="auto"/>
        <w:rPr>
          <w:sz w:val="20"/>
          <w:szCs w:val="20"/>
          <w:color w:val="auto"/>
        </w:rPr>
      </w:pPr>
      <w:r>
        <w:rPr>
          <w:rFonts w:ascii="Arial" w:cs="Arial" w:eastAsia="Arial" w:hAnsi="Arial"/>
          <w:sz w:val="18"/>
          <w:szCs w:val="18"/>
          <w:color w:val="auto"/>
        </w:rPr>
        <w:t>CompX is a leading manufacturer of security products and recreational marine components. It operates from four locations in the U.S. and employs approximately 500 people.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Statements in this release relating to matters that are not historical facts are forward-looking statements based upon management's belief and assumptions using currently available information. Although CompX believes the expectations reflected in such forward-looking statements are reasonable, it cannot give any assurances that these expectations will prove to be correct. Such statements, by their nature, involve substantial risks and uncertainties that could significantly impact expected results, and actual future results could differ materially from those described in such forward-looking statements. While it is not possible to identify all factors, CompX continues to face many risks and uncertainties. Among the factors that could cause actual future results to differ materially include, but are not limited to, general economic and political conditions, changes in raw material and other operating costs, demand for office furniture, service industry employment levels, competitive products and prices, fluctuations in currency exchange rates, the introduction of trade barriers, potential difficulties in integrating completed acquisitions, the ability to sustain or increase operating income improvement resulting from cost control initiatives, uncertainties associated with the development of new product features and other risks and uncertainties detailed in CompX's Securities and Exchange Commission filings. Should one or more of these risks materialize or if the consequences worsen, or if the underlying assumptions prove incorrect, actual results could differ materially from those currently forecasted or expected. CompX disclaims any intention or obligation to publicly update or revise such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CONSOLIDATED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80" w:type="dxa"/>
            <w:vAlign w:val="bottom"/>
            <w:gridSpan w:val="4"/>
          </w:tcPr>
          <w:p>
            <w:pPr>
              <w:jc w:val="right"/>
              <w:ind w:right="57"/>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580" w:type="dxa"/>
            <w:vAlign w:val="bottom"/>
          </w:tcPr>
          <w:p>
            <w:pPr>
              <w:spacing w:after="0"/>
              <w:rPr>
                <w:sz w:val="24"/>
                <w:szCs w:val="24"/>
                <w:color w:val="auto"/>
              </w:rPr>
            </w:pPr>
          </w:p>
        </w:tc>
        <w:tc>
          <w:tcPr>
            <w:tcW w:w="228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420" w:type="dxa"/>
            <w:vAlign w:val="bottom"/>
            <w:gridSpan w:val="2"/>
          </w:tcPr>
          <w:p>
            <w:pPr>
              <w:spacing w:after="0"/>
              <w:rPr>
                <w:sz w:val="24"/>
                <w:szCs w:val="24"/>
                <w:color w:val="auto"/>
              </w:rPr>
            </w:pPr>
          </w:p>
        </w:tc>
        <w:tc>
          <w:tcPr>
            <w:tcW w:w="9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80" w:type="dxa"/>
            <w:vAlign w:val="bottom"/>
            <w:gridSpan w:val="2"/>
            <w:shd w:val="clear" w:color="auto" w:fill="CCEEFF"/>
          </w:tcPr>
          <w:p>
            <w:pPr>
              <w:jc w:val="right"/>
              <w:ind w:right="63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27.1</w:t>
            </w:r>
          </w:p>
        </w:tc>
        <w:tc>
          <w:tcPr>
            <w:tcW w:w="1020" w:type="dxa"/>
            <w:vAlign w:val="bottom"/>
            <w:gridSpan w:val="2"/>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30.0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18.6</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20.5</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income</w:t>
            </w: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4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63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00" w:type="dxa"/>
            <w:vAlign w:val="bottom"/>
            <w:gridSpan w:val="2"/>
          </w:tcPr>
          <w:p>
            <w:pPr>
              <w:spacing w:after="0"/>
              <w:rPr>
                <w:sz w:val="18"/>
                <w:szCs w:val="18"/>
                <w:color w:val="auto"/>
              </w:rPr>
            </w:pP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Basic and diluted net income</w:t>
            </w: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 common share</w:t>
            </w:r>
          </w:p>
        </w:tc>
        <w:tc>
          <w:tcPr>
            <w:tcW w:w="2280" w:type="dxa"/>
            <w:vAlign w:val="bottom"/>
            <w:gridSpan w:val="2"/>
            <w:shd w:val="clear" w:color="auto" w:fill="CCEEFF"/>
          </w:tcPr>
          <w:p>
            <w:pPr>
              <w:jc w:val="right"/>
              <w:ind w:right="63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0.20</w:t>
            </w:r>
          </w:p>
        </w:tc>
        <w:tc>
          <w:tcPr>
            <w:tcW w:w="1020" w:type="dxa"/>
            <w:vAlign w:val="bottom"/>
            <w:gridSpan w:val="2"/>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0.27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w:t>
            </w: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shares outstanding</w:t>
            </w: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12.4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12.4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equivalents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affiliate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noncurrent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ectPr>
          <w:pgSz w:w="11900" w:h="16838" w:orient="portrait"/>
          <w:cols w:equalWidth="0" w:num="1">
            <w:col w:w="11420"/>
          </w:cols>
          <w:pgMar w:left="240" w:top="360" w:right="239" w:bottom="1440" w:gutter="0" w:footer="0" w:header="0"/>
        </w:sectPr>
      </w:pPr>
    </w:p>
    <w:bookmarkStart w:id="8" w:name="page9"/>
    <w:bookmarkEnd w:id="8"/>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45796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57960" cy="4114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240"/>
        <w:spacing w:after="0"/>
        <w:rPr>
          <w:sz w:val="20"/>
          <w:szCs w:val="20"/>
          <w:color w:val="auto"/>
        </w:rPr>
      </w:pPr>
      <w:r>
        <w:rPr>
          <w:rFonts w:ascii="Arial" w:cs="Arial" w:eastAsia="Arial" w:hAnsi="Arial"/>
          <w:sz w:val="24"/>
          <w:szCs w:val="24"/>
          <w:b w:val="1"/>
          <w:bCs w:val="1"/>
          <w:color w:val="auto"/>
        </w:rPr>
        <w:t>CONTACT:</w:t>
      </w:r>
    </w:p>
    <w:p>
      <w:pPr>
        <w:spacing w:after="0" w:line="211" w:lineRule="exact"/>
        <w:rPr>
          <w:sz w:val="20"/>
          <w:szCs w:val="20"/>
          <w:color w:val="auto"/>
        </w:rPr>
      </w:pPr>
    </w:p>
    <w:p>
      <w:pPr>
        <w:sectPr>
          <w:pgSz w:w="11900" w:h="16838" w:orient="portrait"/>
          <w:cols w:equalWidth="0" w:num="2">
            <w:col w:w="6160" w:space="720"/>
            <w:col w:w="4540"/>
          </w:cols>
          <w:pgMar w:left="240" w:top="1440"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CompX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5430 LBJ Freeway, Suite 1700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Janet G. Keckeisen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 972-233-1700</w:t>
      </w:r>
    </w:p>
    <w:p>
      <w:pPr>
        <w:spacing w:after="0" w:line="222" w:lineRule="exact"/>
        <w:rPr>
          <w:sz w:val="20"/>
          <w:szCs w:val="20"/>
          <w:color w:val="auto"/>
        </w:rPr>
      </w:pPr>
    </w:p>
    <w:p>
      <w:pPr>
        <w:sectPr>
          <w:pgSz w:w="11900" w:h="16838" w:orient="portrait"/>
          <w:cols w:equalWidth="0" w:num="2">
            <w:col w:w="6160" w:space="720"/>
            <w:col w:w="4540"/>
          </w:cols>
          <w:pgMar w:left="240" w:top="14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DECLARES REGULAR QUARTERLY DIVIDEND</w:t>
      </w: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DALLAS, TEXAS . . . August 4, 2017 . . . CompX International Inc. (NYSE American: CIX) announced today that its board of directors has declared CompX's regular quarterly dividend of five cents ($0.05) per share on its class A and class B common stock, payable on September 12, 2017 to stockholders of record at the close of business on September 5, 2017.</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CompX is a leading manufacturer of security products and recreational marine components.</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2019-12-06T08:08:37Z</dcterms:created>
  <dcterms:modified xsi:type="dcterms:W3CDTF">2019-12-06T08:08:37Z</dcterms:modified>
</cp:coreProperties>
</file>