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2" w:space="1" w:color="000000"/>
        </w:pBdr>
        <w:bidi w:val="0"/>
        <w:spacing w:before="0" w:after="240"/>
        <w:ind w:left="0" w:right="0" w:hanging="0"/>
        <w:jc w:val="center"/>
        <w:rPr/>
      </w:pPr>
      <w:bookmarkStart w:id="0" w:name="cix-20240806x8k.htm"/>
      <w:bookmarkStart w:id="1" w:name="kscix20240806x8k"/>
      <w:bookmarkEnd w:id="0"/>
      <w:bookmarkEnd w:id="1"/>
      <w:r>
        <w:rPr/>
        <w:t>​</w:t>
      </w:r>
    </w:p>
    <w:p>
      <w:pPr>
        <w:pStyle w:val="TextBody"/>
        <w:bidi w:val="0"/>
        <w:spacing w:before="0" w:after="240"/>
        <w:ind w:left="0" w:right="0" w:hanging="0"/>
        <w:jc w:val="center"/>
        <w:rPr/>
      </w:pPr>
      <w:r>
        <w:rPr/>
        <w:t>​</w:t>
      </w:r>
    </w:p>
    <w:p>
      <w:pPr>
        <w:pStyle w:val="TextBody"/>
        <w:bidi w:val="0"/>
        <w:spacing w:before="0" w:after="240"/>
        <w:ind w:left="0" w:right="0" w:firstLine="720"/>
        <w:jc w:val="both"/>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2" w:name="_ce63969e_e1ef_4dca_a6d1_08362adfca27"/>
      <w:bookmarkEnd w:id="2"/>
      <w:r>
        <w:rPr>
          <w:rFonts w:ascii="Times New Roman;Times;serif" w:hAnsi="Times New Roman;Times;serif"/>
          <w:b/>
          <w:sz w:val="20"/>
        </w:rPr>
        <w:t>UNITED STATES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120"/>
        <w:ind w:left="0" w:right="0" w:hanging="0"/>
        <w:jc w:val="center"/>
        <w:rPr>
          <w:rFonts w:ascii="Times New Roman;Times;serif" w:hAnsi="Times New Roman;Times;serif"/>
          <w:b/>
          <w:sz w:val="28"/>
        </w:rPr>
      </w:pPr>
      <w:r>
        <w:rPr>
          <w:rFonts w:ascii="Times New Roman;Times;serif" w:hAnsi="Times New Roman;Times;serif"/>
          <w:b/>
          <w:sz w:val="28"/>
        </w:rPr>
        <w:t>FORM 8-K</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CURRENT REPORT</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Pursuant to Section 13 OR 15(d) of The Securities Exchange Act of 1934</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Date of Report (Date of earliest event reported)</w:t>
      </w:r>
    </w:p>
    <w:p>
      <w:pPr>
        <w:pStyle w:val="TextBody"/>
        <w:bidi w:val="0"/>
        <w:spacing w:before="0" w:after="120"/>
        <w:ind w:left="0" w:right="0" w:hanging="0"/>
        <w:jc w:val="center"/>
        <w:rPr>
          <w:rFonts w:ascii="Times New Roman;Times;serif" w:hAnsi="Times New Roman;Times;serif"/>
          <w:b/>
          <w:sz w:val="24"/>
        </w:rPr>
      </w:pPr>
      <w:r>
        <w:rPr>
          <w:rFonts w:ascii="Times New Roman;Times;serif" w:hAnsi="Times New Roman;Times;serif"/>
          <w:b/>
          <w:sz w:val="24"/>
        </w:rPr>
        <w:t>August 6, 2024</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COMPX INTERNATIONAL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3" w:name="Tc_nRgkkufSeUawe0GJijaQkw_5_2"/>
      <w:bookmarkStart w:id="4" w:name="Tc_PaMTO1ad50quXdnpvHMXgg_5_0"/>
      <w:bookmarkStart w:id="5" w:name="Tc_izLlEgEVsEyTwxsG4lA8rw_4_0"/>
      <w:bookmarkStart w:id="6" w:name="Tc_uca3qRyCjECs9yxc-uoZww_1_2"/>
      <w:bookmarkStart w:id="7" w:name="Tc_a7Kb6Xm9FE29r2Od8I17-A_1_1"/>
      <w:bookmarkStart w:id="8" w:name="Tc_Fc6wmOo2EEq1rbJagBG9jw_1_0"/>
      <w:bookmarkStart w:id="9" w:name="_b4f68095_e54f_4e44_947a_47c1ed4f140d"/>
      <w:bookmarkStart w:id="10" w:name="Tc_nRgkkufSeUawe0GJijaQkw_5_2"/>
      <w:bookmarkStart w:id="11" w:name="Tc_PaMTO1ad50quXdnpvHMXgg_5_0"/>
      <w:bookmarkStart w:id="12" w:name="Tc_izLlEgEVsEyTwxsG4lA8rw_4_0"/>
      <w:bookmarkStart w:id="13" w:name="Tc_uca3qRyCjECs9yxc-uoZww_1_2"/>
      <w:bookmarkStart w:id="14" w:name="Tc_a7Kb6Xm9FE29r2Od8I17-A_1_1"/>
      <w:bookmarkStart w:id="15" w:name="Tc_Fc6wmOo2EEq1rbJagBG9jw_1_0"/>
      <w:bookmarkStart w:id="16" w:name="_b4f68095_e54f_4e44_947a_47c1ed4f140d"/>
      <w:bookmarkEnd w:id="10"/>
      <w:bookmarkEnd w:id="11"/>
      <w:bookmarkEnd w:id="12"/>
      <w:bookmarkEnd w:id="13"/>
      <w:bookmarkEnd w:id="14"/>
      <w:bookmarkEnd w:id="15"/>
      <w:bookmarkEnd w:id="16"/>
    </w:p>
    <w:tbl>
      <w:tblPr>
        <w:tblW w:w="6513" w:type="dxa"/>
        <w:jc w:val="left"/>
        <w:tblInd w:w="0" w:type="dxa"/>
        <w:tblLayout w:type="fixed"/>
        <w:tblCellMar>
          <w:top w:w="0" w:type="dxa"/>
          <w:left w:w="0" w:type="dxa"/>
          <w:bottom w:w="0" w:type="dxa"/>
          <w:right w:w="0" w:type="dxa"/>
        </w:tblCellMar>
      </w:tblPr>
      <w:tblGrid>
        <w:gridCol w:w="3676"/>
        <w:gridCol w:w="1186"/>
        <w:gridCol w:w="1651"/>
      </w:tblGrid>
      <w:tr>
        <w:trPr/>
        <w:tc>
          <w:tcPr>
            <w:tcW w:w="3676" w:type="dxa"/>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Delaware</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1-13905</w:t>
            </w:r>
          </w:p>
        </w:tc>
        <w:tc>
          <w:tcPr>
            <w:tcW w:w="1651" w:type="dxa"/>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57-0981653</w:t>
            </w:r>
          </w:p>
        </w:tc>
      </w:tr>
      <w:tr>
        <w:trPr/>
        <w:tc>
          <w:tcPr>
            <w:tcW w:w="36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 incorporation)</w:t>
            </w:r>
          </w:p>
        </w:tc>
        <w:tc>
          <w:tcPr>
            <w:tcW w:w="11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File Number)</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Identification No.)</w:t>
            </w:r>
          </w:p>
        </w:tc>
      </w:tr>
      <w:tr>
        <w:trPr/>
        <w:tc>
          <w:tcPr>
            <w:tcW w:w="3676" w:type="dxa"/>
            <w:tcBorders/>
            <w:vAlign w:val="center"/>
          </w:tcPr>
          <w:p>
            <w:pPr>
              <w:pStyle w:val="TableContents"/>
              <w:bidi w:val="0"/>
              <w:spacing w:before="0" w:after="240"/>
              <w:ind w:left="0" w:right="0" w:hanging="0"/>
              <w:jc w:val="center"/>
              <w:rPr/>
            </w:pPr>
            <w:r>
              <w:rPr/>
              <w:t>​</w:t>
            </w:r>
          </w:p>
        </w:tc>
        <w:tc>
          <w:tcPr>
            <w:tcW w:w="1186" w:type="dxa"/>
            <w:tcBorders/>
            <w:vAlign w:val="center"/>
          </w:tcPr>
          <w:p>
            <w:pPr>
              <w:pStyle w:val="TableContents"/>
              <w:bidi w:val="0"/>
              <w:spacing w:before="0" w:after="240"/>
              <w:ind w:left="0" w:right="0" w:hanging="0"/>
              <w:jc w:val="center"/>
              <w:rPr/>
            </w:pPr>
            <w:r>
              <w:rPr/>
              <w:t>​</w:t>
            </w:r>
          </w:p>
        </w:tc>
        <w:tc>
          <w:tcPr>
            <w:tcW w:w="1651" w:type="dxa"/>
            <w:tcBorders/>
            <w:vAlign w:val="center"/>
          </w:tcPr>
          <w:p>
            <w:pPr>
              <w:pStyle w:val="TableContents"/>
              <w:bidi w:val="0"/>
              <w:spacing w:before="0" w:after="240"/>
              <w:ind w:left="0" w:right="0" w:hanging="0"/>
              <w:jc w:val="center"/>
              <w:rPr/>
            </w:pPr>
            <w:r>
              <w:rPr/>
              <w:t>​</w:t>
            </w:r>
          </w:p>
        </w:tc>
      </w:tr>
      <w:tr>
        <w:trPr/>
        <w:tc>
          <w:tcPr>
            <w:tcW w:w="3676" w:type="dxa"/>
            <w:tcBorders/>
            <w:vAlign w:val="center"/>
          </w:tcPr>
          <w:p>
            <w:pPr>
              <w:pStyle w:val="TableContents"/>
              <w:bidi w:val="0"/>
              <w:spacing w:before="0" w:after="240"/>
              <w:ind w:left="0" w:right="0" w:hanging="0"/>
              <w:jc w:val="center"/>
              <w:rPr/>
            </w:pPr>
            <w:r>
              <w:rPr/>
              <w:t>​</w:t>
            </w:r>
          </w:p>
        </w:tc>
        <w:tc>
          <w:tcPr>
            <w:tcW w:w="1186" w:type="dxa"/>
            <w:tcBorders/>
            <w:vAlign w:val="center"/>
          </w:tcPr>
          <w:p>
            <w:pPr>
              <w:pStyle w:val="TableContents"/>
              <w:bidi w:val="0"/>
              <w:spacing w:before="0" w:after="240"/>
              <w:ind w:left="0" w:right="0" w:hanging="0"/>
              <w:jc w:val="center"/>
              <w:rPr/>
            </w:pPr>
            <w:r>
              <w:rPr/>
              <w:t>​</w:t>
            </w:r>
          </w:p>
        </w:tc>
        <w:tc>
          <w:tcPr>
            <w:tcW w:w="1651" w:type="dxa"/>
            <w:tcBorders/>
            <w:vAlign w:val="center"/>
          </w:tcPr>
          <w:p>
            <w:pPr>
              <w:pStyle w:val="TableContents"/>
              <w:bidi w:val="0"/>
              <w:spacing w:before="0" w:after="240"/>
              <w:ind w:left="0" w:right="0" w:hanging="0"/>
              <w:jc w:val="center"/>
              <w:rPr/>
            </w:pPr>
            <w:r>
              <w:rPr/>
              <w:t>​</w:t>
            </w:r>
          </w:p>
        </w:tc>
      </w:tr>
      <w:tr>
        <w:trPr/>
        <w:tc>
          <w:tcPr>
            <w:tcW w:w="4862" w:type="dxa"/>
            <w:gridSpan w:val="2"/>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5430 LBJ Freeway, Suite 1700, Dallas, Texas</w:t>
            </w:r>
          </w:p>
        </w:tc>
        <w:tc>
          <w:tcPr>
            <w:tcW w:w="1651" w:type="dxa"/>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75240-2620</w:t>
            </w:r>
          </w:p>
        </w:tc>
      </w:tr>
      <w:tr>
        <w:trPr/>
        <w:tc>
          <w:tcPr>
            <w:tcW w:w="486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(972) 448-1400</w:t>
      </w:r>
    </w:p>
    <w:p>
      <w:pPr>
        <w:pStyle w:val="TextBody"/>
        <w:bidi w:val="0"/>
        <w:spacing w:before="0" w:after="240"/>
        <w:ind w:left="0" w:right="0" w:hanging="0"/>
        <w:jc w:val="both"/>
        <w:rPr/>
      </w:pPr>
      <w:r>
        <w:rPr/>
        <w:t>​</w:t>
      </w:r>
    </w:p>
    <w:tbl>
      <w:tblPr>
        <w:tblW w:w="5289" w:type="dxa"/>
        <w:jc w:val="left"/>
        <w:tblInd w:w="0" w:type="dxa"/>
        <w:tblLayout w:type="fixed"/>
        <w:tblCellMar>
          <w:top w:w="0" w:type="dxa"/>
          <w:left w:w="0" w:type="dxa"/>
          <w:bottom w:w="0" w:type="dxa"/>
          <w:right w:w="0" w:type="dxa"/>
        </w:tblCellMar>
      </w:tblPr>
      <w:tblGrid>
        <w:gridCol w:w="124"/>
        <w:gridCol w:w="5011"/>
        <w:gridCol w:w="154"/>
      </w:tblGrid>
      <w:tr>
        <w:trPr/>
        <w:tc>
          <w:tcPr>
            <w:tcW w:w="124" w:type="dxa"/>
            <w:tcBorders/>
            <w:vAlign w:val="center"/>
          </w:tcPr>
          <w:p>
            <w:pPr>
              <w:pStyle w:val="TableContents"/>
              <w:bidi w:val="0"/>
              <w:spacing w:before="0" w:after="240"/>
              <w:ind w:left="0" w:right="0" w:hanging="0"/>
              <w:jc w:val="center"/>
              <w:rPr/>
            </w:pPr>
            <w:r>
              <w:rPr/>
              <w:t>​</w:t>
            </w:r>
          </w:p>
        </w:tc>
        <w:tc>
          <w:tcPr>
            <w:tcW w:w="5011" w:type="dxa"/>
            <w:tcBorders>
              <w:bottom w:val="single" w:sz="2" w:space="0" w:color="000000"/>
            </w:tcBorders>
            <w:tcMar>
              <w:bottom w:w="28" w:type="dxa"/>
            </w:tcMar>
            <w:vAlign w:val="center"/>
          </w:tcPr>
          <w:p>
            <w:pPr>
              <w:pStyle w:val="TableContents"/>
              <w:bidi w:val="0"/>
              <w:spacing w:before="0" w:after="240"/>
              <w:ind w:left="0" w:right="0" w:hanging="0"/>
              <w:jc w:val="center"/>
              <w:rPr/>
            </w:pPr>
            <w:r>
              <w:rPr/>
              <w:t>​</w:t>
            </w:r>
          </w:p>
        </w:tc>
        <w:tc>
          <w:tcPr>
            <w:tcW w:w="154" w:type="dxa"/>
            <w:tcBorders/>
            <w:vAlign w:val="center"/>
          </w:tcPr>
          <w:p>
            <w:pPr>
              <w:pStyle w:val="TableContents"/>
              <w:bidi w:val="0"/>
              <w:spacing w:before="0" w:after="240"/>
              <w:ind w:left="0" w:right="0" w:hanging="0"/>
              <w:jc w:val="center"/>
              <w:rPr/>
            </w:pPr>
            <w:r>
              <w:rPr/>
              <w:t>​</w:t>
            </w:r>
          </w:p>
        </w:tc>
      </w:tr>
      <w:tr>
        <w:trPr/>
        <w:tc>
          <w:tcPr>
            <w:tcW w:w="124" w:type="dxa"/>
            <w:tcBorders/>
            <w:vAlign w:val="center"/>
          </w:tcPr>
          <w:p>
            <w:pPr>
              <w:pStyle w:val="TableContents"/>
              <w:bidi w:val="0"/>
              <w:spacing w:before="0" w:after="240"/>
              <w:ind w:left="0" w:right="0" w:hanging="0"/>
              <w:jc w:val="center"/>
              <w:rPr/>
            </w:pPr>
            <w:r>
              <w:rPr/>
              <w:t>​</w:t>
            </w:r>
          </w:p>
        </w:tc>
        <w:tc>
          <w:tcPr>
            <w:tcW w:w="501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(Former name or former address, if changed since last report.)</w:t>
            </w:r>
          </w:p>
        </w:tc>
        <w:tc>
          <w:tcPr>
            <w:tcW w:w="154" w:type="dxa"/>
            <w:tcBorders/>
            <w:vAlign w:val="center"/>
          </w:tcPr>
          <w:p>
            <w:pPr>
              <w:pStyle w:val="TableContents"/>
              <w:bidi w:val="0"/>
              <w:spacing w:before="0" w:after="24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 (see General Instruction A.2):</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17" w:name="Tc_0XdUN2rCpES-wNd5OZjaQg_6_1"/>
      <w:bookmarkStart w:id="18" w:name="Tc_0yxsIZUFDUizJg4t_tLH6g_4_1"/>
      <w:bookmarkStart w:id="19" w:name="Tc_bODXhSOca0yfccowtYBjcg_2_1"/>
      <w:bookmarkStart w:id="20" w:name="Tc_95kEO2uY3Eam5A-gIy-cfQ_0_1"/>
      <w:bookmarkStart w:id="21" w:name="_03f466d9_c487_4fb9_bacb_2fc3efc44005"/>
      <w:bookmarkStart w:id="22" w:name="Tc_0XdUN2rCpES-wNd5OZjaQg_6_1"/>
      <w:bookmarkStart w:id="23" w:name="Tc_0yxsIZUFDUizJg4t_tLH6g_4_1"/>
      <w:bookmarkStart w:id="24" w:name="Tc_bODXhSOca0yfccowtYBjcg_2_1"/>
      <w:bookmarkStart w:id="25" w:name="Tc_95kEO2uY3Eam5A-gIy-cfQ_0_1"/>
      <w:bookmarkStart w:id="26" w:name="_03f466d9_c487_4fb9_bacb_2fc3efc44005"/>
      <w:bookmarkEnd w:id="22"/>
      <w:bookmarkEnd w:id="23"/>
      <w:bookmarkEnd w:id="24"/>
      <w:bookmarkEnd w:id="25"/>
      <w:bookmarkEnd w:id="26"/>
    </w:p>
    <w:tbl>
      <w:tblPr>
        <w:tblW w:w="9512" w:type="dxa"/>
        <w:jc w:val="left"/>
        <w:tblInd w:w="0" w:type="dxa"/>
        <w:tblLayout w:type="fixed"/>
        <w:tblCellMar>
          <w:top w:w="0" w:type="dxa"/>
          <w:left w:w="0" w:type="dxa"/>
          <w:bottom w:w="0" w:type="dxa"/>
          <w:right w:w="0" w:type="dxa"/>
        </w:tblCellMar>
      </w:tblPr>
      <w:tblGrid>
        <w:gridCol w:w="331"/>
        <w:gridCol w:w="9181"/>
      </w:tblGrid>
      <w:tr>
        <w:trPr/>
        <w:tc>
          <w:tcPr>
            <w:tcW w:w="331" w:type="dxa"/>
            <w:tcBorders/>
            <w:vAlign w:val="center"/>
          </w:tcPr>
          <w:p>
            <w:pPr>
              <w:pStyle w:val="TableContents"/>
              <w:bidi w:val="0"/>
              <w:spacing w:before="0" w:after="0"/>
              <w:ind w:left="0" w:right="0" w:hanging="0"/>
              <w:jc w:val="center"/>
              <w:rPr/>
            </w:pPr>
            <w:r>
              <w:rPr/>
              <w:t>☐</w:t>
            </w:r>
          </w:p>
        </w:tc>
        <w:tc>
          <w:tcPr>
            <w:tcW w:w="918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331" w:type="dxa"/>
            <w:tcBorders/>
            <w:vAlign w:val="center"/>
          </w:tcPr>
          <w:p>
            <w:pPr>
              <w:pStyle w:val="TableContents"/>
              <w:bidi w:val="0"/>
              <w:spacing w:before="0" w:after="240"/>
              <w:ind w:left="0" w:right="0" w:hanging="0"/>
              <w:jc w:val="center"/>
              <w:rPr/>
            </w:pPr>
            <w:r>
              <w:rPr/>
              <w:t>​</w:t>
            </w:r>
          </w:p>
        </w:tc>
        <w:tc>
          <w:tcPr>
            <w:tcW w:w="9181" w:type="dxa"/>
            <w:tcBorders/>
            <w:vAlign w:val="center"/>
          </w:tcPr>
          <w:p>
            <w:pPr>
              <w:pStyle w:val="TableContents"/>
              <w:bidi w:val="0"/>
              <w:spacing w:before="0" w:after="240"/>
              <w:ind w:left="0" w:right="0" w:hanging="0"/>
              <w:jc w:val="both"/>
              <w:rPr/>
            </w:pPr>
            <w:r>
              <w:rPr/>
              <w:t>​</w:t>
            </w:r>
          </w:p>
        </w:tc>
      </w:tr>
      <w:tr>
        <w:trPr/>
        <w:tc>
          <w:tcPr>
            <w:tcW w:w="331" w:type="dxa"/>
            <w:tcBorders/>
            <w:vAlign w:val="center"/>
          </w:tcPr>
          <w:p>
            <w:pPr>
              <w:pStyle w:val="TableContents"/>
              <w:bidi w:val="0"/>
              <w:spacing w:before="0" w:after="0"/>
              <w:ind w:left="0" w:right="0" w:hanging="0"/>
              <w:jc w:val="center"/>
              <w:rPr/>
            </w:pPr>
            <w:r>
              <w:rPr/>
              <w:t>☐</w:t>
            </w:r>
          </w:p>
        </w:tc>
        <w:tc>
          <w:tcPr>
            <w:tcW w:w="918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331" w:type="dxa"/>
            <w:tcBorders/>
            <w:vAlign w:val="center"/>
          </w:tcPr>
          <w:p>
            <w:pPr>
              <w:pStyle w:val="TableContents"/>
              <w:bidi w:val="0"/>
              <w:spacing w:before="0" w:after="240"/>
              <w:ind w:left="0" w:right="0" w:hanging="0"/>
              <w:jc w:val="center"/>
              <w:rPr/>
            </w:pPr>
            <w:r>
              <w:rPr/>
              <w:t>​</w:t>
            </w:r>
          </w:p>
        </w:tc>
        <w:tc>
          <w:tcPr>
            <w:tcW w:w="9181" w:type="dxa"/>
            <w:tcBorders/>
            <w:vAlign w:val="center"/>
          </w:tcPr>
          <w:p>
            <w:pPr>
              <w:pStyle w:val="TableContents"/>
              <w:bidi w:val="0"/>
              <w:spacing w:before="0" w:after="240"/>
              <w:ind w:left="0" w:right="0" w:hanging="0"/>
              <w:jc w:val="both"/>
              <w:rPr/>
            </w:pPr>
            <w:r>
              <w:rPr/>
              <w:t>​</w:t>
            </w:r>
          </w:p>
        </w:tc>
      </w:tr>
      <w:tr>
        <w:trPr/>
        <w:tc>
          <w:tcPr>
            <w:tcW w:w="331" w:type="dxa"/>
            <w:tcBorders/>
            <w:vAlign w:val="center"/>
          </w:tcPr>
          <w:p>
            <w:pPr>
              <w:pStyle w:val="TableContents"/>
              <w:bidi w:val="0"/>
              <w:spacing w:before="0" w:after="0"/>
              <w:ind w:left="0" w:right="0" w:hanging="0"/>
              <w:jc w:val="center"/>
              <w:rPr/>
            </w:pPr>
            <w:r>
              <w:rPr/>
              <w:t>☐</w:t>
            </w:r>
          </w:p>
        </w:tc>
        <w:tc>
          <w:tcPr>
            <w:tcW w:w="918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331" w:type="dxa"/>
            <w:tcBorders/>
            <w:vAlign w:val="center"/>
          </w:tcPr>
          <w:p>
            <w:pPr>
              <w:pStyle w:val="TableContents"/>
              <w:bidi w:val="0"/>
              <w:spacing w:before="0" w:after="240"/>
              <w:ind w:left="0" w:right="0" w:hanging="0"/>
              <w:jc w:val="center"/>
              <w:rPr/>
            </w:pPr>
            <w:r>
              <w:rPr/>
              <w:t>​</w:t>
            </w:r>
          </w:p>
        </w:tc>
        <w:tc>
          <w:tcPr>
            <w:tcW w:w="9181" w:type="dxa"/>
            <w:tcBorders/>
            <w:vAlign w:val="center"/>
          </w:tcPr>
          <w:p>
            <w:pPr>
              <w:pStyle w:val="TableContents"/>
              <w:bidi w:val="0"/>
              <w:spacing w:before="0" w:after="240"/>
              <w:ind w:left="0" w:right="0" w:hanging="0"/>
              <w:jc w:val="both"/>
              <w:rPr/>
            </w:pPr>
            <w:r>
              <w:rPr/>
              <w:t>​</w:t>
            </w:r>
          </w:p>
        </w:tc>
      </w:tr>
      <w:tr>
        <w:trPr/>
        <w:tc>
          <w:tcPr>
            <w:tcW w:w="331" w:type="dxa"/>
            <w:tcBorders/>
            <w:vAlign w:val="center"/>
          </w:tcPr>
          <w:p>
            <w:pPr>
              <w:pStyle w:val="TableContents"/>
              <w:bidi w:val="0"/>
              <w:spacing w:before="0" w:after="0"/>
              <w:ind w:left="0" w:right="0" w:hanging="0"/>
              <w:jc w:val="center"/>
              <w:rPr/>
            </w:pPr>
            <w:r>
              <w:rPr/>
              <w:t>☐</w:t>
            </w:r>
          </w:p>
        </w:tc>
        <w:tc>
          <w:tcPr>
            <w:tcW w:w="918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27" w:name="Tc_Vlw986r_iUiPZ4wAwuB6Bw_1_0"/>
      <w:bookmarkStart w:id="28" w:name="Tc_S4brkIAn0EmLA2Iy8mxunw_0_4"/>
      <w:bookmarkStart w:id="29" w:name="Tc_ulo2R1hJXEKPc2WH0m_C2g_0_2"/>
      <w:bookmarkStart w:id="30" w:name="Tc_15X-qLFENkmfJR5W8wZ_Eg_0_0"/>
      <w:bookmarkStart w:id="31" w:name="_84013d71_9fc3_4d86_8558_81d89f73a4dd"/>
      <w:bookmarkStart w:id="32" w:name="Tc_Vlw986r_iUiPZ4wAwuB6Bw_1_0"/>
      <w:bookmarkStart w:id="33" w:name="Tc_S4brkIAn0EmLA2Iy8mxunw_0_4"/>
      <w:bookmarkStart w:id="34" w:name="Tc_ulo2R1hJXEKPc2WH0m_C2g_0_2"/>
      <w:bookmarkStart w:id="35" w:name="Tc_15X-qLFENkmfJR5W8wZ_Eg_0_0"/>
      <w:bookmarkStart w:id="36" w:name="_84013d71_9fc3_4d86_8558_81d89f73a4dd"/>
      <w:bookmarkEnd w:id="32"/>
      <w:bookmarkEnd w:id="33"/>
      <w:bookmarkEnd w:id="34"/>
      <w:bookmarkEnd w:id="35"/>
      <w:bookmarkEnd w:id="36"/>
    </w:p>
    <w:tbl>
      <w:tblPr>
        <w:tblW w:w="6715" w:type="dxa"/>
        <w:jc w:val="left"/>
        <w:tblInd w:w="0" w:type="dxa"/>
        <w:tblLayout w:type="fixed"/>
        <w:tblCellMar>
          <w:top w:w="0" w:type="dxa"/>
          <w:left w:w="0" w:type="dxa"/>
          <w:bottom w:w="28" w:type="dxa"/>
          <w:right w:w="0" w:type="dxa"/>
        </w:tblCellMar>
      </w:tblPr>
      <w:tblGrid>
        <w:gridCol w:w="1921"/>
        <w:gridCol w:w="326"/>
        <w:gridCol w:w="826"/>
        <w:gridCol w:w="326"/>
        <w:gridCol w:w="3316"/>
      </w:tblGrid>
      <w:tr>
        <w:trPr/>
        <w:tc>
          <w:tcPr>
            <w:tcW w:w="192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326" w:type="dxa"/>
            <w:tcBorders>
              <w:bottom w:val="single" w:sz="2" w:space="0" w:color="000000"/>
            </w:tcBorders>
            <w:vAlign w:val="center"/>
          </w:tcPr>
          <w:p>
            <w:pPr>
              <w:pStyle w:val="TableContents"/>
              <w:bidi w:val="0"/>
              <w:spacing w:before="0" w:after="0"/>
              <w:ind w:left="0" w:right="0" w:hanging="0"/>
              <w:jc w:val="center"/>
              <w:rPr/>
            </w:pPr>
            <w:r>
              <w:rPr/>
              <w:t>    </w:t>
            </w:r>
          </w:p>
        </w:tc>
        <w:tc>
          <w:tcPr>
            <w:tcW w:w="82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Symbol(s)</w:t>
            </w:r>
          </w:p>
        </w:tc>
        <w:tc>
          <w:tcPr>
            <w:tcW w:w="326" w:type="dxa"/>
            <w:tcBorders>
              <w:bottom w:val="single" w:sz="2" w:space="0" w:color="000000"/>
            </w:tcBorders>
            <w:vAlign w:val="center"/>
          </w:tcPr>
          <w:p>
            <w:pPr>
              <w:pStyle w:val="TableContents"/>
              <w:bidi w:val="0"/>
              <w:spacing w:before="0" w:after="0"/>
              <w:ind w:left="0" w:right="0" w:hanging="0"/>
              <w:jc w:val="center"/>
              <w:rPr/>
            </w:pPr>
            <w:r>
              <w:rPr/>
              <w:t>    </w:t>
            </w:r>
          </w:p>
        </w:tc>
        <w:tc>
          <w:tcPr>
            <w:tcW w:w="331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c>
      </w:tr>
      <w:tr>
        <w:trPr/>
        <w:tc>
          <w:tcPr>
            <w:tcW w:w="1921"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Class A common stock</w:t>
            </w:r>
          </w:p>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($.01 par value per share)</w:t>
            </w:r>
          </w:p>
        </w:tc>
        <w:tc>
          <w:tcPr>
            <w:tcW w:w="326" w:type="dxa"/>
            <w:tcBorders/>
            <w:tcMar>
              <w:bottom w:w="0" w:type="dxa"/>
            </w:tcMar>
            <w:vAlign w:val="center"/>
          </w:tcPr>
          <w:p>
            <w:pPr>
              <w:pStyle w:val="TableContents"/>
              <w:bidi w:val="0"/>
              <w:spacing w:before="0" w:after="240"/>
              <w:ind w:left="0" w:right="0" w:hanging="0"/>
              <w:jc w:val="center"/>
              <w:rPr/>
            </w:pPr>
            <w:r>
              <w:rPr/>
              <w:t>​</w:t>
            </w:r>
          </w:p>
        </w:tc>
        <w:tc>
          <w:tcPr>
            <w:tcW w:w="82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CIX</w:t>
            </w:r>
          </w:p>
        </w:tc>
        <w:tc>
          <w:tcPr>
            <w:tcW w:w="326" w:type="dxa"/>
            <w:tcBorders/>
            <w:tcMar>
              <w:bottom w:w="0" w:type="dxa"/>
            </w:tcMar>
            <w:vAlign w:val="center"/>
          </w:tcPr>
          <w:p>
            <w:pPr>
              <w:pStyle w:val="TableContents"/>
              <w:bidi w:val="0"/>
              <w:spacing w:before="0" w:after="240"/>
              <w:ind w:left="0" w:right="0" w:hanging="0"/>
              <w:jc w:val="center"/>
              <w:rPr/>
            </w:pPr>
            <w:r>
              <w:rPr/>
              <w:t>​</w:t>
            </w:r>
          </w:p>
        </w:tc>
        <w:tc>
          <w:tcPr>
            <w:tcW w:w="331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NYSE American</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top w:val="single" w:sz="2" w:space="1" w:color="000000"/>
          <w:bottom w:val="single" w:sz="24" w:space="1" w:color="000000"/>
        </w:pBdr>
        <w:bidi w:val="0"/>
        <w:spacing w:before="0" w:after="240"/>
        <w:ind w:left="0" w:right="0" w:hanging="0"/>
        <w:jc w:val="left"/>
        <w:rPr/>
      </w:pPr>
      <w:r>
        <w:rPr/>
        <w:t>​</w:t>
      </w:r>
    </w:p>
    <w:p>
      <w:pPr>
        <w:pStyle w:val="TextBody"/>
        <w:pBdr/>
        <w:bidi w:val="0"/>
        <w:spacing w:before="0" w:after="0"/>
        <w:ind w:left="0" w:right="0" w:hanging="1440"/>
        <w:jc w:val="left"/>
        <w:rPr/>
      </w:pPr>
      <w:r>
        <w:rPr/>
        <w:t>​</w:t>
      </w:r>
    </w:p>
    <w:p>
      <w:pPr>
        <w:pStyle w:val="TextBody"/>
        <w:pBdr/>
        <w:bidi w:val="0"/>
        <w:spacing w:before="0" w:after="0"/>
        <w:ind w:left="0" w:right="0" w:hanging="1440"/>
        <w:jc w:val="left"/>
        <w:rPr/>
      </w:pPr>
      <w:r>
        <w:rPr/>
        <w:t>​</w:t>
      </w:r>
    </w:p>
    <w:p>
      <w:pPr>
        <w:pStyle w:val="Normal"/>
        <w:bidi w:val="0"/>
        <w:spacing w:before="0" w:after="0"/>
        <w:ind w:left="600" w:right="600" w:hanging="0"/>
        <w:jc w:val="left"/>
        <w:rPr>
          <w:sz w:val="4"/>
          <w:szCs w:val="4"/>
        </w:rPr>
      </w:pPr>
      <w:r>
        <w:rPr>
          <w:sz w:val="4"/>
          <w:szCs w:val="4"/>
        </w:rPr>
      </w:r>
      <w:bookmarkStart w:id="37" w:name="_830bc902_fb52_47a6_adcb_99c6864fb062"/>
      <w:bookmarkStart w:id="38" w:name="_830bc902_fb52_47a6_adcb_99c6864fb062"/>
      <w:bookmarkEnd w:id="38"/>
    </w:p>
    <w:tbl>
      <w:tblPr>
        <w:tblW w:w="4889" w:type="dxa"/>
        <w:jc w:val="left"/>
        <w:tblInd w:w="0" w:type="dxa"/>
        <w:tblLayout w:type="fixed"/>
        <w:tblCellMar>
          <w:top w:w="0" w:type="dxa"/>
          <w:left w:w="0" w:type="dxa"/>
          <w:bottom w:w="0" w:type="dxa"/>
          <w:right w:w="0" w:type="dxa"/>
        </w:tblCellMar>
      </w:tblPr>
      <w:tblGrid>
        <w:gridCol w:w="898"/>
        <w:gridCol w:w="3991"/>
      </w:tblGrid>
      <w:tr>
        <w:trPr/>
        <w:tc>
          <w:tcPr>
            <w:tcW w:w="898" w:type="dxa"/>
            <w:tcBorders/>
            <w:vAlign w:val="center"/>
          </w:tcPr>
          <w:p>
            <w:pPr>
              <w:pStyle w:val="TableContents"/>
              <w:bidi w:val="0"/>
              <w:spacing w:before="0" w:after="0"/>
              <w:jc w:val="left"/>
              <w:rPr>
                <w:rFonts w:ascii="Times New Roman;Times;serif" w:hAnsi="Times New Roman;Times;serif"/>
                <w:b/>
                <w:spacing w:val="-3"/>
                <w:sz w:val="20"/>
              </w:rPr>
            </w:pPr>
            <w:r>
              <w:rPr>
                <w:rFonts w:ascii="Times New Roman;Times;serif" w:hAnsi="Times New Roman;Times;serif"/>
                <w:b/>
                <w:spacing w:val="-3"/>
                <w:sz w:val="20"/>
              </w:rPr>
              <w:t>Item 2.02</w:t>
            </w:r>
          </w:p>
        </w:tc>
        <w:tc>
          <w:tcPr>
            <w:tcW w:w="3991" w:type="dxa"/>
            <w:tcBorders/>
            <w:vAlign w:val="center"/>
          </w:tcPr>
          <w:p>
            <w:pPr>
              <w:pStyle w:val="TableContents"/>
              <w:bidi w:val="0"/>
              <w:spacing w:before="0" w:after="0"/>
              <w:jc w:val="left"/>
              <w:rPr>
                <w:rFonts w:ascii="Times New Roman;Times;serif" w:hAnsi="Times New Roman;Times;serif"/>
                <w:b/>
                <w:spacing w:val="-3"/>
                <w:sz w:val="20"/>
              </w:rPr>
            </w:pPr>
            <w:r>
              <w:rPr>
                <w:rFonts w:ascii="Times New Roman;Times;serif" w:hAnsi="Times New Roman;Times;serif"/>
                <w:b/>
                <w:spacing w:val="-3"/>
                <w:sz w:val="20"/>
              </w:rPr>
              <w:t>Results of Operations and Financial Condition.</w:t>
            </w:r>
          </w:p>
        </w:tc>
      </w:tr>
    </w:tbl>
    <w:p>
      <w:pPr>
        <w:pStyle w:val="TextBody"/>
        <w:bidi w:val="0"/>
        <w:spacing w:before="0" w:after="0"/>
        <w:ind w:left="0" w:right="0" w:hanging="0"/>
        <w:jc w:val="left"/>
        <w:rPr>
          <w:spacing w:val="-3"/>
        </w:rPr>
      </w:pPr>
      <w:r>
        <w:rPr>
          <w:spacing w:val="-3"/>
        </w:rPr>
        <w:t>​</w:t>
      </w:r>
    </w:p>
    <w:p>
      <w:pPr>
        <w:pStyle w:val="TextBody"/>
        <w:bidi w:val="0"/>
        <w:spacing w:before="0" w:after="0"/>
        <w:ind w:left="0" w:right="0" w:firstLine="720"/>
        <w:jc w:val="left"/>
        <w:rPr>
          <w:rFonts w:ascii="Times New Roman;Times;serif" w:hAnsi="Times New Roman;Times;serif"/>
          <w:spacing w:val="-3"/>
          <w:sz w:val="20"/>
        </w:rPr>
      </w:pPr>
      <w:r>
        <w:rPr>
          <w:rFonts w:ascii="Times New Roman;Times;serif" w:hAnsi="Times New Roman;Times;serif"/>
          <w:spacing w:val="-3"/>
          <w:sz w:val="20"/>
        </w:rPr>
        <w:t>The registrant hereby furnishes the information set forth in its press release entitled “CompX Reports Second Quarter 2024 Results” that the registrant issued on August 6, 2024, a copy of which is attached hereto as Exhibit 99.1 and incorporated herein by reference.</w:t>
      </w:r>
    </w:p>
    <w:p>
      <w:pPr>
        <w:pStyle w:val="TextBody"/>
        <w:bidi w:val="0"/>
        <w:spacing w:before="0" w:after="0"/>
        <w:ind w:left="0" w:right="0" w:firstLine="720"/>
        <w:jc w:val="left"/>
        <w:rPr>
          <w:spacing w:val="-3"/>
        </w:rPr>
      </w:pPr>
      <w:r>
        <w:rPr>
          <w:spacing w:val="-3"/>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press release the registrant furnishes as Exhibit 99.1 to this current report is not </w:t>
      </w:r>
      <w:r>
        <w:rPr>
          <w:rFonts w:ascii="Times New Roman;Times;serif" w:hAnsi="Times New Roman;Times;serif"/>
          <w:spacing w:val="-3"/>
          <w:sz w:val="20"/>
        </w:rPr>
        <w:t>deemed “filed” for purposes of section 18 of the Securities Exchange Act of 1934, as amended, or otherwise subject to the liabilities of that section. Registration statements or other documents filed with the U.S. Securities and Exchange Commission shall not incorporate this information by reference, except as otherwise expressly stated in such filing.</w:t>
      </w:r>
    </w:p>
    <w:p>
      <w:pPr>
        <w:pStyle w:val="TextBody"/>
        <w:bidi w:val="0"/>
        <w:spacing w:before="0" w:after="0"/>
        <w:ind w:left="0" w:right="0" w:firstLine="720"/>
        <w:jc w:val="both"/>
        <w:rPr/>
      </w:pPr>
      <w:r>
        <w:rPr/>
        <w:t>​</w:t>
      </w:r>
    </w:p>
    <w:p>
      <w:pPr>
        <w:pStyle w:val="TextBody"/>
        <w:pBdr/>
        <w:bidi w:val="0"/>
        <w:spacing w:before="0" w:after="0"/>
        <w:ind w:left="0" w:right="0" w:hanging="1440"/>
        <w:jc w:val="left"/>
        <w:rPr/>
      </w:pPr>
      <w:r>
        <w:rPr/>
        <w:t>​</w:t>
      </w:r>
    </w:p>
    <w:p>
      <w:pPr>
        <w:pStyle w:val="Normal"/>
        <w:bidi w:val="0"/>
        <w:spacing w:before="0" w:after="0"/>
        <w:jc w:val="left"/>
        <w:rPr>
          <w:sz w:val="4"/>
          <w:szCs w:val="4"/>
        </w:rPr>
      </w:pPr>
      <w:r>
        <w:rPr>
          <w:sz w:val="4"/>
          <w:szCs w:val="4"/>
        </w:rPr>
      </w:r>
      <w:bookmarkStart w:id="39" w:name="_ea577614_4e17_48e8_96e7_b3360c355c4c"/>
      <w:bookmarkStart w:id="40" w:name="_ea577614_4e17_48e8_96e7_b3360c355c4c"/>
      <w:bookmarkEnd w:id="40"/>
    </w:p>
    <w:tbl>
      <w:tblPr>
        <w:tblW w:w="3194" w:type="dxa"/>
        <w:jc w:val="left"/>
        <w:tblInd w:w="0" w:type="dxa"/>
        <w:tblLayout w:type="fixed"/>
        <w:tblCellMar>
          <w:top w:w="0" w:type="dxa"/>
          <w:left w:w="0" w:type="dxa"/>
          <w:bottom w:w="0" w:type="dxa"/>
          <w:right w:w="0" w:type="dxa"/>
        </w:tblCellMar>
      </w:tblPr>
      <w:tblGrid>
        <w:gridCol w:w="898"/>
        <w:gridCol w:w="2296"/>
      </w:tblGrid>
      <w:tr>
        <w:trPr/>
        <w:tc>
          <w:tcPr>
            <w:tcW w:w="898" w:type="dxa"/>
            <w:tcBorders/>
            <w:vAlign w:val="center"/>
          </w:tcPr>
          <w:p>
            <w:pPr>
              <w:pStyle w:val="TableContents"/>
              <w:bidi w:val="0"/>
              <w:spacing w:before="0" w:after="0"/>
              <w:jc w:val="left"/>
              <w:rPr>
                <w:rFonts w:ascii="Times New Roman;Times;serif" w:hAnsi="Times New Roman;Times;serif"/>
                <w:b/>
                <w:spacing w:val="-3"/>
                <w:sz w:val="20"/>
              </w:rPr>
            </w:pPr>
            <w:r>
              <w:rPr>
                <w:rFonts w:ascii="Times New Roman;Times;serif" w:hAnsi="Times New Roman;Times;serif"/>
                <w:b/>
                <w:spacing w:val="-3"/>
                <w:sz w:val="20"/>
              </w:rPr>
              <w:t>Item 7.01</w:t>
            </w:r>
          </w:p>
        </w:tc>
        <w:tc>
          <w:tcPr>
            <w:tcW w:w="2296" w:type="dxa"/>
            <w:tcBorders/>
            <w:vAlign w:val="center"/>
          </w:tcPr>
          <w:p>
            <w:pPr>
              <w:pStyle w:val="TableContents"/>
              <w:bidi w:val="0"/>
              <w:spacing w:before="0" w:after="0"/>
              <w:jc w:val="left"/>
              <w:rPr>
                <w:rFonts w:ascii="Times New Roman;Times;serif" w:hAnsi="Times New Roman;Times;serif"/>
                <w:b/>
                <w:spacing w:val="-3"/>
                <w:sz w:val="20"/>
              </w:rPr>
            </w:pPr>
            <w:r>
              <w:rPr>
                <w:rFonts w:ascii="Times New Roman;Times;serif" w:hAnsi="Times New Roman;Times;serif"/>
                <w:b/>
                <w:spacing w:val="-3"/>
                <w:sz w:val="20"/>
              </w:rPr>
              <w:t>Regulation FD Disclosure.</w:t>
            </w:r>
          </w:p>
        </w:tc>
      </w:tr>
    </w:tbl>
    <w:p>
      <w:pPr>
        <w:pStyle w:val="TextBody"/>
        <w:bidi w:val="0"/>
        <w:spacing w:before="0" w:after="0"/>
        <w:ind w:left="0" w:right="0" w:hanging="0"/>
        <w:jc w:val="left"/>
        <w:rPr>
          <w:spacing w:val="-3"/>
        </w:rPr>
      </w:pPr>
      <w:r>
        <w:rPr>
          <w:spacing w:val="-3"/>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pacing w:val="-3"/>
          <w:sz w:val="20"/>
        </w:rPr>
        <w:t xml:space="preserve">The registrant hereby furnishes the information set forth in its press release entitled “CompX </w:t>
      </w:r>
      <w:r>
        <w:rPr>
          <w:rFonts w:ascii="Times New Roman;Times;serif" w:hAnsi="Times New Roman;Times;serif"/>
          <w:sz w:val="20"/>
        </w:rPr>
        <w:t>Announces a Special Dividend of $2.00 Per Share Payable in August 2024, and Declares Regular Quarterly Dividend</w:t>
      </w:r>
      <w:r>
        <w:rPr>
          <w:rFonts w:ascii="Times New Roman;Times;serif" w:hAnsi="Times New Roman;Times;serif"/>
          <w:spacing w:val="-3"/>
          <w:sz w:val="20"/>
        </w:rPr>
        <w:t xml:space="preserve">” that the registrant also </w:t>
      </w:r>
      <w:r>
        <w:rPr>
          <w:rFonts w:ascii="Times New Roman;Times;serif" w:hAnsi="Times New Roman;Times;serif"/>
          <w:sz w:val="20"/>
        </w:rPr>
        <w:t>issued on August 6, 2024, a copy of which is attached hereto as Exhibit 99.2 and incorporated herein by reference.</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press release the registrant furnishes as Exhibit 99.2 to this current report is not deemed “filed” for purposes of section 18 of the Securities Exchange Act of 1934, as amended, or otherwise subject to the liabilities of that section.  Registration statements or other documents filed with the </w:t>
      </w:r>
      <w:r>
        <w:rPr>
          <w:rFonts w:ascii="Times New Roman;Times;serif" w:hAnsi="Times New Roman;Times;serif"/>
          <w:spacing w:val="-3"/>
          <w:sz w:val="20"/>
        </w:rPr>
        <w:t xml:space="preserve">U.S. </w:t>
      </w:r>
      <w:r>
        <w:rPr>
          <w:rFonts w:ascii="Times New Roman;Times;serif" w:hAnsi="Times New Roman;Times;serif"/>
          <w:sz w:val="20"/>
        </w:rPr>
        <w:t>Securities and Exchange Commission shall not incorporate this information by reference, except as otherwise expressly stated in such filing.</w:t>
      </w:r>
    </w:p>
    <w:p>
      <w:pPr>
        <w:pStyle w:val="TextBody"/>
        <w:bidi w:val="0"/>
        <w:spacing w:before="0" w:after="240"/>
        <w:ind w:left="0" w:right="0" w:firstLine="720"/>
        <w:jc w:val="both"/>
        <w:rPr/>
      </w:pPr>
      <w:r>
        <w:rPr/>
        <w:t>​</w:t>
      </w:r>
    </w:p>
    <w:p>
      <w:pPr>
        <w:pStyle w:val="TextBody"/>
        <w:pBdr/>
        <w:bidi w:val="0"/>
        <w:spacing w:before="0" w:after="0"/>
        <w:ind w:left="0" w:right="0" w:hanging="1440"/>
        <w:jc w:val="left"/>
        <w:rPr/>
      </w:pPr>
      <w:r>
        <w:rPr/>
        <w:t>​</w:t>
      </w:r>
    </w:p>
    <w:p>
      <w:pPr>
        <w:pStyle w:val="Normal"/>
        <w:bidi w:val="0"/>
        <w:spacing w:before="0" w:after="0"/>
        <w:jc w:val="left"/>
        <w:rPr>
          <w:sz w:val="4"/>
          <w:szCs w:val="4"/>
        </w:rPr>
      </w:pPr>
      <w:r>
        <w:rPr>
          <w:sz w:val="4"/>
          <w:szCs w:val="4"/>
        </w:rPr>
      </w:r>
      <w:bookmarkStart w:id="41" w:name="_0fe5b5ff_0c67_48bb_9948_9d115e0142a2"/>
      <w:bookmarkStart w:id="42" w:name="_0fe5b5ff_0c67_48bb_9948_9d115e0142a2"/>
      <w:bookmarkEnd w:id="42"/>
    </w:p>
    <w:tbl>
      <w:tblPr>
        <w:tblW w:w="3893" w:type="dxa"/>
        <w:jc w:val="left"/>
        <w:tblInd w:w="0" w:type="dxa"/>
        <w:tblLayout w:type="fixed"/>
        <w:tblCellMar>
          <w:top w:w="0" w:type="dxa"/>
          <w:left w:w="0" w:type="dxa"/>
          <w:bottom w:w="0" w:type="dxa"/>
          <w:right w:w="0" w:type="dxa"/>
        </w:tblCellMar>
      </w:tblPr>
      <w:tblGrid>
        <w:gridCol w:w="898"/>
        <w:gridCol w:w="2995"/>
      </w:tblGrid>
      <w:tr>
        <w:trPr/>
        <w:tc>
          <w:tcPr>
            <w:tcW w:w="898" w:type="dxa"/>
            <w:tcBorders/>
            <w:vAlign w:val="center"/>
          </w:tcPr>
          <w:p>
            <w:pPr>
              <w:pStyle w:val="TableContents"/>
              <w:bidi w:val="0"/>
              <w:spacing w:before="0" w:after="0"/>
              <w:jc w:val="left"/>
              <w:rPr>
                <w:rFonts w:ascii="Times New Roman;Times;serif" w:hAnsi="Times New Roman;Times;serif"/>
                <w:b/>
                <w:spacing w:val="-3"/>
                <w:sz w:val="20"/>
              </w:rPr>
            </w:pPr>
            <w:r>
              <w:rPr>
                <w:rFonts w:ascii="Times New Roman;Times;serif" w:hAnsi="Times New Roman;Times;serif"/>
                <w:b/>
                <w:spacing w:val="-3"/>
                <w:sz w:val="20"/>
              </w:rPr>
              <w:t>Item 9.01</w:t>
            </w:r>
          </w:p>
        </w:tc>
        <w:tc>
          <w:tcPr>
            <w:tcW w:w="2995" w:type="dxa"/>
            <w:tcBorders/>
            <w:vAlign w:val="center"/>
          </w:tcPr>
          <w:p>
            <w:pPr>
              <w:pStyle w:val="TableContents"/>
              <w:bidi w:val="0"/>
              <w:spacing w:before="0" w:after="0"/>
              <w:jc w:val="left"/>
              <w:rPr>
                <w:rFonts w:ascii="Times New Roman;Times;serif" w:hAnsi="Times New Roman;Times;serif"/>
                <w:b/>
                <w:spacing w:val="-3"/>
                <w:sz w:val="20"/>
              </w:rPr>
            </w:pPr>
            <w:r>
              <w:rPr>
                <w:rFonts w:ascii="Times New Roman;Times;serif" w:hAnsi="Times New Roman;Times;serif"/>
                <w:b/>
                <w:spacing w:val="-3"/>
                <w:sz w:val="20"/>
              </w:rPr>
              <w:t>Financial Statements and Exhibits.</w:t>
            </w:r>
          </w:p>
        </w:tc>
      </w:tr>
    </w:tbl>
    <w:p>
      <w:pPr>
        <w:pStyle w:val="TextBody"/>
        <w:pBdr/>
        <w:bidi w:val="0"/>
        <w:spacing w:before="0" w:after="0"/>
        <w:ind w:left="0" w:right="0" w:hanging="1620"/>
        <w:jc w:val="left"/>
        <w:rPr>
          <w:spacing w:val="-3"/>
        </w:rPr>
      </w:pPr>
      <w:r>
        <w:rPr>
          <w:spacing w:val="-3"/>
        </w:rPr>
        <w:t>​</w:t>
      </w:r>
    </w:p>
    <w:tbl>
      <w:tblPr>
        <w:tblW w:w="10205" w:type="dxa"/>
        <w:jc w:val="left"/>
        <w:tblInd w:w="0" w:type="dxa"/>
        <w:tblLayout w:type="fixed"/>
        <w:tblCellMar>
          <w:top w:w="0" w:type="dxa"/>
          <w:left w:w="0" w:type="dxa"/>
          <w:bottom w:w="0" w:type="dxa"/>
          <w:right w:w="0" w:type="dxa"/>
        </w:tblCellMar>
      </w:tblPr>
      <w:tblGrid>
        <w:gridCol w:w="314"/>
        <w:gridCol w:w="793"/>
        <w:gridCol w:w="109"/>
        <w:gridCol w:w="8989"/>
      </w:tblGrid>
      <w:tr>
        <w:trPr/>
        <w:tc>
          <w:tcPr>
            <w:tcW w:w="3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793"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pPr>
            <w:r>
              <w:rPr/>
              <w:t>​</w:t>
            </w:r>
          </w:p>
        </w:tc>
        <w:tc>
          <w:tcPr>
            <w:tcW w:w="8989" w:type="dxa"/>
            <w:tcBorders/>
            <w:vAlign w:val="center"/>
          </w:tcPr>
          <w:p>
            <w:pPr>
              <w:pStyle w:val="TableContents"/>
              <w:bidi w:val="0"/>
              <w:spacing w:before="0" w:after="0"/>
              <w:ind w:left="0" w:right="0" w:hanging="0"/>
              <w:jc w:val="left"/>
              <w:rPr/>
            </w:pPr>
            <w:r>
              <w:rPr/>
              <w:t>​</w:t>
            </w:r>
          </w:p>
        </w:tc>
      </w:tr>
      <w:tr>
        <w:trPr/>
        <w:tc>
          <w:tcPr>
            <w:tcW w:w="314" w:type="dxa"/>
            <w:tcBorders/>
            <w:vAlign w:val="center"/>
          </w:tcPr>
          <w:p>
            <w:pPr>
              <w:pStyle w:val="TableContents"/>
              <w:bidi w:val="0"/>
              <w:spacing w:before="0" w:after="0"/>
              <w:ind w:left="0" w:right="0" w:hanging="0"/>
              <w:jc w:val="left"/>
              <w:rPr>
                <w:rFonts w:ascii="Times New Roman;Times;serif" w:hAnsi="Times New Roman;Times;serif"/>
                <w:spacing w:val="-3"/>
                <w:sz w:val="20"/>
              </w:rPr>
            </w:pPr>
            <w:r>
              <w:rPr>
                <w:rFonts w:ascii="Times New Roman;Times;serif" w:hAnsi="Times New Roman;Times;serif"/>
                <w:spacing w:val="-3"/>
                <w:sz w:val="20"/>
              </w:rPr>
              <w:t>(d)</w:t>
            </w:r>
          </w:p>
        </w:tc>
        <w:tc>
          <w:tcPr>
            <w:tcW w:w="793" w:type="dxa"/>
            <w:tcBorders/>
            <w:vAlign w:val="center"/>
          </w:tcPr>
          <w:p>
            <w:pPr>
              <w:pStyle w:val="TableContents"/>
              <w:bidi w:val="0"/>
              <w:spacing w:before="0" w:after="0"/>
              <w:ind w:left="0" w:right="0" w:hanging="0"/>
              <w:jc w:val="left"/>
              <w:rPr>
                <w:rFonts w:ascii="Times New Roman;Times;serif" w:hAnsi="Times New Roman;Times;serif"/>
                <w:spacing w:val="-3"/>
                <w:sz w:val="20"/>
              </w:rPr>
            </w:pPr>
            <w:r>
              <w:rPr>
                <w:rFonts w:ascii="Times New Roman;Times;serif" w:hAnsi="Times New Roman;Times;serif"/>
                <w:spacing w:val="-3"/>
                <w:sz w:val="20"/>
              </w:rPr>
              <w:t>Exhibits</w:t>
            </w:r>
          </w:p>
        </w:tc>
        <w:tc>
          <w:tcPr>
            <w:tcW w:w="109" w:type="dxa"/>
            <w:tcBorders/>
            <w:vAlign w:val="center"/>
          </w:tcPr>
          <w:p>
            <w:pPr>
              <w:pStyle w:val="TableContents"/>
              <w:bidi w:val="0"/>
              <w:spacing w:before="0" w:after="0"/>
              <w:ind w:left="0" w:right="0" w:hanging="0"/>
              <w:jc w:val="left"/>
              <w:rPr>
                <w:spacing w:val="-3"/>
              </w:rPr>
            </w:pPr>
            <w:r>
              <w:rPr>
                <w:spacing w:val="-3"/>
              </w:rPr>
              <w:t>​</w:t>
            </w:r>
          </w:p>
        </w:tc>
        <w:tc>
          <w:tcPr>
            <w:tcW w:w="8989" w:type="dxa"/>
            <w:tcBorders/>
            <w:vAlign w:val="center"/>
          </w:tcPr>
          <w:p>
            <w:pPr>
              <w:pStyle w:val="TableContents"/>
              <w:bidi w:val="0"/>
              <w:spacing w:before="0" w:after="0"/>
              <w:ind w:left="0" w:right="0" w:hanging="0"/>
              <w:jc w:val="left"/>
              <w:rPr>
                <w:spacing w:val="-3"/>
              </w:rPr>
            </w:pPr>
            <w:r>
              <w:rPr>
                <w:spacing w:val="-3"/>
              </w:rPr>
              <w:t>​</w:t>
            </w:r>
          </w:p>
        </w:tc>
      </w:tr>
      <w:tr>
        <w:trPr/>
        <w:tc>
          <w:tcPr>
            <w:tcW w:w="314" w:type="dxa"/>
            <w:tcBorders/>
            <w:vAlign w:val="center"/>
          </w:tcPr>
          <w:p>
            <w:pPr>
              <w:pStyle w:val="TableContents"/>
              <w:bidi w:val="0"/>
              <w:spacing w:before="0" w:after="0"/>
              <w:ind w:left="0" w:right="0" w:hanging="0"/>
              <w:jc w:val="left"/>
              <w:rPr>
                <w:spacing w:val="-3"/>
              </w:rPr>
            </w:pPr>
            <w:r>
              <w:rPr>
                <w:spacing w:val="-3"/>
              </w:rPr>
              <w:t>​</w:t>
            </w:r>
          </w:p>
        </w:tc>
        <w:tc>
          <w:tcPr>
            <w:tcW w:w="793" w:type="dxa"/>
            <w:tcBorders/>
            <w:vAlign w:val="center"/>
          </w:tcPr>
          <w:p>
            <w:pPr>
              <w:pStyle w:val="TableContents"/>
              <w:bidi w:val="0"/>
              <w:spacing w:before="0" w:after="0"/>
              <w:ind w:left="0" w:right="0" w:hanging="0"/>
              <w:jc w:val="left"/>
              <w:rPr>
                <w:spacing w:val="-3"/>
              </w:rPr>
            </w:pPr>
            <w:r>
              <w:rPr>
                <w:spacing w:val="-3"/>
              </w:rPr>
              <w:t>​</w:t>
            </w:r>
          </w:p>
        </w:tc>
        <w:tc>
          <w:tcPr>
            <w:tcW w:w="109" w:type="dxa"/>
            <w:tcBorders/>
            <w:vAlign w:val="center"/>
          </w:tcPr>
          <w:p>
            <w:pPr>
              <w:pStyle w:val="TableContents"/>
              <w:bidi w:val="0"/>
              <w:spacing w:before="0" w:after="0"/>
              <w:ind w:left="0" w:right="0" w:hanging="0"/>
              <w:jc w:val="left"/>
              <w:rPr>
                <w:spacing w:val="-3"/>
              </w:rPr>
            </w:pPr>
            <w:r>
              <w:rPr>
                <w:spacing w:val="-3"/>
              </w:rPr>
              <w:t>​</w:t>
            </w:r>
          </w:p>
        </w:tc>
        <w:tc>
          <w:tcPr>
            <w:tcW w:w="8989" w:type="dxa"/>
            <w:tcBorders/>
            <w:vAlign w:val="center"/>
          </w:tcPr>
          <w:p>
            <w:pPr>
              <w:pStyle w:val="TableContents"/>
              <w:bidi w:val="0"/>
              <w:spacing w:before="0" w:after="0"/>
              <w:ind w:left="0" w:right="0" w:hanging="0"/>
              <w:jc w:val="left"/>
              <w:rPr>
                <w:spacing w:val="-3"/>
              </w:rPr>
            </w:pPr>
            <w:r>
              <w:rPr>
                <w:spacing w:val="-3"/>
              </w:rPr>
              <w:t>​</w:t>
            </w:r>
          </w:p>
        </w:tc>
      </w:tr>
      <w:tr>
        <w:trPr/>
        <w:tc>
          <w:tcPr>
            <w:tcW w:w="314" w:type="dxa"/>
            <w:tcBorders/>
            <w:vAlign w:val="center"/>
          </w:tcPr>
          <w:p>
            <w:pPr>
              <w:pStyle w:val="TableContents"/>
              <w:bidi w:val="0"/>
              <w:spacing w:before="0" w:after="0"/>
              <w:ind w:left="0" w:right="0" w:hanging="0"/>
              <w:jc w:val="center"/>
              <w:rPr>
                <w:spacing w:val="-3"/>
              </w:rPr>
            </w:pPr>
            <w:r>
              <w:rPr>
                <w:spacing w:val="-3"/>
              </w:rPr>
              <w:t>​</w:t>
            </w:r>
          </w:p>
        </w:tc>
        <w:tc>
          <w:tcPr>
            <w:tcW w:w="793" w:type="dxa"/>
            <w:tcBorders/>
            <w:vAlign w:val="center"/>
          </w:tcPr>
          <w:p>
            <w:pPr>
              <w:pStyle w:val="TableContents"/>
              <w:pBdr>
                <w:bottom w:val="single" w:sz="2" w:space="1" w:color="000000"/>
              </w:pBdr>
              <w:bidi w:val="0"/>
              <w:spacing w:before="0" w:after="0"/>
              <w:ind w:left="0" w:right="0" w:hanging="0"/>
              <w:jc w:val="center"/>
              <w:rPr>
                <w:rFonts w:ascii="Times New Roman;Times;serif" w:hAnsi="Times New Roman;Times;serif"/>
                <w:b/>
                <w:spacing w:val="-3"/>
                <w:sz w:val="20"/>
              </w:rPr>
            </w:pPr>
            <w:r>
              <w:rPr>
                <w:rFonts w:ascii="Times New Roman;Times;serif" w:hAnsi="Times New Roman;Times;serif"/>
                <w:b/>
                <w:spacing w:val="-3"/>
                <w:sz w:val="20"/>
              </w:rPr>
              <w:t>Item No.</w:t>
            </w:r>
          </w:p>
        </w:tc>
        <w:tc>
          <w:tcPr>
            <w:tcW w:w="109" w:type="dxa"/>
            <w:tcBorders/>
            <w:vAlign w:val="center"/>
          </w:tcPr>
          <w:p>
            <w:pPr>
              <w:pStyle w:val="TableContents"/>
              <w:bidi w:val="0"/>
              <w:spacing w:before="0" w:after="0"/>
              <w:ind w:left="0" w:right="0" w:hanging="0"/>
              <w:jc w:val="left"/>
              <w:rPr>
                <w:spacing w:val="-3"/>
              </w:rPr>
            </w:pPr>
            <w:r>
              <w:rPr>
                <w:spacing w:val="-3"/>
              </w:rPr>
              <w:t>​</w:t>
            </w:r>
          </w:p>
        </w:tc>
        <w:tc>
          <w:tcPr>
            <w:tcW w:w="8989" w:type="dxa"/>
            <w:tcBorders/>
            <w:vAlign w:val="center"/>
          </w:tcPr>
          <w:p>
            <w:pPr>
              <w:pStyle w:val="TableContents"/>
              <w:pBdr>
                <w:bottom w:val="single" w:sz="2" w:space="1" w:color="000000"/>
              </w:pBdr>
              <w:bidi w:val="0"/>
              <w:spacing w:before="0" w:after="0"/>
              <w:ind w:left="0" w:right="0" w:hanging="0"/>
              <w:jc w:val="center"/>
              <w:rPr>
                <w:rFonts w:ascii="Times New Roman;Times;serif" w:hAnsi="Times New Roman;Times;serif"/>
                <w:b/>
                <w:spacing w:val="-3"/>
                <w:sz w:val="20"/>
              </w:rPr>
            </w:pPr>
            <w:r>
              <w:rPr>
                <w:rFonts w:ascii="Times New Roman;Times;serif" w:hAnsi="Times New Roman;Times;serif"/>
                <w:b/>
                <w:spacing w:val="-3"/>
                <w:sz w:val="20"/>
              </w:rPr>
              <w:t>Description</w:t>
            </w:r>
          </w:p>
        </w:tc>
      </w:tr>
      <w:tr>
        <w:trPr/>
        <w:tc>
          <w:tcPr>
            <w:tcW w:w="314" w:type="dxa"/>
            <w:tcBorders/>
            <w:vAlign w:val="center"/>
          </w:tcPr>
          <w:p>
            <w:pPr>
              <w:pStyle w:val="TableContents"/>
              <w:bidi w:val="0"/>
              <w:spacing w:before="0" w:after="0"/>
              <w:ind w:left="0" w:right="0" w:hanging="0"/>
              <w:jc w:val="left"/>
              <w:rPr>
                <w:spacing w:val="-3"/>
              </w:rPr>
            </w:pPr>
            <w:r>
              <w:rPr>
                <w:spacing w:val="-3"/>
              </w:rPr>
              <w:t>​</w:t>
            </w:r>
          </w:p>
        </w:tc>
        <w:tc>
          <w:tcPr>
            <w:tcW w:w="793" w:type="dxa"/>
            <w:tcBorders/>
            <w:vAlign w:val="center"/>
          </w:tcPr>
          <w:p>
            <w:pPr>
              <w:pStyle w:val="TableContents"/>
              <w:bidi w:val="0"/>
              <w:spacing w:before="0" w:after="0"/>
              <w:ind w:left="0" w:right="0" w:hanging="0"/>
              <w:jc w:val="left"/>
              <w:rPr>
                <w:spacing w:val="-3"/>
              </w:rPr>
            </w:pPr>
            <w:r>
              <w:rPr>
                <w:spacing w:val="-3"/>
              </w:rPr>
              <w:t>​</w:t>
            </w:r>
          </w:p>
        </w:tc>
        <w:tc>
          <w:tcPr>
            <w:tcW w:w="109" w:type="dxa"/>
            <w:tcBorders/>
            <w:vAlign w:val="center"/>
          </w:tcPr>
          <w:p>
            <w:pPr>
              <w:pStyle w:val="TableContents"/>
              <w:bidi w:val="0"/>
              <w:spacing w:before="0" w:after="0"/>
              <w:ind w:left="0" w:right="0" w:hanging="0"/>
              <w:jc w:val="left"/>
              <w:rPr>
                <w:spacing w:val="-3"/>
              </w:rPr>
            </w:pPr>
            <w:r>
              <w:rPr>
                <w:spacing w:val="-3"/>
              </w:rPr>
              <w:t>​</w:t>
            </w:r>
          </w:p>
        </w:tc>
        <w:tc>
          <w:tcPr>
            <w:tcW w:w="8989" w:type="dxa"/>
            <w:tcBorders/>
            <w:vAlign w:val="center"/>
          </w:tcPr>
          <w:p>
            <w:pPr>
              <w:pStyle w:val="TableContents"/>
              <w:bidi w:val="0"/>
              <w:spacing w:before="0" w:after="0"/>
              <w:ind w:left="0" w:right="0" w:hanging="0"/>
              <w:jc w:val="left"/>
              <w:rPr>
                <w:spacing w:val="-3"/>
              </w:rPr>
            </w:pPr>
            <w:r>
              <w:rPr>
                <w:spacing w:val="-3"/>
              </w:rPr>
              <w:t>​</w:t>
            </w:r>
          </w:p>
        </w:tc>
      </w:tr>
      <w:tr>
        <w:trPr/>
        <w:tc>
          <w:tcPr>
            <w:tcW w:w="314" w:type="dxa"/>
            <w:tcBorders/>
            <w:vAlign w:val="center"/>
          </w:tcPr>
          <w:p>
            <w:pPr>
              <w:pStyle w:val="TableContents"/>
              <w:bidi w:val="0"/>
              <w:spacing w:before="0" w:after="0"/>
              <w:ind w:left="0" w:right="0" w:hanging="0"/>
              <w:jc w:val="left"/>
              <w:rPr>
                <w:spacing w:val="-3"/>
              </w:rPr>
            </w:pPr>
            <w:r>
              <w:rPr>
                <w:spacing w:val="-3"/>
              </w:rPr>
              <w:t>​</w:t>
            </w:r>
          </w:p>
        </w:tc>
        <w:tc>
          <w:tcPr>
            <w:tcW w:w="793" w:type="dxa"/>
            <w:tcBorders/>
            <w:vAlign w:val="center"/>
          </w:tcPr>
          <w:p>
            <w:pPr>
              <w:pStyle w:val="TableContents"/>
              <w:bidi w:val="0"/>
              <w:spacing w:before="0" w:after="0"/>
              <w:ind w:left="0" w:right="0" w:hanging="0"/>
              <w:jc w:val="left"/>
              <w:rPr>
                <w:rFonts w:ascii="Times New Roman;Times;serif" w:hAnsi="Times New Roman;Times;serif"/>
                <w:spacing w:val="-3"/>
                <w:sz w:val="20"/>
              </w:rPr>
            </w:pPr>
            <w:r>
              <w:rPr>
                <w:rFonts w:ascii="Times New Roman;Times;serif" w:hAnsi="Times New Roman;Times;serif"/>
                <w:spacing w:val="-3"/>
                <w:sz w:val="20"/>
              </w:rPr>
              <w:t>99.1</w:t>
            </w:r>
          </w:p>
        </w:tc>
        <w:tc>
          <w:tcPr>
            <w:tcW w:w="109" w:type="dxa"/>
            <w:tcBorders/>
            <w:vAlign w:val="center"/>
          </w:tcPr>
          <w:p>
            <w:pPr>
              <w:pStyle w:val="TableContents"/>
              <w:bidi w:val="0"/>
              <w:spacing w:before="0" w:after="0"/>
              <w:ind w:left="0" w:right="0" w:hanging="0"/>
              <w:jc w:val="left"/>
              <w:rPr>
                <w:spacing w:val="-3"/>
              </w:rPr>
            </w:pPr>
            <w:r>
              <w:rPr>
                <w:spacing w:val="-3"/>
              </w:rPr>
              <w:t>​</w:t>
            </w:r>
          </w:p>
        </w:tc>
        <w:tc>
          <w:tcPr>
            <w:tcW w:w="8989" w:type="dxa"/>
            <w:tcBorders/>
            <w:vAlign w:val="center"/>
          </w:tcPr>
          <w:p>
            <w:pPr>
              <w:pStyle w:val="TableContents"/>
              <w:bidi w:val="0"/>
              <w:spacing w:before="0" w:after="0"/>
              <w:ind w:left="0" w:right="0" w:hanging="0"/>
              <w:jc w:val="left"/>
              <w:rPr/>
            </w:pPr>
            <w:hyperlink w:anchor="cix-20240806xex99d1.htm">
              <w:r>
                <w:rPr>
                  <w:rStyle w:val="InternetLink"/>
                  <w:rFonts w:ascii="Times New Roman;Times;serif" w:hAnsi="Times New Roman;Times;serif"/>
                  <w:b w:val="false"/>
                  <w:i w:val="false"/>
                  <w:caps w:val="false"/>
                  <w:smallCaps w:val="false"/>
                  <w:sz w:val="20"/>
                </w:rPr>
                <w:t xml:space="preserve">Press release dated August 6, 2024 </w:t>
              </w:r>
            </w:hyperlink>
            <w:hyperlink w:anchor="cix-20240806xex99d1.htm">
              <w:r>
                <w:rPr>
                  <w:rStyle w:val="InternetLink"/>
                  <w:rFonts w:ascii="Times New Roman;Times;serif" w:hAnsi="Times New Roman;Times;serif"/>
                  <w:b w:val="false"/>
                  <w:i w:val="false"/>
                  <w:caps w:val="false"/>
                  <w:smallCaps w:val="false"/>
                  <w:spacing w:val="-3"/>
                  <w:sz w:val="20"/>
                </w:rPr>
                <w:t xml:space="preserve">entitled “CompX Reports Second Quarter 2024 Results” and </w:t>
              </w:r>
            </w:hyperlink>
            <w:hyperlink w:anchor="cix-20240806xex99d1.htm">
              <w:r>
                <w:rPr>
                  <w:rStyle w:val="InternetLink"/>
                  <w:rFonts w:ascii="Times New Roman;Times;serif" w:hAnsi="Times New Roman;Times;serif"/>
                  <w:b w:val="false"/>
                  <w:i w:val="false"/>
                  <w:caps w:val="false"/>
                  <w:smallCaps w:val="false"/>
                  <w:sz w:val="20"/>
                </w:rPr>
                <w:t>issued by the registrant</w:t>
              </w:r>
            </w:hyperlink>
            <w:r>
              <w:rPr>
                <w:rFonts w:ascii="Times New Roman;Times;serif" w:hAnsi="Times New Roman;Times;serif"/>
                <w:sz w:val="20"/>
              </w:rPr>
              <w:t>.</w:t>
            </w:r>
          </w:p>
        </w:tc>
      </w:tr>
      <w:tr>
        <w:trPr/>
        <w:tc>
          <w:tcPr>
            <w:tcW w:w="314" w:type="dxa"/>
            <w:tcBorders/>
            <w:vAlign w:val="center"/>
          </w:tcPr>
          <w:p>
            <w:pPr>
              <w:pStyle w:val="TableContents"/>
              <w:bidi w:val="0"/>
              <w:spacing w:before="0" w:after="0"/>
              <w:ind w:left="0" w:right="0" w:hanging="0"/>
              <w:jc w:val="left"/>
              <w:rPr>
                <w:spacing w:val="-3"/>
              </w:rPr>
            </w:pPr>
            <w:r>
              <w:rPr>
                <w:spacing w:val="-3"/>
              </w:rPr>
              <w:t>​</w:t>
            </w:r>
          </w:p>
        </w:tc>
        <w:tc>
          <w:tcPr>
            <w:tcW w:w="793" w:type="dxa"/>
            <w:tcBorders/>
            <w:vAlign w:val="center"/>
          </w:tcPr>
          <w:p>
            <w:pPr>
              <w:pStyle w:val="TableContents"/>
              <w:bidi w:val="0"/>
              <w:spacing w:before="0" w:after="0"/>
              <w:ind w:left="0" w:right="0" w:hanging="0"/>
              <w:jc w:val="left"/>
              <w:rPr>
                <w:spacing w:val="-3"/>
              </w:rPr>
            </w:pPr>
            <w:r>
              <w:rPr>
                <w:spacing w:val="-3"/>
              </w:rPr>
              <w:t>​</w:t>
            </w:r>
          </w:p>
        </w:tc>
        <w:tc>
          <w:tcPr>
            <w:tcW w:w="109" w:type="dxa"/>
            <w:tcBorders/>
            <w:vAlign w:val="center"/>
          </w:tcPr>
          <w:p>
            <w:pPr>
              <w:pStyle w:val="TableContents"/>
              <w:bidi w:val="0"/>
              <w:spacing w:before="0" w:after="0"/>
              <w:ind w:left="0" w:right="0" w:hanging="0"/>
              <w:jc w:val="left"/>
              <w:rPr>
                <w:spacing w:val="-3"/>
              </w:rPr>
            </w:pPr>
            <w:r>
              <w:rPr>
                <w:spacing w:val="-3"/>
              </w:rPr>
              <w:t>​</w:t>
            </w:r>
          </w:p>
        </w:tc>
        <w:tc>
          <w:tcPr>
            <w:tcW w:w="8989" w:type="dxa"/>
            <w:tcBorders/>
            <w:vAlign w:val="center"/>
          </w:tcPr>
          <w:p>
            <w:pPr>
              <w:pStyle w:val="TableContents"/>
              <w:bidi w:val="0"/>
              <w:spacing w:before="0" w:after="0"/>
              <w:ind w:left="0" w:right="0" w:hanging="0"/>
              <w:jc w:val="left"/>
              <w:rPr>
                <w:spacing w:val="-3"/>
              </w:rPr>
            </w:pPr>
            <w:r>
              <w:rPr>
                <w:spacing w:val="-3"/>
              </w:rPr>
              <w:t>​</w:t>
            </w:r>
          </w:p>
        </w:tc>
      </w:tr>
      <w:tr>
        <w:trPr/>
        <w:tc>
          <w:tcPr>
            <w:tcW w:w="314" w:type="dxa"/>
            <w:tcBorders/>
            <w:vAlign w:val="center"/>
          </w:tcPr>
          <w:p>
            <w:pPr>
              <w:pStyle w:val="TableContents"/>
              <w:bidi w:val="0"/>
              <w:spacing w:before="0" w:after="0"/>
              <w:ind w:left="0" w:right="0" w:hanging="0"/>
              <w:jc w:val="left"/>
              <w:rPr>
                <w:spacing w:val="-3"/>
              </w:rPr>
            </w:pPr>
            <w:r>
              <w:rPr>
                <w:spacing w:val="-3"/>
              </w:rPr>
              <w:t>​</w:t>
            </w:r>
          </w:p>
        </w:tc>
        <w:tc>
          <w:tcPr>
            <w:tcW w:w="793" w:type="dxa"/>
            <w:tcBorders/>
            <w:vAlign w:val="center"/>
          </w:tcPr>
          <w:p>
            <w:pPr>
              <w:pStyle w:val="TableContents"/>
              <w:bidi w:val="0"/>
              <w:spacing w:before="0" w:after="0"/>
              <w:ind w:left="0" w:right="0" w:hanging="0"/>
              <w:jc w:val="left"/>
              <w:rPr>
                <w:rFonts w:ascii="Times New Roman;Times;serif" w:hAnsi="Times New Roman;Times;serif"/>
                <w:spacing w:val="-3"/>
                <w:sz w:val="20"/>
              </w:rPr>
            </w:pPr>
            <w:r>
              <w:rPr>
                <w:rFonts w:ascii="Times New Roman;Times;serif" w:hAnsi="Times New Roman;Times;serif"/>
                <w:spacing w:val="-3"/>
                <w:sz w:val="20"/>
              </w:rPr>
              <w:t>99.2</w:t>
            </w:r>
          </w:p>
        </w:tc>
        <w:tc>
          <w:tcPr>
            <w:tcW w:w="109" w:type="dxa"/>
            <w:tcBorders/>
            <w:vAlign w:val="center"/>
          </w:tcPr>
          <w:p>
            <w:pPr>
              <w:pStyle w:val="TableContents"/>
              <w:bidi w:val="0"/>
              <w:spacing w:before="0" w:after="0"/>
              <w:ind w:left="0" w:right="0" w:hanging="0"/>
              <w:jc w:val="left"/>
              <w:rPr>
                <w:spacing w:val="-3"/>
              </w:rPr>
            </w:pPr>
            <w:r>
              <w:rPr>
                <w:spacing w:val="-3"/>
              </w:rPr>
              <w:t>​</w:t>
            </w:r>
          </w:p>
        </w:tc>
        <w:tc>
          <w:tcPr>
            <w:tcW w:w="8989" w:type="dxa"/>
            <w:tcBorders/>
            <w:vAlign w:val="center"/>
          </w:tcPr>
          <w:p>
            <w:pPr>
              <w:pStyle w:val="TableContents"/>
              <w:bidi w:val="0"/>
              <w:spacing w:before="0" w:after="0"/>
              <w:ind w:left="0" w:right="0" w:hanging="0"/>
              <w:jc w:val="left"/>
              <w:rPr/>
            </w:pPr>
            <w:hyperlink w:anchor="cix-20240806xex99d2.htm">
              <w:r>
                <w:rPr>
                  <w:rStyle w:val="InternetLink"/>
                  <w:rFonts w:ascii="Times New Roman;Times;serif" w:hAnsi="Times New Roman;Times;serif"/>
                  <w:b w:val="false"/>
                  <w:i w:val="false"/>
                  <w:caps w:val="false"/>
                  <w:smallCaps w:val="false"/>
                  <w:sz w:val="20"/>
                </w:rPr>
                <w:t xml:space="preserve">Press release dated August 6, 2024 </w:t>
              </w:r>
            </w:hyperlink>
            <w:hyperlink w:anchor="cix-20240806xex99d2.htm">
              <w:r>
                <w:rPr>
                  <w:rStyle w:val="InternetLink"/>
                  <w:rFonts w:ascii="Times New Roman;Times;serif" w:hAnsi="Times New Roman;Times;serif"/>
                  <w:b w:val="false"/>
                  <w:i w:val="false"/>
                  <w:caps w:val="false"/>
                  <w:smallCaps w:val="false"/>
                  <w:spacing w:val="-3"/>
                  <w:sz w:val="20"/>
                </w:rPr>
                <w:t>entitled “</w:t>
              </w:r>
            </w:hyperlink>
            <w:hyperlink w:anchor="cix-20240806xex99d2.htm">
              <w:r>
                <w:rPr>
                  <w:rStyle w:val="InternetLink"/>
                  <w:rFonts w:ascii="Times New Roman;Times;serif" w:hAnsi="Times New Roman;Times;serif"/>
                  <w:b w:val="false"/>
                  <w:i w:val="false"/>
                  <w:caps w:val="false"/>
                  <w:smallCaps w:val="false"/>
                  <w:sz w:val="20"/>
                </w:rPr>
                <w:t>CompX Announces a Special Dividend of $2.00 Per Share Payable in August 2024, and Declares Regular Quarterly Dividend</w:t>
              </w:r>
            </w:hyperlink>
            <w:hyperlink w:anchor="cix-20240806xex99d2.htm">
              <w:r>
                <w:rPr>
                  <w:rStyle w:val="InternetLink"/>
                  <w:rFonts w:ascii="Times New Roman;Times;serif" w:hAnsi="Times New Roman;Times;serif"/>
                  <w:caps w:val="false"/>
                  <w:smallCaps w:val="false"/>
                  <w:spacing w:val="-3"/>
                  <w:sz w:val="20"/>
                </w:rPr>
                <w:t xml:space="preserve">” </w:t>
              </w:r>
            </w:hyperlink>
            <w:hyperlink w:anchor="cix-20240806xex99d2.htm">
              <w:r>
                <w:rPr>
                  <w:rStyle w:val="InternetLink"/>
                  <w:rFonts w:ascii="Times New Roman;Times;serif" w:hAnsi="Times New Roman;Times;serif"/>
                  <w:b w:val="false"/>
                  <w:i w:val="false"/>
                  <w:caps w:val="false"/>
                  <w:smallCaps w:val="false"/>
                  <w:spacing w:val="-3"/>
                  <w:sz w:val="20"/>
                </w:rPr>
                <w:t xml:space="preserve">and </w:t>
              </w:r>
            </w:hyperlink>
            <w:hyperlink w:anchor="cix-20240806xex99d2.htm">
              <w:r>
                <w:rPr>
                  <w:rStyle w:val="InternetLink"/>
                  <w:rFonts w:ascii="Times New Roman;Times;serif" w:hAnsi="Times New Roman;Times;serif"/>
                  <w:b w:val="false"/>
                  <w:i w:val="false"/>
                  <w:caps w:val="false"/>
                  <w:smallCaps w:val="false"/>
                  <w:sz w:val="20"/>
                </w:rPr>
                <w:t>issued by the registrant.</w:t>
              </w:r>
            </w:hyperlink>
          </w:p>
        </w:tc>
      </w:tr>
      <w:tr>
        <w:trPr/>
        <w:tc>
          <w:tcPr>
            <w:tcW w:w="314" w:type="dxa"/>
            <w:tcBorders/>
            <w:vAlign w:val="center"/>
          </w:tcPr>
          <w:p>
            <w:pPr>
              <w:pStyle w:val="TableContents"/>
              <w:bidi w:val="0"/>
              <w:spacing w:before="0" w:after="0"/>
              <w:ind w:left="0" w:right="0" w:hanging="0"/>
              <w:jc w:val="left"/>
              <w:rPr>
                <w:spacing w:val="-3"/>
              </w:rPr>
            </w:pPr>
            <w:r>
              <w:rPr>
                <w:spacing w:val="-3"/>
              </w:rPr>
              <w:t>​</w:t>
            </w:r>
          </w:p>
        </w:tc>
        <w:tc>
          <w:tcPr>
            <w:tcW w:w="793" w:type="dxa"/>
            <w:tcBorders/>
            <w:vAlign w:val="center"/>
          </w:tcPr>
          <w:p>
            <w:pPr>
              <w:pStyle w:val="TableContents"/>
              <w:bidi w:val="0"/>
              <w:spacing w:before="0" w:after="0"/>
              <w:ind w:left="0" w:right="0" w:hanging="0"/>
              <w:jc w:val="left"/>
              <w:rPr>
                <w:spacing w:val="-3"/>
              </w:rPr>
            </w:pPr>
            <w:r>
              <w:rPr>
                <w:spacing w:val="-3"/>
              </w:rPr>
              <w:t>​</w:t>
            </w:r>
          </w:p>
        </w:tc>
        <w:tc>
          <w:tcPr>
            <w:tcW w:w="109" w:type="dxa"/>
            <w:tcBorders/>
            <w:vAlign w:val="center"/>
          </w:tcPr>
          <w:p>
            <w:pPr>
              <w:pStyle w:val="TableContents"/>
              <w:bidi w:val="0"/>
              <w:spacing w:before="0" w:after="0"/>
              <w:ind w:left="0" w:right="0" w:hanging="0"/>
              <w:jc w:val="left"/>
              <w:rPr>
                <w:spacing w:val="-3"/>
              </w:rPr>
            </w:pPr>
            <w:r>
              <w:rPr>
                <w:spacing w:val="-3"/>
              </w:rPr>
              <w:t>​</w:t>
            </w:r>
          </w:p>
        </w:tc>
        <w:tc>
          <w:tcPr>
            <w:tcW w:w="8989" w:type="dxa"/>
            <w:tcBorders/>
            <w:vAlign w:val="center"/>
          </w:tcPr>
          <w:p>
            <w:pPr>
              <w:pStyle w:val="TableContents"/>
              <w:bidi w:val="0"/>
              <w:spacing w:before="0" w:after="0"/>
              <w:ind w:left="0" w:right="0" w:hanging="0"/>
              <w:jc w:val="left"/>
              <w:rPr>
                <w:spacing w:val="-3"/>
              </w:rPr>
            </w:pPr>
            <w:r>
              <w:rPr>
                <w:spacing w:val="-3"/>
              </w:rPr>
              <w:t>​</w:t>
            </w:r>
          </w:p>
        </w:tc>
      </w:tr>
      <w:tr>
        <w:trPr/>
        <w:tc>
          <w:tcPr>
            <w:tcW w:w="314" w:type="dxa"/>
            <w:tcBorders/>
            <w:vAlign w:val="center"/>
          </w:tcPr>
          <w:p>
            <w:pPr>
              <w:pStyle w:val="TableContents"/>
              <w:bidi w:val="0"/>
              <w:spacing w:before="0" w:after="0"/>
              <w:ind w:left="0" w:right="0" w:hanging="0"/>
              <w:jc w:val="left"/>
              <w:rPr>
                <w:spacing w:val="-3"/>
              </w:rPr>
            </w:pPr>
            <w:r>
              <w:rPr>
                <w:spacing w:val="-3"/>
              </w:rPr>
              <w:t>​</w:t>
            </w:r>
          </w:p>
        </w:tc>
        <w:tc>
          <w:tcPr>
            <w:tcW w:w="793" w:type="dxa"/>
            <w:tcBorders/>
            <w:vAlign w:val="center"/>
          </w:tcPr>
          <w:p>
            <w:pPr>
              <w:pStyle w:val="TableContents"/>
              <w:bidi w:val="0"/>
              <w:spacing w:before="0" w:after="0"/>
              <w:ind w:left="0" w:right="0" w:hanging="0"/>
              <w:jc w:val="left"/>
              <w:rPr>
                <w:rFonts w:ascii="Times New Roman;Times;serif" w:hAnsi="Times New Roman;Times;serif"/>
                <w:spacing w:val="-3"/>
                <w:sz w:val="20"/>
              </w:rPr>
            </w:pPr>
            <w:r>
              <w:rPr>
                <w:rFonts w:ascii="Times New Roman;Times;serif" w:hAnsi="Times New Roman;Times;serif"/>
                <w:spacing w:val="-3"/>
                <w:sz w:val="20"/>
              </w:rPr>
              <w:t>104</w:t>
            </w:r>
          </w:p>
        </w:tc>
        <w:tc>
          <w:tcPr>
            <w:tcW w:w="109" w:type="dxa"/>
            <w:tcBorders/>
            <w:vAlign w:val="center"/>
          </w:tcPr>
          <w:p>
            <w:pPr>
              <w:pStyle w:val="TableContents"/>
              <w:bidi w:val="0"/>
              <w:spacing w:before="0" w:after="0"/>
              <w:ind w:left="0" w:right="0" w:hanging="0"/>
              <w:jc w:val="left"/>
              <w:rPr>
                <w:spacing w:val="-3"/>
              </w:rPr>
            </w:pPr>
            <w:r>
              <w:rPr>
                <w:spacing w:val="-3"/>
              </w:rPr>
              <w:t>​</w:t>
            </w:r>
          </w:p>
        </w:tc>
        <w:tc>
          <w:tcPr>
            <w:tcW w:w="89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43" w:name="_cf32c242_cd4a_496d_b2a6_a8cb64a60444"/>
      <w:bookmarkEnd w:id="43"/>
      <w:r>
        <w:rPr>
          <w:rFonts w:ascii="Times New Roman;Times;serif" w:hAnsi="Times New Roman;Times;serif"/>
          <w:b/>
          <w:sz w:val="20"/>
        </w:rPr>
        <w:t>SIGNATURE</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bidi w:val="0"/>
        <w:spacing w:before="0" w:after="240"/>
        <w:ind w:left="0" w:right="0" w:hanging="0"/>
        <w:jc w:val="center"/>
        <w:rPr/>
      </w:pPr>
      <w:r>
        <w:rPr/>
        <w:t>​</w:t>
      </w:r>
    </w:p>
    <w:tbl>
      <w:tblPr>
        <w:tblW w:w="5253" w:type="dxa"/>
        <w:jc w:val="left"/>
        <w:tblInd w:w="0" w:type="dxa"/>
        <w:tblLayout w:type="fixed"/>
        <w:tblCellMar>
          <w:top w:w="0" w:type="dxa"/>
          <w:left w:w="0" w:type="dxa"/>
          <w:bottom w:w="0" w:type="dxa"/>
          <w:right w:w="0" w:type="dxa"/>
        </w:tblCellMar>
      </w:tblPr>
      <w:tblGrid>
        <w:gridCol w:w="1846"/>
        <w:gridCol w:w="406"/>
        <w:gridCol w:w="3001"/>
      </w:tblGrid>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0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COMPX INTERNATIONAL INC.</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(Registrant)</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001" w:type="dxa"/>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001" w:type="dxa"/>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0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Amy A. Samford</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00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Amy A. Samford</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00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Executive Vice President and</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6, 2024</w:t>
            </w:r>
          </w:p>
        </w:tc>
        <w:tc>
          <w:tcPr>
            <w:tcW w:w="406" w:type="dxa"/>
            <w:tcBorders/>
            <w:vAlign w:val="center"/>
          </w:tcPr>
          <w:p>
            <w:pPr>
              <w:pStyle w:val="TableContents"/>
              <w:bidi w:val="0"/>
              <w:spacing w:before="0" w:after="0"/>
              <w:ind w:left="0" w:right="0" w:hanging="0"/>
              <w:jc w:val="left"/>
              <w:rPr/>
            </w:pPr>
            <w:r>
              <w:rPr/>
              <w:t>​</w:t>
            </w:r>
          </w:p>
        </w:tc>
        <w:tc>
          <w:tcPr>
            <w:tcW w:w="300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Chief Financial Officer</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44" w:name="cix-20240806xex99d1.htm"/>
      <w:bookmarkStart w:id="45" w:name="kscix20240806xex99d1"/>
      <w:bookmarkStart w:id="46" w:name="cix-20240806xex99d1.htm"/>
      <w:bookmarkStart w:id="47" w:name="kscix20240806xex99d1"/>
      <w:bookmarkEnd w:id="46"/>
      <w:bookmarkEnd w:id="47"/>
      <w:r>
        <w:br w:type="page"/>
      </w:r>
    </w:p>
    <w:tbl>
      <w:tblPr>
        <w:tblW w:w="4420" w:type="dxa"/>
        <w:jc w:val="left"/>
        <w:tblInd w:w="0" w:type="dxa"/>
        <w:tblLayout w:type="fixed"/>
        <w:tblCellMar>
          <w:top w:w="0" w:type="dxa"/>
          <w:left w:w="0" w:type="dxa"/>
          <w:bottom w:w="0" w:type="dxa"/>
          <w:right w:w="0" w:type="dxa"/>
        </w:tblCellMar>
      </w:tblPr>
      <w:tblGrid>
        <w:gridCol w:w="4420"/>
      </w:tblGrid>
      <w:tr>
        <w:trPr/>
        <w:tc>
          <w:tcPr>
            <w:tcW w:w="4420" w:type="dxa"/>
            <w:tcBorders/>
            <w:vAlign w:val="center"/>
          </w:tcPr>
          <w:p>
            <w:pPr>
              <w:pStyle w:val="TableContents"/>
              <w:bidi w:val="0"/>
              <w:spacing w:before="0" w:after="0"/>
              <w:ind w:left="0" w:right="0" w:hanging="0"/>
              <w:jc w:val="right"/>
              <w:rPr/>
            </w:pPr>
            <w:r>
              <w:rPr/>
              <w:t>​</w:t>
            </w:r>
          </w:p>
        </w:tc>
      </w:tr>
      <w:tr>
        <w:trPr/>
        <w:tc>
          <w:tcPr>
            <w:tcW w:w="4420" w:type="dxa"/>
            <w:tcBorders/>
            <w:vAlign w:val="center"/>
          </w:tcPr>
          <w:p>
            <w:pPr>
              <w:pStyle w:val="TableContents"/>
              <w:bidi w:val="0"/>
              <w:spacing w:before="0" w:after="0"/>
              <w:ind w:left="0" w:right="0" w:hanging="0"/>
              <w:jc w:val="left"/>
              <w:rPr/>
            </w:pPr>
            <w:r>
              <w:rPr/>
              <w:t>​</w:t>
            </w:r>
          </w:p>
        </w:tc>
      </w:tr>
      <w:tr>
        <w:trPr/>
        <w:tc>
          <w:tcPr>
            <w:tcW w:w="4420" w:type="dxa"/>
            <w:tcBorders/>
            <w:vAlign w:val="center"/>
          </w:tcPr>
          <w:p>
            <w:pPr>
              <w:pStyle w:val="TableContents"/>
              <w:bidi w:val="0"/>
              <w:spacing w:before="0" w:after="0"/>
              <w:ind w:left="0" w:right="0" w:hanging="0"/>
              <w:jc w:val="center"/>
              <w:rPr/>
            </w:pPr>
            <w:r>
              <w:rPr/>
              <w:drawing>
                <wp:inline distT="0" distB="0" distL="0" distR="0">
                  <wp:extent cx="2713990" cy="904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13990" cy="904875"/>
                          </a:xfrm>
                          <a:prstGeom prst="rect">
                            <a:avLst/>
                          </a:prstGeom>
                        </pic:spPr>
                      </pic:pic>
                    </a:graphicData>
                  </a:graphic>
                </wp:inline>
              </w:drawing>
            </w:r>
          </w:p>
        </w:tc>
      </w:tr>
    </w:tbl>
    <w:p>
      <w:pPr>
        <w:pStyle w:val="TextBody"/>
        <w:bidi w:val="0"/>
        <w:spacing w:before="0" w:after="0"/>
        <w:ind w:left="0" w:right="0" w:hanging="0"/>
        <w:jc w:val="left"/>
        <w:rPr/>
      </w:pPr>
      <w:r>
        <w:rPr/>
        <w:t>​</w:t>
      </w:r>
    </w:p>
    <w:p>
      <w:pPr>
        <w:pStyle w:val="TextBody"/>
        <w:bidi w:val="0"/>
        <w:spacing w:before="0" w:after="360"/>
        <w:ind w:left="0" w:right="0" w:hanging="0"/>
        <w:jc w:val="center"/>
        <w:rPr>
          <w:rFonts w:ascii="Times New Roman;Times;serif" w:hAnsi="Times New Roman;Times;serif"/>
          <w:b/>
          <w:sz w:val="30"/>
        </w:rPr>
      </w:pPr>
      <w:r>
        <w:rPr>
          <w:rFonts w:ascii="Times New Roman;Times;serif" w:hAnsi="Times New Roman;Times;serif"/>
          <w:b/>
          <w:sz w:val="30"/>
        </w:rPr>
        <w:t>COMPX REPORTS SECOND QUARTER 2024 RESULTS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4"/>
        </w:rPr>
        <w:t xml:space="preserve">DALLAS, TEXAS </w:t>
      </w:r>
      <w:r>
        <w:rPr>
          <w:rFonts w:ascii="Times New Roman;Times;serif" w:hAnsi="Times New Roman;Times;serif"/>
          <w:sz w:val="20"/>
        </w:rPr>
        <w:t xml:space="preserve">… </w:t>
      </w:r>
      <w:r>
        <w:rPr>
          <w:rFonts w:ascii="Times New Roman;Times;serif" w:hAnsi="Times New Roman;Times;serif"/>
          <w:sz w:val="24"/>
        </w:rPr>
        <w:t xml:space="preserve">August 6, 2024 </w:t>
      </w:r>
      <w:r>
        <w:rPr>
          <w:rFonts w:ascii="Times New Roman;Times;serif" w:hAnsi="Times New Roman;Times;serif"/>
          <w:sz w:val="20"/>
        </w:rPr>
        <w:t xml:space="preserve">… </w:t>
      </w:r>
      <w:r>
        <w:rPr>
          <w:rFonts w:ascii="Times New Roman;Times;serif" w:hAnsi="Times New Roman;Times;serif"/>
          <w:sz w:val="24"/>
        </w:rPr>
        <w:t xml:space="preserve">CompX International Inc. (NYSE American: CIX) announced today sales of $35.9 million for the second quarter of 2024 compared to $36.6 million in the same period of 2023. Operating income was $5.1 million in the second quarter of 2024 compared to $4.4 million in the same period of 2023. Net income was $4.9 million, or $.39 per basic and diluted common share, for the second quarter of 2024 compared to $4.0 million, or $.33 per basic and diluted common share, in the same period of 2023.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For the six months ended June 30, 2024, sales were $73.9 million compared to $77.8 million in the previous year. Operating income was $8.8 million for the first six months of 2024 compared to $11.4 million for the same period in 2023. Net income for the six months ended June 30, 2024, was $8.6 million or $.70 per diluted share, compared to $10.1 million, or $.82 per diluted share, for the same period in 2023.</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Second quarter and year-to-date 2024 net sales decreased over the comparable 2023 periods due to lower Marine Components sales primarily to the towboat market, partially offset by higher Security Products sales primarily to the government security market. Operating income increased in the second quarter of 2024 compared to the same period in 2023 due to the effects of higher Security Products sales and gross margin which more than offset lower Marine Components sales and gross margin. Operating income decreased for the first six months of 2024 compared to the same period in 2023 due to lower Marine Components sales and gross margin partially offset by higher Security Products sales and higher Security Products gross margin in the second quarter of 2024 compared to the second quarter of 2023.</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CompX is a leading manufacturer of security products and recreational marine components. It operates from three locations in the U.S. and employs approximately 523 people.</w:t>
      </w:r>
    </w:p>
    <w:p>
      <w:pPr>
        <w:pStyle w:val="TextBody"/>
        <w:bidi w:val="0"/>
        <w:spacing w:before="0" w:after="240"/>
        <w:ind w:left="0" w:right="0" w:hanging="0"/>
        <w:jc w:val="left"/>
        <w:rPr>
          <w:rFonts w:ascii="Times New Roman;Times;serif" w:hAnsi="Times New Roman;Times;serif"/>
          <w:b/>
          <w:sz w:val="24"/>
        </w:rPr>
      </w:pPr>
      <w:r>
        <w:rPr>
          <w:rFonts w:ascii="Times New Roman;Times;serif" w:hAnsi="Times New Roman;Times;serif"/>
          <w:b/>
          <w:sz w:val="24"/>
        </w:rPr>
        <w:t>Forward-Looking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4"/>
        </w:rPr>
        <w:t>The statements in this press release relating to matters that are not historical facts are forward-looking statements that represent management</w:t>
      </w:r>
      <w:r>
        <w:rPr>
          <w:rFonts w:ascii="Times New Roman;Times;serif" w:hAnsi="Times New Roman;Times;serif"/>
          <w:sz w:val="20"/>
        </w:rPr>
        <w:t>’</w:t>
      </w:r>
      <w:r>
        <w:rPr>
          <w:rFonts w:ascii="Times New Roman;Times;serif" w:hAnsi="Times New Roman;Times;serif"/>
          <w:sz w:val="24"/>
        </w:rPr>
        <w:t xml:space="preserve">s belief and assumptions based on currently available information.  Although we believe the expectations reflected in such forward-looking statements are reasonable, we cannot give any assurances that these expectations will be correct. Such statements, by their nature, involve substantial risks and uncertainties that could significantly impact expected results, and actual future results could differ materially from those predicted. While it is not possible to identify all factors, we continue to face many risks and uncertainties.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The factors that could cause our actual future results to differ materially include, but are not limited to, the following:</w:t>
      </w:r>
    </w:p>
    <w:tbl>
      <w:tblPr>
        <w:tblW w:w="3198" w:type="dxa"/>
        <w:jc w:val="left"/>
        <w:tblInd w:w="0" w:type="dxa"/>
        <w:tblLayout w:type="fixed"/>
        <w:tblCellMar>
          <w:top w:w="0" w:type="dxa"/>
          <w:left w:w="0" w:type="dxa"/>
          <w:bottom w:w="0" w:type="dxa"/>
          <w:right w:w="0" w:type="dxa"/>
        </w:tblCellMar>
      </w:tblPr>
      <w:tblGrid>
        <w:gridCol w:w="23"/>
        <w:gridCol w:w="95"/>
        <w:gridCol w:w="3080"/>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120"/>
              <w:jc w:val="both"/>
              <w:rPr>
                <w:rFonts w:ascii="Symbol" w:hAnsi="Symbol"/>
                <w:sz w:val="20"/>
              </w:rPr>
            </w:pPr>
            <w:r>
              <w:rPr>
                <w:rFonts w:ascii="Symbol" w:hAnsi="Symbol"/>
                <w:sz w:val="20"/>
              </w:rPr>
              <w:t>·</w:t>
            </w:r>
          </w:p>
        </w:tc>
        <w:tc>
          <w:tcPr>
            <w:tcW w:w="3080"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Future demand for our products,</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120"/>
              <w:jc w:val="both"/>
              <w:rPr>
                <w:rFonts w:ascii="Symbol" w:hAnsi="Symbol"/>
                <w:sz w:val="20"/>
              </w:rPr>
            </w:pPr>
            <w:r>
              <w:rPr>
                <w:rFonts w:ascii="Symbol" w:hAnsi="Symbol"/>
                <w:sz w:val="20"/>
              </w:rPr>
              <w:t>·</w:t>
            </w:r>
          </w:p>
        </w:tc>
        <w:tc>
          <w:tcPr>
            <w:tcW w:w="10087"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Changes in our raw material and other operating costs (such as zinc, brass, aluminum, steel and energy costs) and our ability to pass those costs on to our customers or offset them with reductions in other operating costs,</w:t>
            </w:r>
          </w:p>
        </w:tc>
      </w:tr>
    </w:tbl>
    <w:tbl>
      <w:tblPr>
        <w:tblW w:w="8133" w:type="dxa"/>
        <w:jc w:val="left"/>
        <w:tblInd w:w="0" w:type="dxa"/>
        <w:tblLayout w:type="fixed"/>
        <w:tblCellMar>
          <w:top w:w="0" w:type="dxa"/>
          <w:left w:w="0" w:type="dxa"/>
          <w:bottom w:w="0" w:type="dxa"/>
          <w:right w:w="0" w:type="dxa"/>
        </w:tblCellMar>
      </w:tblPr>
      <w:tblGrid>
        <w:gridCol w:w="23"/>
        <w:gridCol w:w="95"/>
        <w:gridCol w:w="801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120"/>
              <w:jc w:val="both"/>
              <w:rPr>
                <w:rFonts w:ascii="Symbol" w:hAnsi="Symbol"/>
                <w:sz w:val="20"/>
              </w:rPr>
            </w:pPr>
            <w:r>
              <w:rPr>
                <w:rFonts w:ascii="Symbol" w:hAnsi="Symbol"/>
                <w:sz w:val="20"/>
              </w:rPr>
              <w:t>·</w:t>
            </w:r>
          </w:p>
        </w:tc>
        <w:tc>
          <w:tcPr>
            <w:tcW w:w="8015"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Price and product competition from low-cost manufacturing sources (such as China),</w:t>
            </w:r>
          </w:p>
        </w:tc>
      </w:tr>
    </w:tbl>
    <w:tbl>
      <w:tblPr>
        <w:tblW w:w="4653" w:type="dxa"/>
        <w:jc w:val="left"/>
        <w:tblInd w:w="0" w:type="dxa"/>
        <w:tblLayout w:type="fixed"/>
        <w:tblCellMar>
          <w:top w:w="0" w:type="dxa"/>
          <w:left w:w="0" w:type="dxa"/>
          <w:bottom w:w="0" w:type="dxa"/>
          <w:right w:w="0" w:type="dxa"/>
        </w:tblCellMar>
      </w:tblPr>
      <w:tblGrid>
        <w:gridCol w:w="23"/>
        <w:gridCol w:w="95"/>
        <w:gridCol w:w="453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120"/>
              <w:jc w:val="both"/>
              <w:rPr>
                <w:rFonts w:ascii="Symbol" w:hAnsi="Symbol"/>
                <w:sz w:val="20"/>
              </w:rPr>
            </w:pPr>
            <w:r>
              <w:rPr>
                <w:rFonts w:ascii="Symbol" w:hAnsi="Symbol"/>
                <w:sz w:val="20"/>
              </w:rPr>
              <w:t>·</w:t>
            </w:r>
          </w:p>
        </w:tc>
        <w:tc>
          <w:tcPr>
            <w:tcW w:w="4535"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The impact of pricing and production decisions,</w:t>
            </w:r>
          </w:p>
        </w:tc>
      </w:tr>
    </w:tbl>
    <w:tbl>
      <w:tblPr>
        <w:tblW w:w="6273" w:type="dxa"/>
        <w:jc w:val="left"/>
        <w:tblInd w:w="0" w:type="dxa"/>
        <w:tblLayout w:type="fixed"/>
        <w:tblCellMar>
          <w:top w:w="0" w:type="dxa"/>
          <w:left w:w="0" w:type="dxa"/>
          <w:bottom w:w="0" w:type="dxa"/>
          <w:right w:w="0" w:type="dxa"/>
        </w:tblCellMar>
      </w:tblPr>
      <w:tblGrid>
        <w:gridCol w:w="23"/>
        <w:gridCol w:w="95"/>
        <w:gridCol w:w="615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120"/>
              <w:jc w:val="both"/>
              <w:rPr>
                <w:rFonts w:ascii="Symbol" w:hAnsi="Symbol"/>
                <w:sz w:val="20"/>
              </w:rPr>
            </w:pPr>
            <w:r>
              <w:rPr>
                <w:rFonts w:ascii="Symbol" w:hAnsi="Symbol"/>
                <w:sz w:val="20"/>
              </w:rPr>
              <w:t>·</w:t>
            </w:r>
          </w:p>
        </w:tc>
        <w:tc>
          <w:tcPr>
            <w:tcW w:w="6155"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Customer and competitor strategies including substitute products,</w:t>
            </w:r>
          </w:p>
        </w:tc>
      </w:tr>
    </w:tbl>
    <w:tbl>
      <w:tblPr>
        <w:tblW w:w="8133" w:type="dxa"/>
        <w:jc w:val="left"/>
        <w:tblInd w:w="0" w:type="dxa"/>
        <w:tblLayout w:type="fixed"/>
        <w:tblCellMar>
          <w:top w:w="0" w:type="dxa"/>
          <w:left w:w="0" w:type="dxa"/>
          <w:bottom w:w="0" w:type="dxa"/>
          <w:right w:w="0" w:type="dxa"/>
        </w:tblCellMar>
      </w:tblPr>
      <w:tblGrid>
        <w:gridCol w:w="23"/>
        <w:gridCol w:w="95"/>
        <w:gridCol w:w="801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120"/>
              <w:jc w:val="both"/>
              <w:rPr>
                <w:rFonts w:ascii="Symbol" w:hAnsi="Symbol"/>
                <w:sz w:val="20"/>
              </w:rPr>
            </w:pPr>
            <w:r>
              <w:rPr>
                <w:rFonts w:ascii="Symbol" w:hAnsi="Symbol"/>
                <w:sz w:val="20"/>
              </w:rPr>
              <w:t>·</w:t>
            </w:r>
          </w:p>
        </w:tc>
        <w:tc>
          <w:tcPr>
            <w:tcW w:w="8015"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Uncertainties associated with the development of new products and product features,</w:t>
            </w:r>
          </w:p>
        </w:tc>
      </w:tr>
    </w:tbl>
    <w:tbl>
      <w:tblPr>
        <w:tblW w:w="3558" w:type="dxa"/>
        <w:jc w:val="left"/>
        <w:tblInd w:w="0" w:type="dxa"/>
        <w:tblLayout w:type="fixed"/>
        <w:tblCellMar>
          <w:top w:w="0" w:type="dxa"/>
          <w:left w:w="0" w:type="dxa"/>
          <w:bottom w:w="0" w:type="dxa"/>
          <w:right w:w="0" w:type="dxa"/>
        </w:tblCellMar>
      </w:tblPr>
      <w:tblGrid>
        <w:gridCol w:w="23"/>
        <w:gridCol w:w="95"/>
        <w:gridCol w:w="3440"/>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120"/>
              <w:jc w:val="both"/>
              <w:rPr>
                <w:rFonts w:ascii="Symbol" w:hAnsi="Symbol"/>
                <w:sz w:val="20"/>
              </w:rPr>
            </w:pPr>
            <w:r>
              <w:rPr>
                <w:rFonts w:ascii="Symbol" w:hAnsi="Symbol"/>
                <w:sz w:val="20"/>
              </w:rPr>
              <w:t>·</w:t>
            </w:r>
          </w:p>
        </w:tc>
        <w:tc>
          <w:tcPr>
            <w:tcW w:w="3440"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Pending or possible future litigation,</w:t>
            </w:r>
          </w:p>
        </w:tc>
      </w:tr>
    </w:tbl>
    <w:tbl>
      <w:tblPr>
        <w:tblW w:w="6018" w:type="dxa"/>
        <w:jc w:val="left"/>
        <w:tblInd w:w="0" w:type="dxa"/>
        <w:tblLayout w:type="fixed"/>
        <w:tblCellMar>
          <w:top w:w="0" w:type="dxa"/>
          <w:left w:w="0" w:type="dxa"/>
          <w:bottom w:w="0" w:type="dxa"/>
          <w:right w:w="0" w:type="dxa"/>
        </w:tblCellMar>
      </w:tblPr>
      <w:tblGrid>
        <w:gridCol w:w="23"/>
        <w:gridCol w:w="95"/>
        <w:gridCol w:w="5900"/>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120"/>
              <w:jc w:val="both"/>
              <w:rPr>
                <w:rFonts w:ascii="Symbol" w:hAnsi="Symbol"/>
                <w:sz w:val="20"/>
              </w:rPr>
            </w:pPr>
            <w:r>
              <w:rPr>
                <w:rFonts w:ascii="Symbol" w:hAnsi="Symbol"/>
                <w:sz w:val="20"/>
              </w:rPr>
              <w:t>·</w:t>
            </w:r>
          </w:p>
        </w:tc>
        <w:tc>
          <w:tcPr>
            <w:tcW w:w="5900"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Our ability to protect or defend our intellectual property rights,</w:t>
            </w:r>
          </w:p>
        </w:tc>
      </w:tr>
    </w:tbl>
    <w:tbl>
      <w:tblPr>
        <w:tblW w:w="5163" w:type="dxa"/>
        <w:jc w:val="left"/>
        <w:tblInd w:w="0" w:type="dxa"/>
        <w:tblLayout w:type="fixed"/>
        <w:tblCellMar>
          <w:top w:w="0" w:type="dxa"/>
          <w:left w:w="0" w:type="dxa"/>
          <w:bottom w:w="0" w:type="dxa"/>
          <w:right w:w="0" w:type="dxa"/>
        </w:tblCellMar>
      </w:tblPr>
      <w:tblGrid>
        <w:gridCol w:w="23"/>
        <w:gridCol w:w="95"/>
        <w:gridCol w:w="504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120"/>
              <w:jc w:val="both"/>
              <w:rPr>
                <w:rFonts w:ascii="Symbol" w:hAnsi="Symbol"/>
                <w:sz w:val="20"/>
              </w:rPr>
            </w:pPr>
            <w:r>
              <w:rPr>
                <w:rFonts w:ascii="Symbol" w:hAnsi="Symbol"/>
                <w:sz w:val="20"/>
              </w:rPr>
              <w:t>·</w:t>
            </w:r>
          </w:p>
        </w:tc>
        <w:tc>
          <w:tcPr>
            <w:tcW w:w="5045"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Potential difficulties in integrating future acquisitions,</w:t>
            </w:r>
          </w:p>
        </w:tc>
      </w:tr>
    </w:tbl>
    <w:tbl>
      <w:tblPr>
        <w:tblW w:w="7518" w:type="dxa"/>
        <w:jc w:val="left"/>
        <w:tblInd w:w="0" w:type="dxa"/>
        <w:tblLayout w:type="fixed"/>
        <w:tblCellMar>
          <w:top w:w="0" w:type="dxa"/>
          <w:left w:w="0" w:type="dxa"/>
          <w:bottom w:w="0" w:type="dxa"/>
          <w:right w:w="0" w:type="dxa"/>
        </w:tblCellMar>
      </w:tblPr>
      <w:tblGrid>
        <w:gridCol w:w="23"/>
        <w:gridCol w:w="95"/>
        <w:gridCol w:w="7400"/>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120"/>
              <w:jc w:val="both"/>
              <w:rPr>
                <w:rFonts w:ascii="Symbol" w:hAnsi="Symbol"/>
                <w:sz w:val="20"/>
              </w:rPr>
            </w:pPr>
            <w:r>
              <w:rPr>
                <w:rFonts w:ascii="Symbol" w:hAnsi="Symbol"/>
                <w:sz w:val="20"/>
              </w:rPr>
              <w:t>·</w:t>
            </w:r>
          </w:p>
        </w:tc>
        <w:tc>
          <w:tcPr>
            <w:tcW w:w="7400"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Decisions to sell operating assets other than in the ordinary course of business,</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120"/>
              <w:jc w:val="both"/>
              <w:rPr>
                <w:rFonts w:ascii="Symbol" w:hAnsi="Symbol"/>
                <w:sz w:val="20"/>
              </w:rPr>
            </w:pPr>
            <w:r>
              <w:rPr>
                <w:rFonts w:ascii="Symbol" w:hAnsi="Symbol"/>
                <w:sz w:val="20"/>
              </w:rPr>
              <w:t>·</w:t>
            </w:r>
          </w:p>
        </w:tc>
        <w:tc>
          <w:tcPr>
            <w:tcW w:w="10087"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Environmental matters (such as those requiring emission and discharge standards for existing and new facilities),</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120"/>
              <w:jc w:val="both"/>
              <w:rPr>
                <w:rFonts w:ascii="Symbol" w:hAnsi="Symbol"/>
                <w:sz w:val="20"/>
              </w:rPr>
            </w:pPr>
            <w:r>
              <w:rPr>
                <w:rFonts w:ascii="Symbol" w:hAnsi="Symbol"/>
                <w:sz w:val="20"/>
              </w:rPr>
              <w:t>·</w:t>
            </w:r>
          </w:p>
        </w:tc>
        <w:tc>
          <w:tcPr>
            <w:tcW w:w="10087"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The ultimate outcome of income tax audits, tax settlement initiatives or other tax matters, including future tax reform,</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120"/>
              <w:jc w:val="both"/>
              <w:rPr>
                <w:rFonts w:ascii="Symbol" w:hAnsi="Symbol"/>
                <w:sz w:val="20"/>
              </w:rPr>
            </w:pPr>
            <w:r>
              <w:rPr>
                <w:rFonts w:ascii="Symbol" w:hAnsi="Symbol"/>
                <w:sz w:val="20"/>
              </w:rPr>
              <w:t>·</w:t>
            </w:r>
          </w:p>
        </w:tc>
        <w:tc>
          <w:tcPr>
            <w:tcW w:w="10087"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Government laws and regulations and possible changes therein including new environmental, health and safety, sustainability or other regulations,</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120"/>
              <w:jc w:val="both"/>
              <w:rPr>
                <w:rFonts w:ascii="Symbol" w:hAnsi="Symbol"/>
                <w:sz w:val="20"/>
              </w:rPr>
            </w:pPr>
            <w:r>
              <w:rPr>
                <w:rFonts w:ascii="Symbol" w:hAnsi="Symbol"/>
                <w:sz w:val="20"/>
              </w:rPr>
              <w:t>·</w:t>
            </w:r>
          </w:p>
        </w:tc>
        <w:tc>
          <w:tcPr>
            <w:tcW w:w="10087"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General global economic and political conditions that disrupt our supply chain, reduce demand or perceived demand for component products or impair our ability to operate our facilities (including changes in the level of gross domestic product in various regions of the world, natural disasters, terrorist acts, global conflicts and public health crises),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Operating interruptions (including, but not limited to labor disputes, leaks, natural disasters, fires, explosions, unscheduled or unplanned downtime, transportation interruptions, certain regional and world events or economic conditions and public health crises);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Technology related disruptions (including, but not limited to, cyber-attacks; software implementation, upgrades or improvements; technology processing failures; or other events) related to our technology infrastructure that could impact our ability to continue operations, or at key vendors which could impact our supply chain, or at key customers which could impact their operations and cause them to curtail or pause orders; and</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10087"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Possible disruption of our business or increases in the cost of doing business resulting from terrorist activities or global conflicts.</w:t>
            </w:r>
          </w:p>
        </w:tc>
      </w:tr>
    </w:tbl>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Should one or more of these risks materialize or if the consequences worsen, or if the underlying assumptions prove incorrect, actual results could differ materially from those currently forecasted or expected. CompX disclaims any intention or obligation to update or revise any forward-looking statement whether as a result of changes in information, future events or otherwise.</w:t>
      </w:r>
    </w:p>
    <w:p>
      <w:pPr>
        <w:pStyle w:val="TextBody"/>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Investor Relations Contact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Bryan A. Hanley</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Senior Vice President and Treasurer</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Tel. 972-233-1700</w:t>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 * * * *</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COMPX INTERNATIONAL INC.</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SUMMARY OF CONSOLIDATED OPERATIONS</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(In millions, except per share amounts)</w:t>
      </w:r>
    </w:p>
    <w:p>
      <w:pPr>
        <w:pStyle w:val="TextBody"/>
        <w:bidi w:val="0"/>
        <w:spacing w:before="0" w:after="0"/>
        <w:ind w:left="0" w:right="0" w:hanging="0"/>
        <w:jc w:val="center"/>
        <w:rPr/>
      </w:pPr>
      <w:r>
        <w:rPr/>
        <w:t>​</w:t>
      </w:r>
    </w:p>
    <w:tbl>
      <w:tblPr>
        <w:tblW w:w="9701" w:type="dxa"/>
        <w:jc w:val="left"/>
        <w:tblInd w:w="0" w:type="dxa"/>
        <w:tblLayout w:type="fixed"/>
        <w:tblCellMar>
          <w:top w:w="0" w:type="dxa"/>
          <w:left w:w="0" w:type="dxa"/>
          <w:bottom w:w="0" w:type="dxa"/>
          <w:right w:w="0" w:type="dxa"/>
        </w:tblCellMar>
      </w:tblPr>
      <w:tblGrid>
        <w:gridCol w:w="5221"/>
        <w:gridCol w:w="272"/>
        <w:gridCol w:w="634"/>
        <w:gridCol w:w="392"/>
        <w:gridCol w:w="272"/>
        <w:gridCol w:w="634"/>
        <w:gridCol w:w="326"/>
        <w:gridCol w:w="226"/>
        <w:gridCol w:w="526"/>
        <w:gridCol w:w="326"/>
        <w:gridCol w:w="226"/>
        <w:gridCol w:w="646"/>
      </w:tblGrid>
      <w:tr>
        <w:trPr/>
        <w:tc>
          <w:tcPr>
            <w:tcW w:w="5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3315335" cy="175260"/>
                      <wp:effectExtent l="0" t="0" r="0" b="0"/>
                      <wp:wrapNone/>
                      <wp:docPr id="2" name="Frame1"/>
                      <a:graphic xmlns:a="http://schemas.openxmlformats.org/drawingml/2006/main">
                        <a:graphicData uri="http://schemas.microsoft.com/office/word/2010/wordprocessingShape">
                          <wps:wsp>
                            <wps:cNvSpPr txBox="1"/>
                            <wps:spPr>
                              <a:xfrm>
                                <a:off x="0" y="0"/>
                                <a:ext cx="3315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172720" cy="175260"/>
                      <wp:effectExtent l="0" t="0" r="0" b="0"/>
                      <wp:wrapNone/>
                      <wp:docPr id="3" name="Frame2"/>
                      <a:graphic xmlns:a="http://schemas.openxmlformats.org/drawingml/2006/main">
                        <a:graphicData uri="http://schemas.microsoft.com/office/word/2010/wordprocessingShape">
                          <wps:wsp>
                            <wps:cNvSpPr txBox="1"/>
                            <wps:spPr>
                              <a:xfrm>
                                <a:off x="0" y="0"/>
                                <a:ext cx="172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402590" cy="175260"/>
                      <wp:effectExtent l="0" t="0" r="0" b="0"/>
                      <wp:wrapNone/>
                      <wp:docPr id="4" name="Frame3"/>
                      <a:graphic xmlns:a="http://schemas.openxmlformats.org/drawingml/2006/main">
                        <a:graphicData uri="http://schemas.microsoft.com/office/word/2010/wordprocessingShape">
                          <wps:wsp>
                            <wps:cNvSpPr txBox="1"/>
                            <wps:spPr>
                              <a:xfrm>
                                <a:off x="0" y="0"/>
                                <a:ext cx="402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48920" cy="175260"/>
                      <wp:effectExtent l="0" t="0" r="0" b="0"/>
                      <wp:wrapNone/>
                      <wp:docPr id="5" name="Frame4"/>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72720" cy="175260"/>
                      <wp:effectExtent l="0" t="0" r="0" b="0"/>
                      <wp:wrapNone/>
                      <wp:docPr id="6" name="Frame5"/>
                      <a:graphic xmlns:a="http://schemas.openxmlformats.org/drawingml/2006/main">
                        <a:graphicData uri="http://schemas.microsoft.com/office/word/2010/wordprocessingShape">
                          <wps:wsp>
                            <wps:cNvSpPr txBox="1"/>
                            <wps:spPr>
                              <a:xfrm>
                                <a:off x="0" y="0"/>
                                <a:ext cx="172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402590" cy="175260"/>
                      <wp:effectExtent l="0" t="0" r="0" b="0"/>
                      <wp:wrapNone/>
                      <wp:docPr id="7" name="Frame6"/>
                      <a:graphic xmlns:a="http://schemas.openxmlformats.org/drawingml/2006/main">
                        <a:graphicData uri="http://schemas.microsoft.com/office/word/2010/wordprocessingShape">
                          <wps:wsp>
                            <wps:cNvSpPr txBox="1"/>
                            <wps:spPr>
                              <a:xfrm>
                                <a:off x="0" y="0"/>
                                <a:ext cx="402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07010" cy="175260"/>
                      <wp:effectExtent l="0" t="0" r="0" b="0"/>
                      <wp:wrapNone/>
                      <wp:docPr id="8" name="Frame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43510" cy="175260"/>
                      <wp:effectExtent l="0" t="0" r="0" b="0"/>
                      <wp:wrapNone/>
                      <wp:docPr id="9" name="Frame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334010" cy="175260"/>
                      <wp:effectExtent l="0" t="0" r="0" b="0"/>
                      <wp:wrapNone/>
                      <wp:docPr id="10" name="Frame9"/>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07010" cy="175260"/>
                      <wp:effectExtent l="0" t="0" r="0" b="0"/>
                      <wp:wrapNone/>
                      <wp:docPr id="11" name="Frame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43510" cy="175260"/>
                      <wp:effectExtent l="0" t="0" r="0" b="0"/>
                      <wp:wrapNone/>
                      <wp:docPr id="12" name="Frame1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410210" cy="175260"/>
                      <wp:effectExtent l="0" t="0" r="0" b="0"/>
                      <wp:wrapNone/>
                      <wp:docPr id="13" name="Frame12"/>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221" w:type="dxa"/>
            <w:tcBorders/>
            <w:vAlign w:val="center"/>
          </w:tcPr>
          <w:p>
            <w:pPr>
              <w:pStyle w:val="TableContents"/>
              <w:bidi w:val="0"/>
              <w:spacing w:before="0" w:after="0"/>
              <w:ind w:left="0" w:right="0" w:hanging="0"/>
              <w:jc w:val="left"/>
              <w:rPr/>
            </w:pPr>
            <w:r>
              <w:rPr/>
              <w:t>​</w:t>
            </w:r>
          </w:p>
        </w:tc>
        <w:tc>
          <w:tcPr>
            <w:tcW w:w="2204" w:type="dxa"/>
            <w:gridSpan w:val="5"/>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Three months ended</w:t>
            </w:r>
          </w:p>
        </w:tc>
        <w:tc>
          <w:tcPr>
            <w:tcW w:w="326" w:type="dxa"/>
            <w:tcBorders/>
            <w:vAlign w:val="center"/>
          </w:tcPr>
          <w:p>
            <w:pPr>
              <w:pStyle w:val="TableContents"/>
              <w:bidi w:val="0"/>
              <w:spacing w:before="0" w:after="0"/>
              <w:ind w:left="0" w:right="0" w:hanging="0"/>
              <w:jc w:val="left"/>
              <w:rPr/>
            </w:pPr>
            <w:r>
              <w:rPr/>
              <w:t>    </w:t>
            </w:r>
          </w:p>
        </w:tc>
        <w:tc>
          <w:tcPr>
            <w:tcW w:w="1950" w:type="dxa"/>
            <w:gridSpan w:val="5"/>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Six months ended</w:t>
            </w:r>
          </w:p>
        </w:tc>
      </w:tr>
      <w:tr>
        <w:trPr/>
        <w:tc>
          <w:tcPr>
            <w:tcW w:w="5221" w:type="dxa"/>
            <w:tcBorders/>
            <w:vAlign w:val="center"/>
          </w:tcPr>
          <w:p>
            <w:pPr>
              <w:pStyle w:val="TableContents"/>
              <w:bidi w:val="0"/>
              <w:spacing w:before="0" w:after="0"/>
              <w:ind w:left="0" w:right="0" w:hanging="0"/>
              <w:jc w:val="left"/>
              <w:rPr/>
            </w:pPr>
            <w:r>
              <w:rPr/>
              <w:t>​</w:t>
            </w:r>
          </w:p>
        </w:tc>
        <w:tc>
          <w:tcPr>
            <w:tcW w:w="220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June 30,</w:t>
            </w:r>
          </w:p>
        </w:tc>
        <w:tc>
          <w:tcPr>
            <w:tcW w:w="326" w:type="dxa"/>
            <w:tcBorders/>
            <w:vAlign w:val="center"/>
          </w:tcPr>
          <w:p>
            <w:pPr>
              <w:pStyle w:val="TableContents"/>
              <w:bidi w:val="0"/>
              <w:spacing w:before="0" w:after="0"/>
              <w:ind w:left="0" w:right="0" w:hanging="0"/>
              <w:jc w:val="left"/>
              <w:rPr/>
            </w:pPr>
            <w:r>
              <w:rPr/>
              <w:t>​</w:t>
            </w:r>
          </w:p>
        </w:tc>
        <w:tc>
          <w:tcPr>
            <w:tcW w:w="19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June 30,</w:t>
            </w:r>
          </w:p>
        </w:tc>
      </w:tr>
      <w:tr>
        <w:trPr/>
        <w:tc>
          <w:tcPr>
            <w:tcW w:w="5221" w:type="dxa"/>
            <w:tcBorders/>
            <w:vAlign w:val="center"/>
          </w:tcPr>
          <w:p>
            <w:pPr>
              <w:pStyle w:val="TableContents"/>
              <w:bidi w:val="0"/>
              <w:spacing w:before="0" w:after="0"/>
              <w:ind w:left="0" w:right="0" w:hanging="0"/>
              <w:jc w:val="left"/>
              <w:rPr/>
            </w:pPr>
            <w:r>
              <w:rPr/>
              <w:t>​</w:t>
            </w:r>
          </w:p>
        </w:tc>
        <w:tc>
          <w:tcPr>
            <w:tcW w:w="9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2023</w:t>
            </w:r>
          </w:p>
        </w:tc>
        <w:tc>
          <w:tcPr>
            <w:tcW w:w="392" w:type="dxa"/>
            <w:tcBorders/>
            <w:vAlign w:val="center"/>
          </w:tcPr>
          <w:p>
            <w:pPr>
              <w:pStyle w:val="TableContents"/>
              <w:bidi w:val="0"/>
              <w:spacing w:before="0" w:after="0"/>
              <w:ind w:left="0" w:right="0" w:hanging="0"/>
              <w:jc w:val="left"/>
              <w:rPr/>
            </w:pPr>
            <w:r>
              <w:rPr/>
              <w:t>    </w:t>
            </w:r>
          </w:p>
        </w:tc>
        <w:tc>
          <w:tcPr>
            <w:tcW w:w="9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2024</w:t>
            </w:r>
          </w:p>
        </w:tc>
        <w:tc>
          <w:tcPr>
            <w:tcW w:w="326" w:type="dxa"/>
            <w:tcBorders/>
            <w:vAlign w:val="center"/>
          </w:tcPr>
          <w:p>
            <w:pPr>
              <w:pStyle w:val="TableContents"/>
              <w:bidi w:val="0"/>
              <w:spacing w:before="0" w:after="0"/>
              <w:ind w:left="0" w:right="0" w:hanging="0"/>
              <w:jc w:val="left"/>
              <w:rPr/>
            </w:pPr>
            <w:r>
              <w:rPr/>
              <w:t>    </w:t>
            </w:r>
          </w:p>
        </w:tc>
        <w:tc>
          <w:tcPr>
            <w:tcW w:w="7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2023</w:t>
            </w:r>
          </w:p>
        </w:tc>
        <w:tc>
          <w:tcPr>
            <w:tcW w:w="326" w:type="dxa"/>
            <w:tcBorders/>
            <w:vAlign w:val="center"/>
          </w:tcPr>
          <w:p>
            <w:pPr>
              <w:pStyle w:val="TableContents"/>
              <w:bidi w:val="0"/>
              <w:spacing w:before="0" w:after="0"/>
              <w:ind w:left="0" w:right="0" w:hanging="0"/>
              <w:jc w:val="left"/>
              <w:rPr/>
            </w:pPr>
            <w:r>
              <w:rPr/>
              <w:t>    </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2024</w:t>
            </w:r>
          </w:p>
        </w:tc>
      </w:tr>
      <w:tr>
        <w:trPr/>
        <w:tc>
          <w:tcPr>
            <w:tcW w:w="9701"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5221" w:type="dxa"/>
            <w:tcBorders/>
            <w:vAlign w:val="center"/>
          </w:tcPr>
          <w:p>
            <w:pPr>
              <w:pStyle w:val="TableContents"/>
              <w:bidi w:val="0"/>
              <w:spacing w:before="0" w:after="0"/>
              <w:ind w:left="0" w:right="0" w:hanging="0"/>
              <w:jc w:val="left"/>
              <w:rPr/>
            </w:pPr>
            <w:r>
              <w:rPr/>
              <w:t>​</w:t>
            </w:r>
          </w:p>
        </w:tc>
        <w:tc>
          <w:tcPr>
            <w:tcW w:w="4480" w:type="dxa"/>
            <w:gridSpan w:val="11"/>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(unaudited)</w:t>
            </w:r>
          </w:p>
        </w:tc>
      </w:tr>
      <w:tr>
        <w:trPr/>
        <w:tc>
          <w:tcPr>
            <w:tcW w:w="5221" w:type="dxa"/>
            <w:tcBorders/>
            <w:shd w:fill="CCEEFF" w:val="cle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Net sales</w:t>
            </w:r>
          </w:p>
        </w:tc>
        <w:tc>
          <w:tcPr>
            <w:tcW w:w="272" w:type="dxa"/>
            <w:tcBorders/>
            <w:shd w:fill="CCEEFF" w:val="cle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w:t>
            </w:r>
          </w:p>
        </w:tc>
        <w:tc>
          <w:tcPr>
            <w:tcW w:w="634" w:type="dxa"/>
            <w:tcBorders/>
            <w:shd w:fill="CCEEFF" w:val="cle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36.6</w:t>
            </w:r>
          </w:p>
        </w:tc>
        <w:tc>
          <w:tcPr>
            <w:tcW w:w="392"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w:t>
            </w:r>
          </w:p>
        </w:tc>
        <w:tc>
          <w:tcPr>
            <w:tcW w:w="634" w:type="dxa"/>
            <w:tcBorders/>
            <w:shd w:fill="CCEEFF" w:val="cle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35.9</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77.8</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73.9</w:t>
            </w:r>
          </w:p>
        </w:tc>
      </w:tr>
      <w:tr>
        <w:trPr/>
        <w:tc>
          <w:tcPr>
            <w:tcW w:w="522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Cost of sales</w:t>
            </w:r>
          </w:p>
        </w:tc>
        <w:tc>
          <w:tcPr>
            <w:tcW w:w="27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26.3</w:t>
            </w:r>
          </w:p>
        </w:tc>
        <w:tc>
          <w:tcPr>
            <w:tcW w:w="392" w:type="dxa"/>
            <w:tcBorders/>
            <w:vAlign w:val="center"/>
          </w:tcPr>
          <w:p>
            <w:pPr>
              <w:pStyle w:val="TableContents"/>
              <w:bidi w:val="0"/>
              <w:spacing w:before="0" w:after="0"/>
              <w:ind w:left="0" w:right="0" w:hanging="0"/>
              <w:jc w:val="left"/>
              <w:rPr/>
            </w:pPr>
            <w:r>
              <w:rPr/>
              <w:t>​</w:t>
            </w:r>
          </w:p>
        </w:tc>
        <w:tc>
          <w:tcPr>
            <w:tcW w:w="27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24.8</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54.8</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53.1</w:t>
            </w:r>
          </w:p>
        </w:tc>
      </w:tr>
      <w:tr>
        <w:trPr/>
        <w:tc>
          <w:tcPr>
            <w:tcW w:w="5221" w:type="dxa"/>
            <w:tcBorders/>
            <w:shd w:fill="CCEEFF" w:val="cle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Gross margin</w:t>
            </w:r>
          </w:p>
        </w:tc>
        <w:tc>
          <w:tcPr>
            <w:tcW w:w="272" w:type="dxa"/>
            <w:tcBorders/>
            <w:shd w:fill="CCEEFF" w:val="clear"/>
            <w:vAlign w:val="center"/>
          </w:tcPr>
          <w:p>
            <w:pPr>
              <w:pStyle w:val="TableContents"/>
              <w:bidi w:val="0"/>
              <w:spacing w:before="0" w:after="0"/>
              <w:ind w:left="0" w:right="0" w:hanging="0"/>
              <w:jc w:val="left"/>
              <w:rPr/>
            </w:pPr>
            <w:r>
              <w:rPr/>
              <w:t> </w:t>
            </w:r>
          </w:p>
        </w:tc>
        <w:tc>
          <w:tcPr>
            <w:tcW w:w="634" w:type="dxa"/>
            <w:tcBorders/>
            <w:shd w:fill="CCEEFF" w:val="cle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10.3</w:t>
            </w:r>
          </w:p>
        </w:tc>
        <w:tc>
          <w:tcPr>
            <w:tcW w:w="392"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 </w:t>
            </w:r>
          </w:p>
        </w:tc>
        <w:tc>
          <w:tcPr>
            <w:tcW w:w="634" w:type="dxa"/>
            <w:tcBorders/>
            <w:shd w:fill="CCEEFF" w:val="cle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11.1</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23.0</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20.8</w:t>
            </w:r>
          </w:p>
        </w:tc>
      </w:tr>
      <w:tr>
        <w:trPr/>
        <w:tc>
          <w:tcPr>
            <w:tcW w:w="522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Selling, general and administrative expense</w:t>
            </w:r>
          </w:p>
        </w:tc>
        <w:tc>
          <w:tcPr>
            <w:tcW w:w="27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5.9</w:t>
            </w:r>
          </w:p>
        </w:tc>
        <w:tc>
          <w:tcPr>
            <w:tcW w:w="392" w:type="dxa"/>
            <w:tcBorders/>
            <w:vAlign w:val="center"/>
          </w:tcPr>
          <w:p>
            <w:pPr>
              <w:pStyle w:val="TableContents"/>
              <w:bidi w:val="0"/>
              <w:spacing w:before="0" w:after="0"/>
              <w:ind w:left="0" w:right="0" w:hanging="0"/>
              <w:jc w:val="left"/>
              <w:rPr/>
            </w:pPr>
            <w:r>
              <w:rPr/>
              <w:t>​</w:t>
            </w:r>
          </w:p>
        </w:tc>
        <w:tc>
          <w:tcPr>
            <w:tcW w:w="27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6.0</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11.6</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12.0</w:t>
            </w:r>
          </w:p>
        </w:tc>
      </w:tr>
      <w:tr>
        <w:trPr/>
        <w:tc>
          <w:tcPr>
            <w:tcW w:w="5221" w:type="dxa"/>
            <w:tcBorders/>
            <w:shd w:fill="CCEEFF" w:val="cle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Operating income</w:t>
            </w:r>
          </w:p>
        </w:tc>
        <w:tc>
          <w:tcPr>
            <w:tcW w:w="272" w:type="dxa"/>
            <w:tcBorders/>
            <w:shd w:fill="CCEEFF" w:val="clear"/>
            <w:vAlign w:val="center"/>
          </w:tcPr>
          <w:p>
            <w:pPr>
              <w:pStyle w:val="TableContents"/>
              <w:bidi w:val="0"/>
              <w:spacing w:before="0" w:after="0"/>
              <w:ind w:left="0" w:right="0" w:hanging="0"/>
              <w:jc w:val="left"/>
              <w:rPr/>
            </w:pPr>
            <w:r>
              <w:rPr/>
              <w:t> </w:t>
            </w:r>
          </w:p>
        </w:tc>
        <w:tc>
          <w:tcPr>
            <w:tcW w:w="634" w:type="dxa"/>
            <w:tcBorders/>
            <w:shd w:fill="CCEEFF" w:val="cle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4.4</w:t>
            </w:r>
          </w:p>
        </w:tc>
        <w:tc>
          <w:tcPr>
            <w:tcW w:w="392"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 </w:t>
            </w:r>
          </w:p>
        </w:tc>
        <w:tc>
          <w:tcPr>
            <w:tcW w:w="634" w:type="dxa"/>
            <w:tcBorders/>
            <w:shd w:fill="CCEEFF" w:val="cle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5.1</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11.4</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8.8</w:t>
            </w:r>
          </w:p>
        </w:tc>
      </w:tr>
      <w:tr>
        <w:trPr/>
        <w:tc>
          <w:tcPr>
            <w:tcW w:w="522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Interest income</w:t>
            </w:r>
          </w:p>
        </w:tc>
        <w:tc>
          <w:tcPr>
            <w:tcW w:w="27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.9</w:t>
            </w:r>
          </w:p>
        </w:tc>
        <w:tc>
          <w:tcPr>
            <w:tcW w:w="392" w:type="dxa"/>
            <w:tcBorders/>
            <w:vAlign w:val="center"/>
          </w:tcPr>
          <w:p>
            <w:pPr>
              <w:pStyle w:val="TableContents"/>
              <w:bidi w:val="0"/>
              <w:spacing w:before="0" w:after="0"/>
              <w:ind w:left="0" w:right="0" w:hanging="0"/>
              <w:jc w:val="left"/>
              <w:rPr/>
            </w:pPr>
            <w:r>
              <w:rPr/>
              <w:t>​</w:t>
            </w:r>
          </w:p>
        </w:tc>
        <w:tc>
          <w:tcPr>
            <w:tcW w:w="27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1.3</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1.9</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2.5</w:t>
            </w:r>
          </w:p>
        </w:tc>
      </w:tr>
      <w:tr>
        <w:trPr/>
        <w:tc>
          <w:tcPr>
            <w:tcW w:w="5221" w:type="dxa"/>
            <w:tcBorders/>
            <w:shd w:fill="CCEEFF" w:val="cle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Income before taxes</w:t>
            </w:r>
          </w:p>
        </w:tc>
        <w:tc>
          <w:tcPr>
            <w:tcW w:w="272" w:type="dxa"/>
            <w:tcBorders/>
            <w:shd w:fill="CCEEFF" w:val="clear"/>
            <w:vAlign w:val="center"/>
          </w:tcPr>
          <w:p>
            <w:pPr>
              <w:pStyle w:val="TableContents"/>
              <w:bidi w:val="0"/>
              <w:spacing w:before="0" w:after="0"/>
              <w:ind w:left="0" w:right="0" w:hanging="0"/>
              <w:jc w:val="left"/>
              <w:rPr/>
            </w:pPr>
            <w:r>
              <w:rPr/>
              <w:t> </w:t>
            </w:r>
          </w:p>
        </w:tc>
        <w:tc>
          <w:tcPr>
            <w:tcW w:w="634" w:type="dxa"/>
            <w:tcBorders/>
            <w:shd w:fill="CCEEFF" w:val="cle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5.3</w:t>
            </w:r>
          </w:p>
        </w:tc>
        <w:tc>
          <w:tcPr>
            <w:tcW w:w="392"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 </w:t>
            </w:r>
          </w:p>
        </w:tc>
        <w:tc>
          <w:tcPr>
            <w:tcW w:w="634" w:type="dxa"/>
            <w:tcBorders/>
            <w:shd w:fill="CCEEFF" w:val="cle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6.4</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13.3</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11.3</w:t>
            </w:r>
          </w:p>
        </w:tc>
      </w:tr>
      <w:tr>
        <w:trPr/>
        <w:tc>
          <w:tcPr>
            <w:tcW w:w="522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Provision for income taxes</w:t>
            </w:r>
          </w:p>
        </w:tc>
        <w:tc>
          <w:tcPr>
            <w:tcW w:w="27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1.3</w:t>
            </w:r>
          </w:p>
        </w:tc>
        <w:tc>
          <w:tcPr>
            <w:tcW w:w="392" w:type="dxa"/>
            <w:tcBorders/>
            <w:vAlign w:val="center"/>
          </w:tcPr>
          <w:p>
            <w:pPr>
              <w:pStyle w:val="TableContents"/>
              <w:bidi w:val="0"/>
              <w:spacing w:before="0" w:after="0"/>
              <w:ind w:left="0" w:right="0" w:hanging="0"/>
              <w:jc w:val="left"/>
              <w:rPr/>
            </w:pPr>
            <w:r>
              <w:rPr/>
              <w:t>​</w:t>
            </w:r>
          </w:p>
        </w:tc>
        <w:tc>
          <w:tcPr>
            <w:tcW w:w="27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1.5</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3.2</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2.7</w:t>
            </w:r>
          </w:p>
        </w:tc>
      </w:tr>
      <w:tr>
        <w:trPr/>
        <w:tc>
          <w:tcPr>
            <w:tcW w:w="5221" w:type="dxa"/>
            <w:tcBorders/>
            <w:shd w:fill="CCEEFF" w:val="cle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Net income</w:t>
            </w:r>
          </w:p>
        </w:tc>
        <w:tc>
          <w:tcPr>
            <w:tcW w:w="27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w:t>
            </w:r>
          </w:p>
        </w:tc>
        <w:tc>
          <w:tcPr>
            <w:tcW w:w="63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4.0</w:t>
            </w:r>
          </w:p>
        </w:tc>
        <w:tc>
          <w:tcPr>
            <w:tcW w:w="392" w:type="dxa"/>
            <w:tcBorders/>
            <w:shd w:fill="CCEEFF" w:val="clear"/>
            <w:vAlign w:val="center"/>
          </w:tcPr>
          <w:p>
            <w:pPr>
              <w:pStyle w:val="TableContents"/>
              <w:bidi w:val="0"/>
              <w:spacing w:before="0" w:after="0"/>
              <w:ind w:left="0" w:right="0" w:hanging="0"/>
              <w:jc w:val="left"/>
              <w:rPr/>
            </w:pPr>
            <w:r>
              <w:rPr/>
              <w:t>​</w:t>
            </w:r>
          </w:p>
        </w:tc>
        <w:tc>
          <w:tcPr>
            <w:tcW w:w="27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w:t>
            </w:r>
          </w:p>
        </w:tc>
        <w:tc>
          <w:tcPr>
            <w:tcW w:w="63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4.9</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w:t>
            </w:r>
          </w:p>
        </w:tc>
        <w:tc>
          <w:tcPr>
            <w:tcW w:w="5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10.1</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w:t>
            </w:r>
          </w:p>
        </w:tc>
        <w:tc>
          <w:tcPr>
            <w:tcW w:w="6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8.6</w:t>
            </w:r>
          </w:p>
        </w:tc>
      </w:tr>
      <w:tr>
        <w:trPr/>
        <w:tc>
          <w:tcPr>
            <w:tcW w:w="5221"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w:t>
            </w:r>
          </w:p>
        </w:tc>
        <w:tc>
          <w:tcPr>
            <w:tcW w:w="634" w:type="dxa"/>
            <w:tcBorders/>
            <w:vAlign w:val="center"/>
          </w:tcPr>
          <w:p>
            <w:pPr>
              <w:pStyle w:val="TableContents"/>
              <w:bidi w:val="0"/>
              <w:spacing w:before="0" w:after="0"/>
              <w:ind w:left="0" w:right="0" w:hanging="0"/>
              <w:jc w:val="right"/>
              <w:rPr/>
            </w:pPr>
            <w:r>
              <w:rPr/>
              <w:t>​</w:t>
            </w:r>
          </w:p>
        </w:tc>
        <w:tc>
          <w:tcPr>
            <w:tcW w:w="392"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w:t>
            </w:r>
          </w:p>
        </w:tc>
        <w:tc>
          <w:tcPr>
            <w:tcW w:w="63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pPr>
            <w:r>
              <w:rPr/>
              <w:t>​</w:t>
            </w:r>
          </w:p>
        </w:tc>
      </w:tr>
      <w:tr>
        <w:trPr/>
        <w:tc>
          <w:tcPr>
            <w:tcW w:w="5221" w:type="dxa"/>
            <w:tcBorders/>
            <w:shd w:fill="CCEEFF" w:val="cle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Basic and diluted net income per common share</w:t>
            </w:r>
          </w:p>
        </w:tc>
        <w:tc>
          <w:tcPr>
            <w:tcW w:w="27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w:t>
            </w:r>
          </w:p>
        </w:tc>
        <w:tc>
          <w:tcPr>
            <w:tcW w:w="63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.33</w:t>
            </w:r>
          </w:p>
        </w:tc>
        <w:tc>
          <w:tcPr>
            <w:tcW w:w="392" w:type="dxa"/>
            <w:tcBorders/>
            <w:shd w:fill="CCEEFF" w:val="clear"/>
            <w:vAlign w:val="center"/>
          </w:tcPr>
          <w:p>
            <w:pPr>
              <w:pStyle w:val="TableContents"/>
              <w:bidi w:val="0"/>
              <w:spacing w:before="0" w:after="0"/>
              <w:ind w:left="0" w:right="0" w:hanging="0"/>
              <w:jc w:val="left"/>
              <w:rPr/>
            </w:pPr>
            <w:r>
              <w:rPr/>
              <w:t>​</w:t>
            </w:r>
          </w:p>
        </w:tc>
        <w:tc>
          <w:tcPr>
            <w:tcW w:w="27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w:t>
            </w:r>
          </w:p>
        </w:tc>
        <w:tc>
          <w:tcPr>
            <w:tcW w:w="63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.39</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w:t>
            </w:r>
          </w:p>
        </w:tc>
        <w:tc>
          <w:tcPr>
            <w:tcW w:w="5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.82</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w:t>
            </w:r>
          </w:p>
        </w:tc>
        <w:tc>
          <w:tcPr>
            <w:tcW w:w="6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.70</w:t>
            </w:r>
          </w:p>
        </w:tc>
      </w:tr>
      <w:tr>
        <w:trPr/>
        <w:tc>
          <w:tcPr>
            <w:tcW w:w="5221" w:type="dxa"/>
            <w:tcBorders/>
            <w:vAlign w:val="center"/>
          </w:tcPr>
          <w:p>
            <w:pPr>
              <w:pStyle w:val="TableContents"/>
              <w:pBdr/>
              <w:bidi w:val="0"/>
              <w:spacing w:before="0" w:after="0"/>
              <w:ind w:left="0" w:right="0" w:hanging="0"/>
              <w:jc w:val="left"/>
              <w:rPr>
                <w:rFonts w:ascii="Times New Roman;Times;serif" w:hAnsi="Times New Roman;Times;serif"/>
                <w:sz w:val="24"/>
              </w:rPr>
            </w:pPr>
            <w:r>
              <w:rPr>
                <w:rFonts w:ascii="Times New Roman;Times;serif" w:hAnsi="Times New Roman;Times;serif"/>
                <w:sz w:val="24"/>
              </w:rPr>
              <w:t>Weighted average diluted common shares outstanding</w:t>
            </w:r>
          </w:p>
        </w:tc>
        <w:tc>
          <w:tcPr>
            <w:tcW w:w="272"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63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12.3</w:t>
            </w:r>
          </w:p>
        </w:tc>
        <w:tc>
          <w:tcPr>
            <w:tcW w:w="392" w:type="dxa"/>
            <w:tcBorders/>
            <w:vAlign w:val="center"/>
          </w:tcPr>
          <w:p>
            <w:pPr>
              <w:pStyle w:val="TableContents"/>
              <w:bidi w:val="0"/>
              <w:spacing w:before="0" w:after="0"/>
              <w:ind w:left="0" w:right="0" w:hanging="0"/>
              <w:jc w:val="left"/>
              <w:rPr/>
            </w:pPr>
            <w:r>
              <w:rPr/>
              <w:t>​</w:t>
            </w:r>
          </w:p>
        </w:tc>
        <w:tc>
          <w:tcPr>
            <w:tcW w:w="272"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63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12.3</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5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12.3</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bottom w:w="28" w:type="dxa"/>
            </w:tcMar>
            <w:vAlign w:val="center"/>
          </w:tcPr>
          <w:p>
            <w:pPr>
              <w:pStyle w:val="TableContents"/>
              <w:bidi w:val="0"/>
              <w:spacing w:before="0" w:after="0"/>
              <w:ind w:left="0" w:right="75" w:hanging="0"/>
              <w:jc w:val="right"/>
              <w:rPr>
                <w:rFonts w:ascii="Times New Roman;Times;serif" w:hAnsi="Times New Roman;Times;serif"/>
                <w:b/>
                <w:sz w:val="24"/>
              </w:rPr>
            </w:pPr>
            <w:r>
              <w:rPr>
                <w:rFonts w:ascii="Times New Roman;Times;serif" w:hAnsi="Times New Roman;Times;serif"/>
                <w:b/>
                <w:sz w:val="24"/>
              </w:rPr>
              <w:t>12.3</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-4-</w:t>
      </w:r>
    </w:p>
    <w:p>
      <w:pPr>
        <w:pStyle w:val="HorizontalLine"/>
        <w:pBdr>
          <w:bottom w:val="double" w:sz="2" w:space="0" w:color="808080"/>
        </w:pBdr>
        <w:bidi w:val="0"/>
        <w:spacing w:before="0" w:after="283"/>
        <w:jc w:val="left"/>
        <w:rPr/>
      </w:pPr>
      <w:r>
        <w:rPr/>
      </w:r>
    </w:p>
    <w:p>
      <w:pPr>
        <w:pStyle w:val="TextBody"/>
        <w:bidi w:val="0"/>
        <w:spacing w:before="0" w:after="0"/>
        <w:ind w:left="6750" w:right="0" w:hanging="0"/>
        <w:jc w:val="right"/>
        <w:rPr/>
      </w:pPr>
      <w:bookmarkStart w:id="48" w:name="cix-20240806xex99d2.htm"/>
      <w:bookmarkStart w:id="49" w:name="kscix20240806xex99d2"/>
      <w:bookmarkEnd w:id="48"/>
      <w:bookmarkEnd w:id="49"/>
      <w:r>
        <w:rPr/>
        <w:t>​</w:t>
      </w:r>
      <w:r>
        <w:br w:type="page"/>
      </w:r>
    </w:p>
    <w:p>
      <w:pPr>
        <w:pStyle w:val="TextBody"/>
        <w:bidi w:val="0"/>
        <w:spacing w:before="0" w:after="0"/>
        <w:ind w:left="0" w:right="0" w:hanging="0"/>
        <w:jc w:val="both"/>
        <w:rPr>
          <w:spacing w:val="-2"/>
        </w:rPr>
      </w:pPr>
      <w:r>
        <w:rPr>
          <w:spacing w:val="-2"/>
        </w:rPr>
        <w:t>​</w:t>
      </w:r>
    </w:p>
    <w:tbl>
      <w:tblPr>
        <w:tblW w:w="7606" w:type="dxa"/>
        <w:jc w:val="left"/>
        <w:tblInd w:w="0" w:type="dxa"/>
        <w:tblLayout w:type="fixed"/>
        <w:tblCellMar>
          <w:top w:w="0" w:type="dxa"/>
          <w:left w:w="0" w:type="dxa"/>
          <w:bottom w:w="0" w:type="dxa"/>
          <w:right w:w="0" w:type="dxa"/>
        </w:tblCellMar>
      </w:tblPr>
      <w:tblGrid>
        <w:gridCol w:w="7606"/>
      </w:tblGrid>
      <w:tr>
        <w:trPr/>
        <w:tc>
          <w:tcPr>
            <w:tcW w:w="7606" w:type="dxa"/>
            <w:tcBorders/>
            <w:vAlign w:val="center"/>
          </w:tcPr>
          <w:p>
            <w:pPr>
              <w:pStyle w:val="TableContents"/>
              <w:bidi w:val="0"/>
              <w:spacing w:before="0" w:after="0"/>
              <w:ind w:left="0" w:right="0" w:hanging="0"/>
              <w:jc w:val="both"/>
              <w:rPr/>
            </w:pPr>
            <w:r>
              <w:rPr/>
              <w:t>                                                                                                                            ​</w:t>
            </w:r>
          </w:p>
        </w:tc>
      </w:tr>
      <w:tr>
        <w:trPr/>
        <w:tc>
          <w:tcPr>
            <w:tcW w:w="7606" w:type="dxa"/>
            <w:tcBorders/>
            <w:vAlign w:val="center"/>
          </w:tcPr>
          <w:p>
            <w:pPr>
              <w:pStyle w:val="TableContents"/>
              <w:bidi w:val="0"/>
              <w:spacing w:before="0" w:after="0"/>
              <w:ind w:left="0" w:right="0" w:hanging="0"/>
              <w:jc w:val="both"/>
              <w:rPr/>
            </w:pPr>
            <w:r>
              <w:rPr/>
              <w:t>​</w:t>
            </w:r>
          </w:p>
        </w:tc>
      </w:tr>
      <w:tr>
        <w:trPr/>
        <w:tc>
          <w:tcPr>
            <w:tcW w:w="7606" w:type="dxa"/>
            <w:tcBorders/>
            <w:vAlign w:val="center"/>
          </w:tcPr>
          <w:p>
            <w:pPr>
              <w:pStyle w:val="TableContents"/>
              <w:bidi w:val="0"/>
              <w:spacing w:before="0" w:after="0"/>
              <w:ind w:left="0" w:right="0" w:hanging="0"/>
              <w:jc w:val="center"/>
              <w:rPr/>
            </w:pPr>
            <w:r>
              <w:rPr/>
              <w:drawing>
                <wp:inline distT="0" distB="0" distL="0" distR="0">
                  <wp:extent cx="2713990" cy="904875"/>
                  <wp:effectExtent l="0" t="0" r="0" b="0"/>
                  <wp:docPr id="1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2" descr=""/>
                          <pic:cNvPicPr>
                            <a:picLocks noChangeAspect="1" noChangeArrowheads="1"/>
                          </pic:cNvPicPr>
                        </pic:nvPicPr>
                        <pic:blipFill>
                          <a:blip r:embed="rId3"/>
                          <a:stretch>
                            <a:fillRect/>
                          </a:stretch>
                        </pic:blipFill>
                        <pic:spPr bwMode="auto">
                          <a:xfrm>
                            <a:off x="0" y="0"/>
                            <a:ext cx="2713990" cy="904875"/>
                          </a:xfrm>
                          <a:prstGeom prst="rect">
                            <a:avLst/>
                          </a:prstGeom>
                        </pic:spPr>
                      </pic:pic>
                    </a:graphicData>
                  </a:graphic>
                </wp:inline>
              </w:drawing>
            </w:r>
          </w:p>
        </w:tc>
      </w:tr>
    </w:tbl>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center"/>
        <w:rPr>
          <w:rFonts w:ascii="Times New Roman;Times;serif" w:hAnsi="Times New Roman;Times;serif"/>
          <w:b/>
          <w:spacing w:val="-2"/>
          <w:sz w:val="24"/>
        </w:rPr>
      </w:pPr>
      <w:r>
        <w:rPr>
          <w:rFonts w:ascii="Times New Roman;Times;serif" w:hAnsi="Times New Roman;Times;serif"/>
          <w:b/>
          <w:spacing w:val="-2"/>
          <w:sz w:val="24"/>
        </w:rPr>
        <w:t>COMPX ANNOUNCES A SPECIAL DIVIDEND OF $2.00 PER SHARE</w:t>
      </w:r>
    </w:p>
    <w:p>
      <w:pPr>
        <w:pStyle w:val="TextBody"/>
        <w:bidi w:val="0"/>
        <w:spacing w:before="0" w:after="0"/>
        <w:ind w:left="0" w:right="0" w:hanging="0"/>
        <w:jc w:val="center"/>
        <w:rPr>
          <w:rFonts w:ascii="Times New Roman;Times;serif" w:hAnsi="Times New Roman;Times;serif"/>
          <w:b/>
          <w:spacing w:val="-2"/>
          <w:sz w:val="24"/>
        </w:rPr>
      </w:pPr>
      <w:r>
        <w:rPr>
          <w:rFonts w:ascii="Times New Roman;Times;serif" w:hAnsi="Times New Roman;Times;serif"/>
          <w:b/>
          <w:spacing w:val="-2"/>
          <w:sz w:val="24"/>
        </w:rPr>
        <w:t>PAYABLE IN AUGUST 2024, AND DECLARES REGULAR QUARTERLY DIVIDEND</w:t>
      </w:r>
    </w:p>
    <w:p>
      <w:pPr>
        <w:pStyle w:val="TextBody"/>
        <w:bidi w:val="0"/>
        <w:spacing w:before="0" w:after="0"/>
        <w:ind w:left="0" w:right="0" w:hanging="0"/>
        <w:jc w:val="center"/>
        <w:rPr>
          <w:spacing w:val="-2"/>
        </w:rPr>
      </w:pPr>
      <w:r>
        <w:rPr>
          <w:spacing w:val="-2"/>
        </w:rPr>
        <w:t>​</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4"/>
        </w:rPr>
        <w:t>DALLAS, TEXAS . . . August 6, 2024 . . . CompX International Inc. (NYSE American:  CIX) announced today that its board of directors has declared a special cash dividend of two dollars ($2.00) per share and a regular quarterly dividend of thirty cents ($0.30) per share, in each case on its class A common stock. The special cash dividend is payable on August 28, 2024 to stockholders of record at the close of business on August 19, 2024.  The regular quarterly dividend of $0.30 per share is payable on September 17, 2024 to stockholders of record at the close of business on September 6, 2024.</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4"/>
        </w:rPr>
        <w:t>CompX is committed to balancing investment in the growth of its business with stockholder distributions. CompX’s strategy focused on generating consistent healthy cash flow through all cycles along with its strong balance sheet and disciplined approach to capital investment has provided this opportunity to return additional cash to our stockholders in 2024 while maintaining financial strength and flexibility to continue to invest in our business over the long term.</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4"/>
        </w:rPr>
        <w:t>CompX is a leading manufacturer of security products and recreational marine components.</w:t>
      </w:r>
    </w:p>
    <w:p>
      <w:pPr>
        <w:pStyle w:val="TextBody"/>
        <w:bidi w:val="0"/>
        <w:spacing w:before="0" w:after="0"/>
        <w:ind w:left="0" w:right="0" w:firstLine="720"/>
        <w:jc w:val="both"/>
        <w:rPr/>
      </w:pPr>
      <w:r>
        <w:rPr/>
        <w:t>​</w:t>
      </w:r>
    </w:p>
    <w:p>
      <w:pPr>
        <w:pStyle w:val="TextBody"/>
        <w:bidi w:val="0"/>
        <w:spacing w:before="0" w:after="0"/>
        <w:ind w:left="0" w:right="0" w:firstLine="720"/>
        <w:jc w:val="both"/>
        <w:rPr/>
      </w:pPr>
      <w:r>
        <w:rPr/>
        <w:t>​</w:t>
      </w:r>
    </w:p>
    <w:p>
      <w:pPr>
        <w:pStyle w:val="TextBody"/>
        <w:bidi w:val="0"/>
        <w:spacing w:before="0" w:after="0"/>
        <w:ind w:left="0" w:right="0" w:hanging="0"/>
        <w:jc w:val="center"/>
        <w:rPr>
          <w:rFonts w:ascii="Times New Roman;Times;serif" w:hAnsi="Times New Roman;Times;serif"/>
          <w:spacing w:val="-2"/>
          <w:sz w:val="24"/>
        </w:rPr>
      </w:pPr>
      <w:r>
        <w:rPr>
          <w:rFonts w:ascii="Times New Roman;Times;serif" w:hAnsi="Times New Roman;Times;serif"/>
          <w:spacing w:val="-2"/>
          <w:sz w:val="24"/>
        </w:rPr>
        <w:t>* * * *</w:t>
      </w:r>
    </w:p>
    <w:p>
      <w:pPr>
        <w:pStyle w:val="TextBody"/>
        <w:bidi w:val="0"/>
        <w:spacing w:before="0" w:after="0"/>
        <w:ind w:left="0" w:right="0" w:hanging="0"/>
        <w:jc w:val="center"/>
        <w:rPr>
          <w:spacing w:val="-2"/>
        </w:rPr>
      </w:pPr>
      <w:r>
        <w:rPr>
          <w:spacing w:val="-2"/>
        </w:rPr>
        <w:t>​</w:t>
      </w:r>
    </w:p>
    <w:p>
      <w:pPr>
        <w:pStyle w:val="TextBody"/>
        <w:bidi w:val="0"/>
        <w:spacing w:before="0" w:after="0"/>
        <w:ind w:left="0" w:right="0" w:hanging="0"/>
        <w:jc w:val="both"/>
        <w:rPr>
          <w:rFonts w:ascii="Times New Roman;Times;serif" w:hAnsi="Times New Roman;Times;serif"/>
          <w:b/>
          <w:sz w:val="24"/>
        </w:rPr>
      </w:pPr>
      <w:r>
        <w:rPr>
          <w:rFonts w:ascii="Times New Roman;Times;serif" w:hAnsi="Times New Roman;Times;serif"/>
          <w:b/>
          <w:sz w:val="24"/>
        </w:rPr>
        <w:t>Investor Relations Contact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Bryan A. Hanley</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Senior Vice President and Treasurer</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Tel. 972-233-1700</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1889</Words>
  <Characters>10233</Characters>
  <CharactersWithSpaces>12288</CharactersWithSpaces>
  <Paragraphs>455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