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70485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83820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24" w:lineRule="exact"/>
        <w:rPr>
          <w:sz w:val="24"/>
          <w:szCs w:val="24"/>
          <w:color w:val="auto"/>
        </w:rPr>
      </w:pPr>
    </w:p>
    <w:p>
      <w:pPr>
        <w:ind w:left="4300" w:right="3280" w:hanging="1017"/>
        <w:spacing w:after="0" w:line="266" w:lineRule="auto"/>
        <w:tabs>
          <w:tab w:leader="none" w:pos="347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ind w:left="43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2019</w:t>
      </w:r>
    </w:p>
    <w:p>
      <w:pPr>
        <w:spacing w:after="0" w:line="133" w:lineRule="exact"/>
        <w:rPr>
          <w:rFonts w:ascii="MS PGothic" w:cs="MS PGothic" w:eastAsia="MS PGothic" w:hAnsi="MS PGothic"/>
          <w:sz w:val="16"/>
          <w:szCs w:val="16"/>
          <w:color w:val="auto"/>
        </w:rPr>
      </w:pPr>
    </w:p>
    <w:p>
      <w:pPr>
        <w:ind w:left="4120" w:right="3320" w:hanging="801"/>
        <w:spacing w:after="0" w:line="266" w:lineRule="auto"/>
        <w:tabs>
          <w:tab w:leader="none" w:pos="3498"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1" w:lineRule="exact"/>
        <w:rPr>
          <w:rFonts w:ascii="MS PGothic" w:cs="MS PGothic" w:eastAsia="MS PGothic" w:hAnsi="MS PGothic"/>
          <w:sz w:val="16"/>
          <w:szCs w:val="16"/>
          <w:color w:val="auto"/>
        </w:rPr>
      </w:pPr>
    </w:p>
    <w:p>
      <w:pPr>
        <w:ind w:left="42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transition period from ___ to ____</w:t>
      </w:r>
    </w:p>
    <w:p>
      <w:pPr>
        <w:spacing w:after="0" w:line="69" w:lineRule="exact"/>
        <w:rPr>
          <w:rFonts w:ascii="MS PGothic" w:cs="MS PGothic" w:eastAsia="MS PGothic" w:hAnsi="MS PGothic"/>
          <w:sz w:val="16"/>
          <w:szCs w:val="16"/>
          <w:color w:val="auto"/>
        </w:rPr>
      </w:pPr>
    </w:p>
    <w:p>
      <w:pPr>
        <w:ind w:left="47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Commission file number 1-13905</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-215265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56515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3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w w:val="93"/>
              </w:rPr>
              <w:t>57-0981653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tcPr>
          <w:p>
            <w:pPr>
              <w:jc w:val="center"/>
              <w:ind w:left="948"/>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tcPr>
          <w:p>
            <w:pPr>
              <w:jc w:val="center"/>
              <w:ind w:right="1068"/>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incorporation or organization)</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56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5430 LBJ Freeway, Suite 1700,</w:t>
            </w: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Three Lincoln Centre, Dallas, Texas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3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w w:val="93"/>
              </w:rPr>
              <w:t>75240-2620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w w:val="93"/>
              </w:rPr>
              <w:t>(972) 448-1400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40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center"/>
              <w:ind w:right="168"/>
              <w:spacing w:after="0"/>
              <w:rPr>
                <w:sz w:val="20"/>
                <w:szCs w:val="20"/>
                <w:color w:val="auto"/>
              </w:rPr>
            </w:pPr>
            <w:r>
              <w:rPr>
                <w:rFonts w:ascii="Arial" w:cs="Arial" w:eastAsia="Arial" w:hAnsi="Arial"/>
                <w:sz w:val="14"/>
                <w:szCs w:val="14"/>
                <w:color w:val="auto"/>
              </w:rPr>
              <w:t>CIX</w:t>
            </w:r>
          </w:p>
        </w:tc>
        <w:tc>
          <w:tcPr>
            <w:tcW w:w="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 xml:space="preserve">Securities registered pursuant to Section 12(g) of the Act: </w:t>
            </w:r>
            <w:r>
              <w:rPr>
                <w:rFonts w:ascii="Arial" w:cs="Arial" w:eastAsia="Arial" w:hAnsi="Arial"/>
                <w:sz w:val="16"/>
                <w:szCs w:val="16"/>
                <w:b w:val="1"/>
                <w:bCs w:val="1"/>
                <w:color w:val="auto"/>
                <w:w w:val="91"/>
              </w:rPr>
              <w:t>None.</w:t>
            </w:r>
          </w:p>
        </w:tc>
        <w:tc>
          <w:tcPr>
            <w:tcW w:w="0" w:type="dxa"/>
            <w:vAlign w:val="bottom"/>
          </w:tcPr>
          <w:p>
            <w:pPr>
              <w:spacing w:after="0"/>
              <w:rPr>
                <w:sz w:val="1"/>
                <w:szCs w:val="1"/>
                <w:color w:val="auto"/>
              </w:rPr>
            </w:pPr>
          </w:p>
        </w:tc>
      </w:tr>
      <w:tr>
        <w:trPr>
          <w:trHeight w:val="87"/>
        </w:trPr>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Indicate by check mark:</w:t>
            </w:r>
          </w:p>
        </w:tc>
        <w:tc>
          <w:tcPr>
            <w:tcW w:w="7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5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300" w:type="dxa"/>
            <w:vAlign w:val="bottom"/>
            <w:gridSpan w:val="4"/>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9"/>
        </w:trPr>
        <w:tc>
          <w:tcPr>
            <w:tcW w:w="5580" w:type="dxa"/>
            <w:vAlign w:val="bottom"/>
            <w:gridSpan w:val="5"/>
          </w:tcPr>
          <w:p>
            <w:pPr>
              <w:spacing w:after="0"/>
              <w:rPr>
                <w:sz w:val="20"/>
                <w:szCs w:val="20"/>
                <w:color w:val="auto"/>
              </w:rPr>
            </w:pPr>
            <w:r>
              <w:rPr>
                <w:rFonts w:ascii="Arial" w:cs="Arial" w:eastAsia="Arial" w:hAnsi="Arial"/>
                <w:sz w:val="14"/>
                <w:szCs w:val="14"/>
                <w:color w:val="auto"/>
                <w:w w:val="95"/>
              </w:rPr>
              <w:t>If the Registrant is a well-known seasoned issuer, as defined in Rule 405 of the Securities Act.</w:t>
            </w:r>
          </w:p>
        </w:tc>
        <w:tc>
          <w:tcPr>
            <w:tcW w:w="540" w:type="dxa"/>
            <w:vAlign w:val="bottom"/>
            <w:vMerge w:val="continue"/>
          </w:tcPr>
          <w:p>
            <w:pPr>
              <w:spacing w:after="0"/>
              <w:rPr>
                <w:sz w:val="22"/>
                <w:szCs w:val="22"/>
                <w:color w:val="auto"/>
              </w:rPr>
            </w:pPr>
          </w:p>
        </w:tc>
        <w:tc>
          <w:tcPr>
            <w:tcW w:w="530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gridSpan w:val="5"/>
          </w:tcPr>
          <w:p>
            <w:pPr>
              <w:spacing w:after="0"/>
              <w:rPr>
                <w:sz w:val="20"/>
                <w:szCs w:val="20"/>
                <w:color w:val="auto"/>
              </w:rPr>
            </w:pPr>
            <w:r>
              <w:rPr>
                <w:rFonts w:ascii="Arial" w:cs="Arial" w:eastAsia="Arial" w:hAnsi="Arial"/>
                <w:sz w:val="14"/>
                <w:szCs w:val="14"/>
                <w:color w:val="auto"/>
                <w:w w:val="94"/>
              </w:rPr>
              <w:t>If the Registrant is not required to file reports pursuant to Section 13 or Section 15(d) of the Act.</w:t>
            </w:r>
          </w:p>
        </w:tc>
        <w:tc>
          <w:tcPr>
            <w:tcW w:w="540" w:type="dxa"/>
            <w:vAlign w:val="bottom"/>
          </w:tcPr>
          <w:p>
            <w:pPr>
              <w:ind w:left="12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40" w:type="dxa"/>
            <w:vAlign w:val="bottom"/>
          </w:tcPr>
          <w:p>
            <w:pPr>
              <w:spacing w:after="0"/>
              <w:rPr>
                <w:sz w:val="21"/>
                <w:szCs w:val="21"/>
                <w:color w:val="auto"/>
              </w:rPr>
            </w:pPr>
          </w:p>
        </w:tc>
        <w:tc>
          <w:tcPr>
            <w:tcW w:w="5260" w:type="dxa"/>
            <w:vAlign w:val="bottom"/>
            <w:gridSpan w:val="3"/>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Whether the registrant has submitted electronically every Interactive Data File required to be submitted pursuant to Rule 405 of Regulation S-T during the preceding 12 months (or for such shorter period that the registration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Whether the registrant is a large accelerated filer, an accelerated filer, a non-accelerated filer, smaller reporting company, or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5400" w:val="left"/>
          <w:tab w:leader="none" w:pos="5960" w:val="left"/>
        </w:tabs>
        <w:rPr>
          <w:sz w:val="20"/>
          <w:szCs w:val="20"/>
          <w:color w:val="auto"/>
        </w:rPr>
      </w:pPr>
      <w:r>
        <w:rPr>
          <w:rFonts w:ascii="Arial" w:cs="Arial" w:eastAsia="Arial" w:hAnsi="Arial"/>
          <w:sz w:val="14"/>
          <w:szCs w:val="14"/>
          <w:color w:val="auto"/>
        </w:rPr>
        <w:t>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The aggregate market value of the 1.7 million shares of voting stock held by nonaffiliates of CompX International Inc. as of June 28, 2019 (the last business day of the Registrant’s most recently completed second fiscal quarter) approximated $28.3 million.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20, 2020, registrant had 12,443,057 shares of Class A common stock, $.01 par value per share, outstanding.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53"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CompX International Inc. (NYSE American: CIX), incorporated in Delaware in 1993, is a leading manufacturer of security products used in the recreational transportation, postal, office and institutional furniture, cabinetry, tool storage, healthcare and a variety of other industries. We are also a leading manufacturer of stainless steel exhaust systems, gauges, throttle controls, wake enhancement systems and trim tabs for the recreational marine industry. Our products are principally designed for use in medium to high-end product applications where design, quality and durability are valued by our customers.</w:t>
      </w:r>
    </w:p>
    <w:p>
      <w:pPr>
        <w:spacing w:after="0" w:line="188"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color w:val="auto"/>
        </w:rPr>
        <w:t>At December 31, 2019, (i) NL Industries, Inc. (NYSE: NL) owns 86% of our outstanding common stock, Valhi, Inc. (NYSE: VHI) owns 83% of NL’s outstanding common stock and a subsidiary of Contran Corporation owns 92% of Valhi’s outstanding common stock. As discussed in Note 1 to our Consolidated Financial Statements, Lisa K. Simmons, Serena Simmons Connelly and a trust established for the benefit of Ms. Simmons and Ms. Connelly and their children and for which a third-party financial institution serves as trustee may be deemed to control Contran, Valhi, NL and us.</w:t>
      </w:r>
    </w:p>
    <w:p>
      <w:pPr>
        <w:spacing w:after="0" w:line="17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 xml:space="preserve">Our corporate offices are located at Three Lincoln Centre, 5430 LBJ Freeway, Suite 1700, Dallas, Texas 75240. Our telephone number is (972) 448-1400. We maintain a website at </w:t>
      </w:r>
      <w:r>
        <w:rPr>
          <w:rFonts w:ascii="Arial" w:cs="Arial" w:eastAsia="Arial" w:hAnsi="Arial"/>
          <w:sz w:val="18"/>
          <w:szCs w:val="18"/>
          <w:u w:val="single" w:color="auto"/>
          <w:color w:val="auto"/>
        </w:rPr>
        <w:t>www.compx.com</w:t>
      </w:r>
      <w:r>
        <w:rPr>
          <w:rFonts w:ascii="Arial" w:cs="Arial" w:eastAsia="Arial" w:hAnsi="Arial"/>
          <w:sz w:val="18"/>
          <w:szCs w:val="18"/>
          <w:color w:val="auto"/>
        </w:rPr>
        <w:t>.</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Unless otherwise indicated, references in this report to “we,” “us,” or “our” refer to CompX International Inc. and its subsidiaries taken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1194"/>
        <w:spacing w:after="0" w:line="253"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pacing w:after="0" w:line="89" w:lineRule="exact"/>
        <w:rPr>
          <w:sz w:val="20"/>
          <w:szCs w:val="20"/>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225" w:lineRule="exact"/>
        <w:rPr>
          <w:rFonts w:ascii="Arial" w:cs="Arial" w:eastAsia="Arial" w:hAnsi="Arial"/>
          <w:sz w:val="18"/>
          <w:szCs w:val="18"/>
          <w:color w:val="auto"/>
        </w:rPr>
      </w:pPr>
    </w:p>
    <w:p>
      <w:pPr>
        <w:ind w:left="5660" w:hanging="96"/>
        <w:spacing w:after="0"/>
        <w:tabs>
          <w:tab w:leader="none" w:pos="5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jc w:val="both"/>
        <w:ind w:left="1200" w:hanging="598"/>
        <w:spacing w:after="0" w:line="263"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harm the U.S. economy, disrupt our supply chain, increase material costs or reduce demand or perceived demand for our products (including changes in the level of gross domestic product in various regions of the world, natural disasters, terrorist acts, global conflicts and public health crises such as the coronavirus</w:t>
      </w:r>
      <w:r>
        <w:rPr>
          <w:rFonts w:ascii="Arial" w:cs="Arial" w:eastAsia="Arial" w:hAnsi="Arial"/>
          <w:sz w:val="21"/>
          <w:szCs w:val="21"/>
          <w:color w:val="auto"/>
        </w:rPr>
        <w:t>);</w:t>
      </w:r>
      <w:r>
        <w:rPr>
          <w:rFonts w:ascii="Arial" w:cs="Arial" w:eastAsia="Arial" w:hAnsi="Arial"/>
          <w:sz w:val="18"/>
          <w:szCs w:val="18"/>
          <w:color w:val="auto"/>
        </w:rPr>
        <w:t xml:space="preserve"> and</w:t>
      </w:r>
    </w:p>
    <w:p>
      <w:pPr>
        <w:spacing w:after="0" w:line="65"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 attacks).</w:t>
      </w:r>
    </w:p>
    <w:p>
      <w:pPr>
        <w:spacing w:after="0" w:line="170" w:lineRule="exact"/>
        <w:rPr>
          <w:sz w:val="20"/>
          <w:szCs w:val="20"/>
          <w:color w:val="auto"/>
        </w:rPr>
      </w:pPr>
    </w:p>
    <w:p>
      <w:pPr>
        <w:jc w:val="both"/>
        <w:ind w:right="20" w:firstLine="1194"/>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jc w:val="both"/>
        <w:ind w:firstLine="1194"/>
        <w:spacing w:after="0" w:line="273" w:lineRule="auto"/>
        <w:rPr>
          <w:sz w:val="20"/>
          <w:szCs w:val="20"/>
          <w:color w:val="auto"/>
        </w:rPr>
      </w:pPr>
      <w:r>
        <w:rPr>
          <w:rFonts w:ascii="Arial" w:cs="Arial" w:eastAsia="Arial" w:hAnsi="Arial"/>
          <w:sz w:val="17"/>
          <w:szCs w:val="17"/>
          <w:color w:val="auto"/>
        </w:rPr>
        <w:t>We manufacture engineered components utilized in a variety of applications and industries.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6 – “Selected Financial Data” and Item 7 – “Management’s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We currently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Operations and Products</w:t>
      </w:r>
    </w:p>
    <w:p>
      <w:pPr>
        <w:spacing w:after="0" w:line="117" w:lineRule="exact"/>
        <w:rPr>
          <w:sz w:val="20"/>
          <w:szCs w:val="20"/>
          <w:color w:val="auto"/>
        </w:rPr>
      </w:pPr>
    </w:p>
    <w:p>
      <w:pPr>
        <w:jc w:val="both"/>
        <w:ind w:firstLine="1194"/>
        <w:spacing w:after="0" w:line="276"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Our Security Products segment manufactures mechanical and electrical cabinet locks and other locking mechanisms used</w:t>
      </w:r>
      <w:r>
        <w:rPr>
          <w:rFonts w:ascii="Arial" w:cs="Arial" w:eastAsia="Arial" w:hAnsi="Arial"/>
          <w:sz w:val="17"/>
          <w:szCs w:val="17"/>
          <w:i w:val="1"/>
          <w:iCs w:val="1"/>
          <w:color w:val="auto"/>
        </w:rPr>
        <w:t xml:space="preserve"> </w:t>
      </w:r>
      <w:r>
        <w:rPr>
          <w:rFonts w:ascii="Arial" w:cs="Arial" w:eastAsia="Arial" w:hAnsi="Arial"/>
          <w:sz w:val="17"/>
          <w:szCs w:val="17"/>
          <w:color w:val="auto"/>
        </w:rPr>
        <w:t>in a variety of applications including ignition systems, mailboxes, file cabinets, desk drawers, tool storage cabinets, high security medical cabinetry, electronic circuit panels, storage compartments, gas station security, vending and cash containment machines.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p>
      <w:pPr>
        <w:spacing w:after="0" w:line="64"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 tumbler locks which provide moderate security and generally represent the lowest cost lock to produce;</w:t>
      </w:r>
    </w:p>
    <w:p>
      <w:pPr>
        <w:spacing w:after="0" w:line="117" w:lineRule="exact"/>
        <w:rPr>
          <w:rFonts w:ascii="Arial" w:cs="Arial" w:eastAsia="Arial" w:hAnsi="Arial"/>
          <w:sz w:val="18"/>
          <w:szCs w:val="18"/>
          <w:color w:val="auto"/>
        </w:rPr>
      </w:pPr>
    </w:p>
    <w:p>
      <w:pPr>
        <w:ind w:left="1200" w:right="20" w:hanging="598"/>
        <w:spacing w:after="0" w:line="286"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pin tumbler locking mechanisms which are more costly to produce and are used in applications requiring higher levels of security, including </w:t>
      </w:r>
      <w:r>
        <w:rPr>
          <w:rFonts w:ascii="Arial" w:cs="Arial" w:eastAsia="Arial" w:hAnsi="Arial"/>
          <w:sz w:val="18"/>
          <w:szCs w:val="18"/>
          <w:i w:val="1"/>
          <w:iCs w:val="1"/>
          <w:color w:val="auto"/>
        </w:rPr>
        <w:t>KeSet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System 64</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each allow the user to</w:t>
      </w:r>
    </w:p>
    <w:p>
      <w:pPr>
        <w:spacing w:after="0" w:line="45" w:lineRule="exact"/>
        <w:rPr>
          <w:rFonts w:ascii="Arial" w:cs="Arial" w:eastAsia="Arial" w:hAnsi="Arial"/>
          <w:sz w:val="18"/>
          <w:szCs w:val="18"/>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left="1200"/>
        <w:spacing w:after="0"/>
        <w:rPr>
          <w:sz w:val="20"/>
          <w:szCs w:val="20"/>
          <w:color w:val="auto"/>
        </w:rPr>
      </w:pPr>
      <w:r>
        <w:rPr>
          <w:rFonts w:ascii="Arial" w:cs="Arial" w:eastAsia="Arial" w:hAnsi="Arial"/>
          <w:sz w:val="18"/>
          <w:szCs w:val="18"/>
          <w:color w:val="auto"/>
        </w:rPr>
        <w:t xml:space="preserve">change the keying on a single lock 64 times without removing the lock from its enclosure), </w:t>
      </w:r>
      <w:r>
        <w:rPr>
          <w:rFonts w:ascii="Arial" w:cs="Arial" w:eastAsia="Arial" w:hAnsi="Arial"/>
          <w:sz w:val="18"/>
          <w:szCs w:val="18"/>
          <w:i w:val="1"/>
          <w:iCs w:val="1"/>
          <w:color w:val="auto"/>
        </w:rPr>
        <w:t>TuBar</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Turbine</w:t>
      </w:r>
      <w:r>
        <w:rPr>
          <w:rFonts w:ascii="Arial" w:cs="Arial" w:eastAsia="Arial" w:hAnsi="Arial"/>
          <w:sz w:val="21"/>
          <w:szCs w:val="21"/>
          <w:i w:val="1"/>
          <w:iCs w:val="1"/>
          <w:color w:val="auto"/>
        </w:rPr>
        <w:t>™</w:t>
      </w:r>
      <w:r>
        <w:rPr>
          <w:rFonts w:ascii="Arial" w:cs="Arial" w:eastAsia="Arial" w:hAnsi="Arial"/>
          <w:sz w:val="18"/>
          <w:szCs w:val="18"/>
          <w:color w:val="auto"/>
        </w:rPr>
        <w:t>; and</w:t>
      </w:r>
    </w:p>
    <w:p>
      <w:pPr>
        <w:spacing w:after="0" w:line="60" w:lineRule="exact"/>
        <w:rPr>
          <w:sz w:val="20"/>
          <w:szCs w:val="20"/>
          <w:color w:val="auto"/>
        </w:rPr>
      </w:pPr>
    </w:p>
    <w:p>
      <w:pPr>
        <w:ind w:left="1200" w:right="20" w:hanging="598"/>
        <w:spacing w:after="0" w:line="238"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our innovative </w:t>
      </w:r>
      <w:r>
        <w:rPr>
          <w:rFonts w:ascii="Arial" w:cs="Arial" w:eastAsia="Arial" w:hAnsi="Arial"/>
          <w:sz w:val="16"/>
          <w:szCs w:val="16"/>
          <w:i w:val="1"/>
          <w:iCs w:val="1"/>
          <w:color w:val="auto"/>
        </w:rPr>
        <w:t>CompX eLock</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StealthLock</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electronic locks which provide stand-alone or networked security and audit trail capability for drug storage and other valuables through the use of a proximity card, magnetic stripe, radio frequency or other keypad credential.</w:t>
      </w:r>
    </w:p>
    <w:p>
      <w:pPr>
        <w:spacing w:after="0" w:line="204" w:lineRule="exact"/>
        <w:rPr>
          <w:sz w:val="20"/>
          <w:szCs w:val="20"/>
          <w:color w:val="auto"/>
        </w:rPr>
      </w:pPr>
    </w:p>
    <w:p>
      <w:pPr>
        <w:jc w:val="both"/>
        <w:ind w:firstLine="1194"/>
        <w:spacing w:after="0" w:line="290" w:lineRule="auto"/>
        <w:rPr>
          <w:sz w:val="20"/>
          <w:szCs w:val="20"/>
          <w:color w:val="auto"/>
        </w:rPr>
      </w:pPr>
      <w:r>
        <w:rPr>
          <w:rFonts w:ascii="Arial" w:cs="Arial" w:eastAsia="Arial" w:hAnsi="Arial"/>
          <w:sz w:val="17"/>
          <w:szCs w:val="17"/>
          <w:color w:val="auto"/>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distributors via our </w:t>
      </w:r>
      <w:r>
        <w:rPr>
          <w:rFonts w:ascii="Arial" w:cs="Arial" w:eastAsia="Arial" w:hAnsi="Arial"/>
          <w:sz w:val="17"/>
          <w:szCs w:val="17"/>
          <w:i w:val="1"/>
          <w:iCs w:val="1"/>
          <w:color w:val="auto"/>
        </w:rPr>
        <w:t>STOCK LOCKS</w:t>
      </w:r>
      <w:r>
        <w:rPr>
          <w:rFonts w:ascii="Arial" w:cs="Arial" w:eastAsia="Arial" w:hAnsi="Arial"/>
          <w:sz w:val="25"/>
          <w:szCs w:val="25"/>
          <w:i w:val="1"/>
          <w:iCs w:val="1"/>
          <w:color w:val="auto"/>
          <w:vertAlign w:val="superscript"/>
        </w:rPr>
        <w:t>®</w:t>
      </w:r>
      <w:r>
        <w:rPr>
          <w:rFonts w:ascii="Arial" w:cs="Arial" w:eastAsia="Arial" w:hAnsi="Arial"/>
          <w:sz w:val="17"/>
          <w:szCs w:val="17"/>
          <w:color w:val="auto"/>
        </w:rPr>
        <w:t xml:space="preserve"> distribution program.</w:t>
      </w:r>
    </w:p>
    <w:p>
      <w:pPr>
        <w:spacing w:after="0" w:line="45"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Our Marine Components segment manufactures and distributes stainless steel exhaust components, gauges, throttle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wake enhancement systems, trim tabs and related hardware and accessories primarily for performance and ski/wakeboard boats. Our Marine Components segment has a facility in Neenah, Wisconsin and a facility in Grayslake, Illinois which is shared with Security Products. Our specialty Marine Component products are high precision components designed to operate within tight tolerances in the highly demanding marine environment. These products include:</w:t>
      </w:r>
    </w:p>
    <w:p>
      <w:pPr>
        <w:spacing w:after="0" w:line="80"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equipment and aftermarket stainless steel exhaust headers, exhaust pipes, mufflers and other exhaust components;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performance gauges such as GPS speedometers and tachometers;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mechanical and electronic controls and throttles;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wake enhancement devices, trim tabs, steering wheels, and billet aluminum accessories;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dash panels, LED indicators, wire harnesses and other accessories.</w:t>
      </w:r>
    </w:p>
    <w:p>
      <w:pPr>
        <w:spacing w:after="0" w:line="22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For information regarding our three principal manufacturing facilities, see “Item 2 –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primary raw materials are:</w:t>
      </w:r>
    </w:p>
    <w:p>
      <w:pPr>
        <w:spacing w:after="0" w:line="117"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Products - zinc and brass (for the manufacture of locking mechanisms).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Marine Components - stainless steel (for the manufacture of exhaust headers and pipes and wake enhancement systems), aluminum (for the manufacture of throttles and trim tabs) and other components.</w:t>
      </w:r>
    </w:p>
    <w:p>
      <w:pPr>
        <w:spacing w:after="0" w:line="170" w:lineRule="exact"/>
        <w:rPr>
          <w:sz w:val="20"/>
          <w:szCs w:val="20"/>
          <w:color w:val="auto"/>
        </w:rPr>
      </w:pPr>
    </w:p>
    <w:p>
      <w:pPr>
        <w:jc w:val="both"/>
        <w:ind w:firstLine="1194"/>
        <w:spacing w:after="0" w:line="342" w:lineRule="auto"/>
        <w:rPr>
          <w:sz w:val="20"/>
          <w:szCs w:val="20"/>
          <w:color w:val="auto"/>
        </w:rPr>
      </w:pPr>
      <w:r>
        <w:rPr>
          <w:rFonts w:ascii="Arial" w:cs="Arial" w:eastAsia="Arial" w:hAnsi="Arial"/>
          <w:sz w:val="16"/>
          <w:szCs w:val="16"/>
          <w:color w:val="auto"/>
        </w:rPr>
        <w:t>These raw materials are purchased from several suppliers, are readily available from numerous sources and accounted for approximately 13% of our total cost of sales for 2019. Total material costs, including purchased components, represented approximately 45% of our cost of sales in 2019.</w:t>
      </w:r>
    </w:p>
    <w:p>
      <w:pPr>
        <w:spacing w:after="0" w:line="124" w:lineRule="exact"/>
        <w:rPr>
          <w:sz w:val="20"/>
          <w:szCs w:val="20"/>
          <w:color w:val="auto"/>
        </w:rPr>
      </w:pPr>
    </w:p>
    <w:p>
      <w:pPr>
        <w:jc w:val="both"/>
        <w:ind w:firstLine="1194"/>
        <w:spacing w:after="0" w:line="269" w:lineRule="auto"/>
        <w:rPr>
          <w:sz w:val="20"/>
          <w:szCs w:val="20"/>
          <w:color w:val="auto"/>
        </w:rPr>
      </w:pPr>
      <w:r>
        <w:rPr>
          <w:rFonts w:ascii="Arial" w:cs="Arial" w:eastAsia="Arial" w:hAnsi="Arial"/>
          <w:sz w:val="17"/>
          <w:szCs w:val="17"/>
          <w:color w:val="auto"/>
        </w:rPr>
        <w:t>We occasionally enter into short-term commodity-related raw material supply arrangements to mitigate the impact of future price increases in commodity-related raw materials, including zinc, brass and stainless steel. These arrangements generally provide for stated unit prices based upon specified purchase volumes, which help us to stabilize our commodity-related raw material costs to a certain extent. During 2018, markets for the primary commodity-related raw materials used in the manufacture of our locking mechanisms, primarily zinc and brass, generally strengthened, but these markets moderated at the end of 2018 and remained relatively stable through 2019. Over that same period, the market for stainless steel, the primary raw material used for the manufacture of marine exhaust headers and pipes and wake enhancement systems, remained relatively stable. While we expect the markets for our primary commodity-related raw materials to remain stable during 2020, we recognize that economic conditions could introduce renewed volatility on these and other manufacturing materials. When purchased on the spot market, each of these raw materials may be subject to sudden and unanticipated price increases. When possible, 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increased product selling prices or raw material surcharges due to the competitive nature of the markets served by our products. Consequently, overall operating margins can be affected by commodity-related raw material cost pressures. Commodity market prices are cyclical, reflecting overall economic trends, specific developments in consuming industries and speculative investor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Trademarks</w:t>
      </w:r>
    </w:p>
    <w:p>
      <w:pPr>
        <w:spacing w:after="0" w:line="117" w:lineRule="exact"/>
        <w:rPr>
          <w:sz w:val="20"/>
          <w:szCs w:val="20"/>
          <w:color w:val="auto"/>
        </w:rPr>
      </w:pPr>
    </w:p>
    <w:p>
      <w:pPr>
        <w:jc w:val="both"/>
        <w:ind w:firstLine="1194"/>
        <w:spacing w:after="0" w:line="342" w:lineRule="auto"/>
        <w:rPr>
          <w:sz w:val="20"/>
          <w:szCs w:val="20"/>
          <w:color w:val="auto"/>
        </w:rPr>
      </w:pPr>
      <w:r>
        <w:rPr>
          <w:rFonts w:ascii="Arial" w:cs="Arial" w:eastAsia="Arial" w:hAnsi="Arial"/>
          <w:sz w:val="16"/>
          <w:szCs w:val="16"/>
          <w:color w:val="auto"/>
        </w:rPr>
        <w:t>We hold a number of patents relating to our component products, certain of which we believe to be important to us and our continuing business activity. Patents generally have a term of 20 years, and our patents have remaining terms ranging from 1 year to 15 years at December 31, 2019.</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Our major trademarks and brand names in addition to </w:t>
      </w:r>
      <w:r>
        <w:rPr>
          <w:rFonts w:ascii="Arial" w:cs="Arial" w:eastAsia="Arial" w:hAnsi="Arial"/>
          <w:sz w:val="21"/>
          <w:szCs w:val="21"/>
          <w:i w:val="1"/>
          <w:iCs w:val="1"/>
          <w:color w:val="auto"/>
        </w:rPr>
        <w:t>CompX</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include:</w:t>
      </w:r>
    </w:p>
    <w:p>
      <w:pPr>
        <w:spacing w:after="0" w:line="186" w:lineRule="exact"/>
        <w:rPr>
          <w:sz w:val="20"/>
          <w:szCs w:val="20"/>
          <w:color w:val="auto"/>
        </w:rPr>
      </w:pPr>
    </w:p>
    <w:p>
      <w:pPr>
        <w:ind w:left="1380"/>
        <w:spacing w:after="0"/>
        <w:tabs>
          <w:tab w:leader="none" w:pos="5080" w:val="left"/>
          <w:tab w:leader="none" w:pos="8760" w:val="left"/>
        </w:tabs>
        <w:rPr>
          <w:sz w:val="20"/>
          <w:szCs w:val="20"/>
          <w:color w:val="auto"/>
        </w:rPr>
      </w:pPr>
      <w:r>
        <w:rPr>
          <w:rFonts w:ascii="Arial" w:cs="Arial" w:eastAsia="Arial" w:hAnsi="Arial"/>
          <w:sz w:val="14"/>
          <w:szCs w:val="14"/>
          <w:b w:val="1"/>
          <w:bCs w:val="1"/>
          <w:color w:val="auto"/>
        </w:rPr>
        <w:t>Security Products</w:t>
      </w:r>
      <w:r>
        <w:rPr>
          <w:sz w:val="20"/>
          <w:szCs w:val="20"/>
          <w:color w:val="auto"/>
        </w:rPr>
        <w:tab/>
      </w:r>
      <w:r>
        <w:rPr>
          <w:rFonts w:ascii="Arial" w:cs="Arial" w:eastAsia="Arial" w:hAnsi="Arial"/>
          <w:sz w:val="14"/>
          <w:szCs w:val="14"/>
          <w:b w:val="1"/>
          <w:bCs w:val="1"/>
          <w:color w:val="auto"/>
        </w:rPr>
        <w:t>Security Products</w:t>
      </w:r>
      <w:r>
        <w:rPr>
          <w:sz w:val="20"/>
          <w:szCs w:val="20"/>
          <w:color w:val="auto"/>
        </w:rPr>
        <w:tab/>
      </w:r>
      <w:r>
        <w:rPr>
          <w:rFonts w:ascii="Arial" w:cs="Arial" w:eastAsia="Arial" w:hAnsi="Arial"/>
          <w:sz w:val="13"/>
          <w:szCs w:val="13"/>
          <w:b w:val="1"/>
          <w:bCs w:val="1"/>
          <w:color w:val="auto"/>
        </w:rPr>
        <w:t>Marine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6350</wp:posOffset>
            </wp:positionV>
            <wp:extent cx="2444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CompX</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Security Products™</w:t>
            </w:r>
          </w:p>
        </w:tc>
        <w:tc>
          <w:tcPr>
            <w:tcW w:w="12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6"/>
                <w:szCs w:val="16"/>
                <w:i w:val="1"/>
                <w:iCs w:val="1"/>
                <w:color w:val="auto"/>
              </w:rPr>
              <w:t>Lockview</w:t>
            </w:r>
            <w:r>
              <w:rPr>
                <w:rFonts w:ascii="Arial" w:cs="Arial" w:eastAsia="Arial" w:hAnsi="Arial"/>
                <w:sz w:val="22"/>
                <w:szCs w:val="22"/>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National Cabinet Lock</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System 64</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Fort Lock</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SlamCAM</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Timberline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Lock</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RegulatoR</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Chicago Lock</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CompXpress</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STOCK LOCKS</w:t>
            </w:r>
            <w:r>
              <w:rPr>
                <w:rFonts w:ascii="Arial" w:cs="Arial" w:eastAsia="Arial" w:hAnsi="Arial"/>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Arial" w:cs="Arial" w:eastAsia="Arial" w:hAnsi="Arial"/>
                <w:sz w:val="17"/>
                <w:szCs w:val="17"/>
                <w:i w:val="1"/>
                <w:iCs w:val="1"/>
                <w:color w:val="auto"/>
              </w:rPr>
              <w:t>GEM</w:t>
            </w:r>
            <w:r>
              <w:rPr>
                <w:rFonts w:ascii="Arial" w:cs="Arial" w:eastAsia="Arial" w:hAnsi="Arial"/>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KeSet</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TuBar</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StealthLock</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II</w:t>
            </w:r>
          </w:p>
        </w:tc>
        <w:tc>
          <w:tcPr>
            <w:tcW w:w="3500" w:type="dxa"/>
            <w:vAlign w:val="bottom"/>
          </w:tcPr>
          <w:p>
            <w:pPr>
              <w:spacing w:after="0"/>
              <w:rPr>
                <w:sz w:val="18"/>
                <w:szCs w:val="18"/>
                <w:color w:val="auto"/>
              </w:rPr>
            </w:pPr>
          </w:p>
        </w:tc>
      </w:tr>
      <w:tr>
        <w:trPr>
          <w:trHeight w:val="348"/>
        </w:trPr>
        <w:tc>
          <w:tcPr>
            <w:tcW w:w="3820" w:type="dxa"/>
            <w:vAlign w:val="bottom"/>
            <w:gridSpan w:val="3"/>
          </w:tcPr>
          <w:p>
            <w:pPr>
              <w:spacing w:after="0"/>
              <w:rPr>
                <w:sz w:val="20"/>
                <w:szCs w:val="20"/>
                <w:color w:val="auto"/>
              </w:rPr>
            </w:pPr>
            <w:r>
              <w:rPr>
                <w:rFonts w:ascii="Arial" w:cs="Arial" w:eastAsia="Arial" w:hAnsi="Arial"/>
                <w:sz w:val="18"/>
                <w:szCs w:val="18"/>
                <w:i w:val="1"/>
                <w:iCs w:val="1"/>
                <w:color w:val="auto"/>
              </w:rPr>
              <w:t>CompX eLock</w:t>
            </w:r>
            <w:r>
              <w:rPr>
                <w:rFonts w:ascii="Arial" w:cs="Arial" w:eastAsia="Arial" w:hAnsi="Arial"/>
                <w:sz w:val="26"/>
                <w:szCs w:val="26"/>
                <w:i w:val="1"/>
                <w:iCs w:val="1"/>
                <w:color w:val="auto"/>
                <w:vertAlign w:val="superscript"/>
              </w:rPr>
              <w:t>®</w:t>
            </w:r>
          </w:p>
        </w:tc>
        <w:tc>
          <w:tcPr>
            <w:tcW w:w="3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91" w:lineRule="auto"/>
        <w:rPr>
          <w:sz w:val="20"/>
          <w:szCs w:val="20"/>
          <w:color w:val="auto"/>
        </w:rPr>
      </w:pPr>
      <w:r>
        <w:rPr>
          <w:rFonts w:ascii="Arial" w:cs="Arial" w:eastAsia="Arial" w:hAnsi="Arial"/>
          <w:sz w:val="18"/>
          <w:szCs w:val="18"/>
          <w:i w:val="1"/>
          <w:iCs w:val="1"/>
          <w:color w:val="auto"/>
        </w:rPr>
        <w:t>CompX Marine</w:t>
      </w:r>
      <w:r>
        <w:rPr>
          <w:rFonts w:ascii="Arial" w:cs="Arial" w:eastAsia="Arial" w:hAnsi="Arial"/>
          <w:sz w:val="26"/>
          <w:szCs w:val="26"/>
          <w:i w:val="1"/>
          <w:iCs w:val="1"/>
          <w:color w:val="auto"/>
          <w:vertAlign w:val="superscript"/>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 Marine</w:t>
      </w:r>
      <w:r>
        <w:rPr>
          <w:rFonts w:ascii="Arial" w:cs="Arial" w:eastAsia="Arial" w:hAnsi="Arial"/>
          <w:sz w:val="15"/>
          <w:szCs w:val="15"/>
          <w:i w:val="1"/>
          <w:iCs w:val="1"/>
          <w:color w:val="auto"/>
        </w:rPr>
        <w:t>®</w:t>
      </w:r>
    </w:p>
    <w:p>
      <w:pPr>
        <w:spacing w:after="0" w:line="183" w:lineRule="auto"/>
        <w:rPr>
          <w:sz w:val="20"/>
          <w:szCs w:val="20"/>
          <w:color w:val="auto"/>
        </w:rPr>
      </w:pPr>
      <w:r>
        <w:rPr>
          <w:rFonts w:ascii="Arial" w:cs="Arial" w:eastAsia="Arial" w:hAnsi="Arial"/>
          <w:sz w:val="18"/>
          <w:szCs w:val="18"/>
          <w:i w:val="1"/>
          <w:iCs w:val="1"/>
          <w:color w:val="auto"/>
        </w:rPr>
        <w:t>Livorsi</w:t>
      </w:r>
      <w:r>
        <w:rPr>
          <w:rFonts w:ascii="Arial" w:cs="Arial" w:eastAsia="Arial" w:hAnsi="Arial"/>
          <w:sz w:val="26"/>
          <w:szCs w:val="26"/>
          <w:color w:val="auto"/>
          <w:vertAlign w:val="superscript"/>
        </w:rPr>
        <w:t>®</w:t>
      </w:r>
      <w:r>
        <w:rPr>
          <w:rFonts w:ascii="Arial" w:cs="Arial" w:eastAsia="Arial" w:hAnsi="Arial"/>
          <w:sz w:val="18"/>
          <w:szCs w:val="18"/>
          <w:i w:val="1"/>
          <w:iCs w:val="1"/>
          <w:color w:val="auto"/>
        </w:rPr>
        <w:t xml:space="preserve"> Marine</w:t>
      </w:r>
    </w:p>
    <w:p>
      <w:pPr>
        <w:spacing w:after="0" w:line="180" w:lineRule="auto"/>
        <w:rPr>
          <w:sz w:val="20"/>
          <w:szCs w:val="20"/>
          <w:color w:val="auto"/>
        </w:rPr>
      </w:pPr>
      <w:r>
        <w:rPr>
          <w:rFonts w:ascii="Arial" w:cs="Arial" w:eastAsia="Arial" w:hAnsi="Arial"/>
          <w:sz w:val="17"/>
          <w:szCs w:val="17"/>
          <w:i w:val="1"/>
          <w:iCs w:val="1"/>
          <w:color w:val="auto"/>
        </w:rPr>
        <w:t>Livorsi II</w:t>
      </w:r>
      <w:r>
        <w:rPr>
          <w:rFonts w:ascii="Arial" w:cs="Arial" w:eastAsia="Arial" w:hAnsi="Arial"/>
          <w:sz w:val="25"/>
          <w:szCs w:val="25"/>
          <w:color w:val="auto"/>
          <w:vertAlign w:val="superscript"/>
        </w:rPr>
        <w:t>®</w:t>
      </w:r>
      <w:r>
        <w:rPr>
          <w:rFonts w:ascii="Arial" w:cs="Arial" w:eastAsia="Arial" w:hAnsi="Arial"/>
          <w:sz w:val="17"/>
          <w:szCs w:val="17"/>
          <w:i w:val="1"/>
          <w:iCs w:val="1"/>
          <w:color w:val="auto"/>
        </w:rPr>
        <w:t xml:space="preserve"> Marine</w:t>
      </w:r>
    </w:p>
    <w:p>
      <w:pPr>
        <w:spacing w:after="0" w:line="180" w:lineRule="auto"/>
        <w:rPr>
          <w:sz w:val="20"/>
          <w:szCs w:val="20"/>
          <w:color w:val="auto"/>
        </w:rPr>
      </w:pPr>
      <w:r>
        <w:rPr>
          <w:rFonts w:ascii="Arial" w:cs="Arial" w:eastAsia="Arial" w:hAnsi="Arial"/>
          <w:sz w:val="17"/>
          <w:szCs w:val="17"/>
          <w:i w:val="1"/>
          <w:iCs w:val="1"/>
          <w:color w:val="auto"/>
        </w:rPr>
        <w:t>CMI Industrial</w:t>
      </w:r>
      <w:r>
        <w:rPr>
          <w:rFonts w:ascii="Arial" w:cs="Arial" w:eastAsia="Arial" w:hAnsi="Arial"/>
          <w:sz w:val="25"/>
          <w:szCs w:val="25"/>
          <w:i w:val="1"/>
          <w:iCs w:val="1"/>
          <w:color w:val="auto"/>
          <w:vertAlign w:val="superscript"/>
        </w:rPr>
        <w:t>®</w:t>
      </w:r>
    </w:p>
    <w:p>
      <w:pPr>
        <w:spacing w:after="0" w:line="181" w:lineRule="auto"/>
        <w:rPr>
          <w:sz w:val="20"/>
          <w:szCs w:val="20"/>
          <w:color w:val="auto"/>
        </w:rPr>
      </w:pPr>
      <w:r>
        <w:rPr>
          <w:rFonts w:ascii="Arial" w:cs="Arial" w:eastAsia="Arial" w:hAnsi="Arial"/>
          <w:sz w:val="17"/>
          <w:szCs w:val="17"/>
          <w:i w:val="1"/>
          <w:iCs w:val="1"/>
          <w:color w:val="auto"/>
        </w:rPr>
        <w:t>Custom Marine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Stainless Exhaust</w:t>
      </w:r>
    </w:p>
    <w:p>
      <w:pPr>
        <w:spacing w:after="0" w:line="196" w:lineRule="auto"/>
        <w:rPr>
          <w:sz w:val="20"/>
          <w:szCs w:val="20"/>
          <w:color w:val="auto"/>
        </w:rPr>
      </w:pPr>
      <w:r>
        <w:rPr>
          <w:rFonts w:ascii="Arial" w:cs="Arial" w:eastAsia="Arial" w:hAnsi="Arial"/>
          <w:sz w:val="16"/>
          <w:szCs w:val="16"/>
          <w:i w:val="1"/>
          <w:iCs w:val="1"/>
          <w:color w:val="auto"/>
        </w:rPr>
        <w:t>The #1 Choice in Performance Boating</w:t>
      </w:r>
      <w:r>
        <w:rPr>
          <w:rFonts w:ascii="Arial" w:cs="Arial" w:eastAsia="Arial" w:hAnsi="Arial"/>
          <w:sz w:val="23"/>
          <w:szCs w:val="23"/>
          <w:i w:val="1"/>
          <w:iCs w:val="1"/>
          <w:color w:val="auto"/>
          <w:vertAlign w:val="superscript"/>
        </w:rPr>
        <w:t>®</w:t>
      </w:r>
    </w:p>
    <w:p>
      <w:pPr>
        <w:spacing w:after="0" w:line="180" w:lineRule="auto"/>
        <w:rPr>
          <w:sz w:val="20"/>
          <w:szCs w:val="20"/>
          <w:color w:val="auto"/>
        </w:rPr>
      </w:pPr>
      <w:r>
        <w:rPr>
          <w:rFonts w:ascii="Arial" w:cs="Arial" w:eastAsia="Arial" w:hAnsi="Arial"/>
          <w:sz w:val="17"/>
          <w:szCs w:val="17"/>
          <w:i w:val="1"/>
          <w:iCs w:val="1"/>
          <w:color w:val="auto"/>
        </w:rPr>
        <w:t>Mega Rim</w:t>
      </w:r>
      <w:r>
        <w:rPr>
          <w:rFonts w:ascii="Arial" w:cs="Arial" w:eastAsia="Arial" w:hAnsi="Arial"/>
          <w:sz w:val="25"/>
          <w:szCs w:val="25"/>
          <w:i w:val="1"/>
          <w:iCs w:val="1"/>
          <w:color w:val="auto"/>
          <w:vertAlign w:val="superscript"/>
        </w:rPr>
        <w:t>®</w:t>
      </w:r>
    </w:p>
    <w:p>
      <w:pPr>
        <w:spacing w:after="0" w:line="181" w:lineRule="auto"/>
        <w:rPr>
          <w:sz w:val="20"/>
          <w:szCs w:val="20"/>
          <w:color w:val="auto"/>
        </w:rPr>
      </w:pPr>
      <w:r>
        <w:rPr>
          <w:rFonts w:ascii="Arial" w:cs="Arial" w:eastAsia="Arial" w:hAnsi="Arial"/>
          <w:sz w:val="17"/>
          <w:szCs w:val="17"/>
          <w:i w:val="1"/>
          <w:iCs w:val="1"/>
          <w:color w:val="auto"/>
        </w:rPr>
        <w:t>Race Rim</w:t>
      </w:r>
      <w:r>
        <w:rPr>
          <w:rFonts w:ascii="Arial" w:cs="Arial" w:eastAsia="Arial" w:hAnsi="Arial"/>
          <w:sz w:val="25"/>
          <w:szCs w:val="25"/>
          <w:i w:val="1"/>
          <w:iCs w:val="1"/>
          <w:color w:val="auto"/>
          <w:vertAlign w:val="superscript"/>
        </w:rPr>
        <w:t>®</w:t>
      </w:r>
    </w:p>
    <w:p>
      <w:pPr>
        <w:spacing w:after="0" w:line="180" w:lineRule="auto"/>
        <w:rPr>
          <w:sz w:val="20"/>
          <w:szCs w:val="20"/>
          <w:color w:val="auto"/>
        </w:rPr>
      </w:pPr>
      <w:r>
        <w:rPr>
          <w:rFonts w:ascii="Arial" w:cs="Arial" w:eastAsia="Arial" w:hAnsi="Arial"/>
          <w:sz w:val="17"/>
          <w:szCs w:val="17"/>
          <w:i w:val="1"/>
          <w:iCs w:val="1"/>
          <w:color w:val="auto"/>
        </w:rPr>
        <w:t>Vantage View</w:t>
      </w:r>
      <w:r>
        <w:rPr>
          <w:rFonts w:ascii="Arial" w:cs="Arial" w:eastAsia="Arial" w:hAnsi="Arial"/>
          <w:sz w:val="25"/>
          <w:szCs w:val="25"/>
          <w:i w:val="1"/>
          <w:iCs w:val="1"/>
          <w:color w:val="auto"/>
          <w:vertAlign w:val="superscript"/>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GEN-X</w:t>
      </w:r>
      <w:r>
        <w:rPr>
          <w:rFonts w:ascii="Arial" w:cs="Arial" w:eastAsia="Arial" w:hAnsi="Arial"/>
          <w:sz w:val="26"/>
          <w:szCs w:val="26"/>
          <w:i w:val="1"/>
          <w:iCs w:val="1"/>
          <w:color w:val="auto"/>
          <w:vertAlign w:val="superscript"/>
        </w:rPr>
        <w:t>®</w:t>
      </w:r>
    </w:p>
    <w:p>
      <w:pPr>
        <w:spacing w:after="0" w:line="441" w:lineRule="exact"/>
        <w:rPr>
          <w:sz w:val="20"/>
          <w:szCs w:val="20"/>
          <w:color w:val="auto"/>
        </w:rPr>
      </w:pPr>
    </w:p>
    <w:p>
      <w:pPr>
        <w:sectPr>
          <w:pgSz w:w="11900" w:h="16838" w:orient="portrait"/>
          <w:cols w:equalWidth="0" w:num="2">
            <w:col w:w="7400" w:space="100"/>
            <w:col w:w="392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Sales, Marketing and Distribution</w:t>
      </w:r>
    </w:p>
    <w:p>
      <w:pPr>
        <w:spacing w:after="0" w:line="11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A majority of our component sales are direct to large OEM customers through our factory-based sales and marketing professionals supported by engineers working in concert with field salespeople and independent manufacturer’s representatives. We select manufacturer’s representatives based on special skills in certain markets or relationships with current or potential customers.</w:t>
      </w:r>
    </w:p>
    <w:p>
      <w:pPr>
        <w:spacing w:after="0" w:line="18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187"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We sell to a diverse customer base with only one customer representing 10% or more of our sales in 2019 (United States Postal Service representing 14%). Our largest ten customers accounted for approximately 47% of our sales in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Regulatory and Environmental Matters</w:t>
      </w:r>
    </w:p>
    <w:p>
      <w:pPr>
        <w:spacing w:after="0" w:line="117"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Our operations are subject to federal, state and local laws and regulations relating to the use, storage, handling, generation, transportation, treatment, emission, discharge, disposal, remediation of and exposure to hazardous and non-hazardous substances, materials and wastes (“Environmental Laws”).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We currently do not anticipate any significant costs or expenses relating to such matters; however, it is possible future laws and regulations may require us to incur significant additional expenditures.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As of December 31, 2019, we employed 547 people, all in the United States. We believe our labor relations are good at all of our facilities.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Website and Available Information</w:t>
      </w:r>
    </w:p>
    <w:p>
      <w:pPr>
        <w:spacing w:after="0" w:line="117" w:lineRule="exact"/>
        <w:rPr>
          <w:sz w:val="20"/>
          <w:szCs w:val="20"/>
          <w:color w:val="auto"/>
        </w:rPr>
      </w:pPr>
    </w:p>
    <w:p>
      <w:pPr>
        <w:jc w:val="both"/>
        <w:ind w:firstLine="1194"/>
        <w:spacing w:after="0" w:line="290" w:lineRule="auto"/>
        <w:rPr>
          <w:sz w:val="20"/>
          <w:szCs w:val="20"/>
          <w:color w:val="auto"/>
        </w:rPr>
      </w:pPr>
      <w:r>
        <w:rPr>
          <w:rFonts w:ascii="Arial" w:cs="Arial" w:eastAsia="Arial" w:hAnsi="Arial"/>
          <w:sz w:val="16"/>
          <w:szCs w:val="16"/>
          <w:color w:val="auto"/>
        </w:rPr>
        <w:t xml:space="preserve">Our fiscal year end is always the Sunday closest to December 31, and our operations are reported on a 52 or 53-week fiscal year. For presentation purposes, annual and quarterly information in this Form 10-K are presented as ended on March 31, June 30, September 30, and December 31, as applicable. The actual date of our fiscal years ended December 31, 2017, 2018 and 2019 are December 31, 2017, December 30, 2018, and December 29, 2019, respectively. We furnish our stockholders with annual reports containing audited financial statements. In addition, 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t>
      </w:r>
      <w:r>
        <w:rPr>
          <w:rFonts w:ascii="Arial" w:cs="Arial" w:eastAsia="Arial" w:hAnsi="Arial"/>
          <w:sz w:val="16"/>
          <w:szCs w:val="16"/>
          <w:u w:val="single" w:color="auto"/>
          <w:color w:val="auto"/>
        </w:rPr>
        <w:t>www.compx.com</w:t>
      </w:r>
      <w:r>
        <w:rPr>
          <w:rFonts w:ascii="Arial" w:cs="Arial" w:eastAsia="Arial" w:hAnsi="Arial"/>
          <w:sz w:val="16"/>
          <w:szCs w:val="16"/>
          <w:color w:val="auto"/>
        </w:rPr>
        <w:t xml:space="preserve">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166"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Additional information, including our Audit Committee Charter, our Code of Business Conduct and Ethics and our Corporate Governance Guidelines, can also be found on our website. Information contained on our website is not a part of this Annual Report.</w:t>
      </w:r>
    </w:p>
    <w:p>
      <w:pPr>
        <w:spacing w:after="0" w:line="170"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 xml:space="preserve">We are an electronic filer. The SEC maintains an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such as us, that file electronically with the SEC.</w:t>
      </w:r>
    </w:p>
    <w:p>
      <w:pPr>
        <w:spacing w:after="0" w:line="31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color w:val="auto"/>
        </w:rPr>
        <w:t>Listed below are certain risk factors associated with us and our businesses. In addition to the potential effect of these risk factors discussed below, any risk factor which could result in reduced earnings, or increased operating losses, or reduced liquidity, could in turn adversely affect our ability to service our liabilities or pay dividends on our common stock or adversely affect the quoted market prices for our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mature and highly competitive markets, resulting in pricing pressure and the need to continuously reduce costs.</w:t>
      </w:r>
    </w:p>
    <w:p>
      <w:pPr>
        <w:spacing w:after="0" w:line="12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p>
      <w:pPr>
        <w:spacing w:after="0" w:line="79" w:lineRule="exact"/>
        <w:rPr>
          <w:sz w:val="20"/>
          <w:szCs w:val="20"/>
          <w:color w:val="auto"/>
        </w:rPr>
      </w:pPr>
    </w:p>
    <w:p>
      <w:pPr>
        <w:ind w:left="1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Competitors may be able to drive down prices for our products beyond our ability to adjust costs because their costs are lower than ours, especially products sourced from Asia.</w:t>
      </w:r>
    </w:p>
    <w:p>
      <w:pPr>
        <w:spacing w:after="0" w:line="170" w:lineRule="exact"/>
        <w:rPr>
          <w:rFonts w:ascii="Arial" w:cs="Arial" w:eastAsia="Arial" w:hAnsi="Arial"/>
          <w:sz w:val="18"/>
          <w:szCs w:val="18"/>
          <w:color w:val="auto"/>
        </w:rPr>
      </w:pPr>
    </w:p>
    <w:p>
      <w:pPr>
        <w:ind w:left="5660" w:hanging="96"/>
        <w:spacing w:after="0"/>
        <w:tabs>
          <w:tab w:leader="none" w:pos="5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ind w:left="120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financial, technological and other resources may be greater than our resources, which may enable them to more effectively withstand changes in market conditions.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Competitors may be able to respond more quickly than we can to new or emerging technologies and changes in customer requirements.</w:t>
      </w:r>
    </w:p>
    <w:p>
      <w:pPr>
        <w:spacing w:after="0" w:line="140"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of our market share with one or more of our key customers, or a reduction in one or more of our key customers’ market share for their end-use products, may reduce demand for our products.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New competitors could emerge by modifying their existing production facilities to manufacture products that compete with our products.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sustain a cost structure that enables us to be competitive.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may no longer value our product design, quality or durability over the lower cost products of our competitors.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of innovative features for current products is critical to sustaining and growing our sales.</w:t>
      </w:r>
    </w:p>
    <w:p>
      <w:pPr>
        <w:spacing w:after="0" w:line="121" w:lineRule="exact"/>
        <w:rPr>
          <w:sz w:val="20"/>
          <w:szCs w:val="20"/>
          <w:color w:val="auto"/>
        </w:rPr>
      </w:pPr>
    </w:p>
    <w:p>
      <w:pPr>
        <w:jc w:val="both"/>
        <w:ind w:firstLine="1194"/>
        <w:spacing w:after="0" w:line="287" w:lineRule="auto"/>
        <w:rPr>
          <w:sz w:val="20"/>
          <w:szCs w:val="20"/>
          <w:color w:val="auto"/>
        </w:rPr>
      </w:pPr>
      <w:r>
        <w:rPr>
          <w:rFonts w:ascii="Arial" w:cs="Arial" w:eastAsia="Arial" w:hAnsi="Arial"/>
          <w:sz w:val="16"/>
          <w:szCs w:val="16"/>
          <w:color w:val="auto"/>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Introduction of new product features typically requires us to increase production volume on a timely basis while maintaining product quality. Manufacturers often encounter difficulties in increasing production volumes, including delays, quality control problems and shortages of qualified personnel or raw materials. As we attempt to introduce new product features in the future, we do not know if we will be able to increase production volumes without encountering these or other problems, which might negatively impact our financial condition or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Higher costs or unavailability of our raw materials could negatively impact our financial results.</w:t>
      </w:r>
    </w:p>
    <w:p>
      <w:pPr>
        <w:spacing w:after="0" w:line="121"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Materials purchased outside of these arrangements are sometimes subject to unanticipated and sudden price increases.</w:t>
      </w:r>
    </w:p>
    <w:p>
      <w:pPr>
        <w:spacing w:after="0" w:line="85"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Certain components used in our products are manufactured by foreign suppliers located in China and elsewhere. Global economic and political conditions, including natural disasters, terrorist acts, global conflicts and public heath crises such as the coronavirus, could prevent our vendors from being able to supply these components. Should our vendors not be able to meet their supply obligations or should we be otherwise unable to obtain necessary raw materials or components, we may incur higher supply costs or may be required to reduce production levels, either of which may decrease our liquidity or negatively impact our financial condition or results of operations as we may be unable to offset the higher costs with increases in our selling prices or reductions in other operating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spacing w:after="0" w:line="282" w:lineRule="auto"/>
        <w:rPr>
          <w:sz w:val="20"/>
          <w:szCs w:val="20"/>
          <w:color w:val="auto"/>
        </w:rPr>
      </w:pPr>
      <w:r>
        <w:rPr>
          <w:rFonts w:ascii="Arial" w:cs="Arial" w:eastAsia="Arial" w:hAnsi="Arial"/>
          <w:sz w:val="18"/>
          <w:szCs w:val="18"/>
          <w:b w:val="1"/>
          <w:bCs w:val="1"/>
          <w:color w:val="auto"/>
        </w:rPr>
        <w:t>Failure to protect our intellectual property rights or claims by others that we infringe their intellectual property rights could substantially harm our business.</w:t>
      </w:r>
    </w:p>
    <w:p>
      <w:pPr>
        <w:spacing w:after="0" w:line="58" w:lineRule="exact"/>
        <w:rPr>
          <w:sz w:val="20"/>
          <w:szCs w:val="20"/>
          <w:color w:val="auto"/>
        </w:rPr>
      </w:pPr>
    </w:p>
    <w:p>
      <w:pPr>
        <w:jc w:val="both"/>
        <w:ind w:firstLine="1194"/>
        <w:spacing w:after="0" w:line="291" w:lineRule="auto"/>
        <w:rPr>
          <w:sz w:val="20"/>
          <w:szCs w:val="20"/>
          <w:color w:val="auto"/>
        </w:rPr>
      </w:pPr>
      <w:r>
        <w:rPr>
          <w:rFonts w:ascii="Arial" w:cs="Arial" w:eastAsia="Arial" w:hAnsi="Arial"/>
          <w:sz w:val="16"/>
          <w:szCs w:val="16"/>
          <w:color w:val="auto"/>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Others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spacing w:after="0" w:line="167"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also might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climate change legislation could negatively impact our financial results or limit our ability to operate our businesses.</w:t>
      </w:r>
    </w:p>
    <w:p>
      <w:pPr>
        <w:spacing w:after="0" w:line="121"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All of our production facilities are located in the United States and we believe all of our production facilities are in substantial compliance with applicable environmental laws. To date, legislation and regulatory actions related to climate change have not had a material adverse effect on our financial results. However, if new legislation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121" w:lineRule="exact"/>
        <w:rPr>
          <w:sz w:val="20"/>
          <w:szCs w:val="20"/>
          <w:color w:val="auto"/>
        </w:rPr>
      </w:pPr>
    </w:p>
    <w:p>
      <w:pPr>
        <w:jc w:val="both"/>
        <w:ind w:firstLine="1194"/>
        <w:spacing w:after="0" w:line="272" w:lineRule="auto"/>
        <w:rPr>
          <w:sz w:val="20"/>
          <w:szCs w:val="20"/>
          <w:color w:val="auto"/>
        </w:rPr>
      </w:pPr>
      <w:r>
        <w:rPr>
          <w:rFonts w:ascii="Arial" w:cs="Arial" w:eastAsia="Arial" w:hAnsi="Arial"/>
          <w:sz w:val="17"/>
          <w:szCs w:val="17"/>
          <w:color w:val="auto"/>
        </w:rPr>
        <w:t>We rely on information technology systems to manage, process and analyze data, as well as to facilitate the manufacture and distribution of our products to and from our plants.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would be sufficiently effective. Therefore, any of our information technology systems may be susceptible to outages, disruptions, or destruction as well as cyber security breaches or attacks, resulting in a disruption of our business operations, injury to people, harm to the environment or our assets, and/or the inability to access our information technology systems. If any of these events were to occur, our results of operations and financial condition could be adversely affected.</w:t>
      </w:r>
    </w:p>
    <w:p>
      <w:pPr>
        <w:spacing w:after="0" w:line="28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Our principal executive offices are located in leased space at 5430 LBJ Freeway, Dallas, Texas 75240. The following table sets forth the location, size and business operating segment for each of our principal operating facilities.</w:t>
      </w:r>
    </w:p>
    <w:p>
      <w:pPr>
        <w:spacing w:after="0" w:line="15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120" w:type="dxa"/>
            <w:vAlign w:val="bottom"/>
          </w:tcPr>
          <w:p>
            <w:pPr>
              <w:spacing w:after="0"/>
              <w:rPr>
                <w:sz w:val="14"/>
                <w:szCs w:val="14"/>
                <w:color w:val="auto"/>
              </w:rPr>
            </w:pPr>
          </w:p>
        </w:tc>
        <w:tc>
          <w:tcPr>
            <w:tcW w:w="26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Location</w:t>
            </w:r>
          </w:p>
        </w:tc>
        <w:tc>
          <w:tcPr>
            <w:tcW w:w="1480" w:type="dxa"/>
            <w:vAlign w:val="bottom"/>
          </w:tcPr>
          <w:p>
            <w:pPr>
              <w:jc w:val="right"/>
              <w:ind w:right="537"/>
              <w:spacing w:after="0"/>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171"/>
        </w:trPr>
        <w:tc>
          <w:tcPr>
            <w:tcW w:w="2760" w:type="dxa"/>
            <w:vAlign w:val="bottom"/>
            <w:gridSpan w:val="4"/>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480" w:type="dxa"/>
            <w:vAlign w:val="bottom"/>
          </w:tcPr>
          <w:p>
            <w:pPr>
              <w:jc w:val="right"/>
              <w:ind w:right="277"/>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760" w:type="dxa"/>
            <w:vAlign w:val="bottom"/>
            <w:gridSpan w:val="4"/>
          </w:tcPr>
          <w:p>
            <w:pPr>
              <w:spacing w:after="0"/>
              <w:rPr>
                <w:sz w:val="20"/>
                <w:szCs w:val="20"/>
                <w:color w:val="auto"/>
              </w:rPr>
            </w:pPr>
            <w:r>
              <w:rPr>
                <w:rFonts w:ascii="Arial" w:cs="Arial" w:eastAsia="Arial" w:hAnsi="Arial"/>
                <w:sz w:val="18"/>
                <w:szCs w:val="18"/>
                <w:color w:val="auto"/>
              </w:rPr>
              <w:t>Owned Facilities: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2740" w:type="dxa"/>
            <w:vAlign w:val="bottom"/>
            <w:gridSpan w:val="3"/>
          </w:tcPr>
          <w:p>
            <w:pPr>
              <w:ind w:left="420"/>
              <w:spacing w:after="0"/>
              <w:rPr>
                <w:sz w:val="20"/>
                <w:szCs w:val="20"/>
                <w:color w:val="auto"/>
              </w:rPr>
            </w:pPr>
            <w:r>
              <w:rPr>
                <w:rFonts w:ascii="Arial" w:cs="Arial" w:eastAsia="Arial" w:hAnsi="Arial"/>
                <w:sz w:val="18"/>
                <w:szCs w:val="18"/>
                <w:color w:val="auto"/>
              </w:rPr>
              <w:t xml:space="preserve">National </w:t>
            </w:r>
            <w:r>
              <w:rPr>
                <w:rFonts w:ascii="Arial" w:cs="Arial" w:eastAsia="Arial" w:hAnsi="Arial"/>
                <w:sz w:val="26"/>
                <w:szCs w:val="26"/>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83"/>
              </w:rPr>
              <w:t>SP</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Mauldin, SC</w:t>
            </w:r>
          </w:p>
        </w:tc>
        <w:tc>
          <w:tcPr>
            <w:tcW w:w="1480" w:type="dxa"/>
            <w:vAlign w:val="bottom"/>
          </w:tcPr>
          <w:p>
            <w:pPr>
              <w:jc w:val="right"/>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gridSpan w:val="3"/>
          </w:tcPr>
          <w:p>
            <w:pPr>
              <w:ind w:left="420"/>
              <w:spacing w:after="0" w:line="270" w:lineRule="exact"/>
              <w:rPr>
                <w:sz w:val="20"/>
                <w:szCs w:val="20"/>
                <w:color w:val="auto"/>
              </w:rPr>
            </w:pPr>
            <w:r>
              <w:rPr>
                <w:rFonts w:ascii="Arial" w:cs="Arial" w:eastAsia="Arial" w:hAnsi="Arial"/>
                <w:sz w:val="18"/>
                <w:szCs w:val="18"/>
                <w:color w:val="auto"/>
              </w:rPr>
              <w:t>Grayslake</w:t>
            </w:r>
            <w:r>
              <w:rPr>
                <w:rFonts w:ascii="Arial" w:cs="Arial" w:eastAsia="Arial" w:hAnsi="Arial"/>
                <w:sz w:val="26"/>
                <w:szCs w:val="26"/>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SP/MC</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Grayslake, IL</w:t>
            </w:r>
          </w:p>
        </w:tc>
        <w:tc>
          <w:tcPr>
            <w:tcW w:w="1480" w:type="dxa"/>
            <w:vAlign w:val="bottom"/>
          </w:tcPr>
          <w:p>
            <w:pPr>
              <w:jc w:val="right"/>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740" w:type="dxa"/>
            <w:vAlign w:val="bottom"/>
            <w:gridSpan w:val="3"/>
          </w:tcPr>
          <w:p>
            <w:pPr>
              <w:ind w:left="420"/>
              <w:spacing w:after="0"/>
              <w:rPr>
                <w:sz w:val="20"/>
                <w:szCs w:val="20"/>
                <w:color w:val="auto"/>
              </w:rPr>
            </w:pPr>
            <w:r>
              <w:rPr>
                <w:rFonts w:ascii="Arial" w:cs="Arial" w:eastAsia="Arial" w:hAnsi="Arial"/>
                <w:sz w:val="18"/>
                <w:szCs w:val="18"/>
                <w:color w:val="auto"/>
              </w:rPr>
              <w:t>Custom</w:t>
            </w:r>
            <w:r>
              <w:rPr>
                <w:rFonts w:ascii="Arial" w:cs="Arial" w:eastAsia="Arial" w:hAnsi="Arial"/>
                <w:sz w:val="26"/>
                <w:szCs w:val="26"/>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MC</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Neenah, WI</w:t>
            </w:r>
          </w:p>
        </w:tc>
        <w:tc>
          <w:tcPr>
            <w:tcW w:w="1480" w:type="dxa"/>
            <w:vAlign w:val="bottom"/>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SP – Security Products business segment</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MC – Marine Components business segment</w:t>
      </w:r>
    </w:p>
    <w:p>
      <w:pPr>
        <w:ind w:left="2000" w:hanging="587"/>
        <w:spacing w:after="0" w:line="180" w:lineRule="auto"/>
        <w:tabs>
          <w:tab w:leader="none" w:pos="2000" w:val="left"/>
        </w:tabs>
        <w:numPr>
          <w:ilvl w:val="0"/>
          <w:numId w:val="10"/>
        </w:numPr>
        <w:rPr>
          <w:rFonts w:ascii="Arial" w:cs="Arial" w:eastAsia="Arial" w:hAnsi="Arial"/>
          <w:sz w:val="26"/>
          <w:szCs w:val="26"/>
          <w:color w:val="auto"/>
          <w:vertAlign w:val="superscript"/>
        </w:rPr>
      </w:pPr>
      <w:r>
        <w:rPr>
          <w:rFonts w:ascii="Arial" w:cs="Arial" w:eastAsia="Arial" w:hAnsi="Arial"/>
          <w:sz w:val="18"/>
          <w:szCs w:val="18"/>
          <w:color w:val="auto"/>
        </w:rPr>
        <w:t>ISO-9001 registered facilities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believe all of our facilities are well maintained and satisfactory for their intended purposes.</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We are involved, from time to time, in various environmental, contractual, product liability, patent (or intellectual property), employment and other claims and disputes incidental to our business. See Note 10 to the Consolidated Financial Statements. We currently believe that the disposition of all claims and disputes, individually or in the aggregate, should not have a material adverse effect on our consolidated financial condition, results of operations or liquidity.</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AND RELATED STOCKHOLDER MATTERS</w:t>
      </w:r>
    </w:p>
    <w:p>
      <w:pPr>
        <w:spacing w:after="0" w:line="12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b w:val="1"/>
          <w:bCs w:val="1"/>
          <w:i w:val="1"/>
          <w:iCs w:val="1"/>
          <w:color w:val="auto"/>
        </w:rPr>
        <w:t xml:space="preserve">Common Stock and Dividends. </w:t>
      </w:r>
      <w:r>
        <w:rPr>
          <w:rFonts w:ascii="Arial" w:cs="Arial" w:eastAsia="Arial" w:hAnsi="Arial"/>
          <w:sz w:val="18"/>
          <w:szCs w:val="18"/>
          <w:color w:val="auto"/>
        </w:rPr>
        <w:t>Our Class A common stock is listed and traded on the NYSE American (symbol: CIX). As of February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there were approximately 17 holders of record of CompX Class A common stock.</w:t>
      </w:r>
    </w:p>
    <w:p>
      <w:pPr>
        <w:spacing w:after="0" w:line="170" w:lineRule="exact"/>
        <w:rPr>
          <w:sz w:val="20"/>
          <w:szCs w:val="20"/>
          <w:color w:val="auto"/>
        </w:rPr>
      </w:pPr>
    </w:p>
    <w:p>
      <w:pPr>
        <w:jc w:val="both"/>
        <w:ind w:firstLine="1194"/>
        <w:spacing w:after="0" w:line="313" w:lineRule="auto"/>
        <w:rPr>
          <w:sz w:val="20"/>
          <w:szCs w:val="20"/>
          <w:color w:val="auto"/>
        </w:rPr>
      </w:pPr>
      <w:r>
        <w:rPr>
          <w:rFonts w:ascii="Arial" w:cs="Arial" w:eastAsia="Arial" w:hAnsi="Arial"/>
          <w:sz w:val="16"/>
          <w:szCs w:val="16"/>
          <w:b w:val="1"/>
          <w:bCs w:val="1"/>
          <w:i w:val="1"/>
          <w:iCs w:val="1"/>
          <w:color w:val="auto"/>
        </w:rPr>
        <w:t>Performance Graph</w:t>
      </w:r>
      <w:r>
        <w:rPr>
          <w:rFonts w:ascii="Arial" w:cs="Arial" w:eastAsia="Arial" w:hAnsi="Arial"/>
          <w:sz w:val="16"/>
          <w:szCs w:val="16"/>
          <w:color w:val="auto"/>
        </w:rPr>
        <w:t>. Set forth below is a line graph comparing the yearly change in our cumulative total stockholder returns on our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against the cumulative total return of the Russell 2000 Index and an index of a self-selected peer group of companies for the period from December 31, 2014 through December 31, 2019. The peer group index is comprised of The Eastern Company and Strattec Security Corporation. The graph shows the value at December 31 of each year assuming an original investment of $100 at December 31, 2014 and reinvestment of dividends.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w w:val="96"/>
              </w:rPr>
              <w:t>December 31,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CompX International Inc.</w:t>
            </w: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160" w:type="dxa"/>
            <w:vAlign w:val="bottom"/>
            <w:vMerge w:val="continue"/>
          </w:tcPr>
          <w:p>
            <w:pPr>
              <w:spacing w:after="0"/>
              <w:rPr>
                <w:sz w:val="16"/>
                <w:szCs w:val="16"/>
                <w:color w:val="auto"/>
              </w:rPr>
            </w:pPr>
          </w:p>
        </w:tc>
        <w:tc>
          <w:tcPr>
            <w:tcW w:w="680" w:type="dxa"/>
            <w:vAlign w:val="bottom"/>
            <w:tcBorders>
              <w:top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16"/>
                <w:szCs w:val="16"/>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3"/>
              </w:rPr>
              <w:t>138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9"/>
              </w:rPr>
              <w:t>116</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Russell 2000 Index</w:t>
            </w:r>
          </w:p>
        </w:tc>
        <w:tc>
          <w:tcPr>
            <w:tcW w:w="6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w:t>
            </w:r>
          </w:p>
        </w:tc>
        <w:tc>
          <w:tcPr>
            <w:tcW w:w="7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Peer Group</w:t>
            </w:r>
          </w:p>
        </w:tc>
        <w:tc>
          <w:tcPr>
            <w:tcW w:w="6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w:t>
            </w:r>
          </w:p>
        </w:tc>
        <w:tc>
          <w:tcPr>
            <w:tcW w:w="72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154305</wp:posOffset>
            </wp:positionV>
            <wp:extent cx="5205730" cy="3567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0573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976"/>
        <w:spacing w:after="0" w:line="264" w:lineRule="auto"/>
        <w:rPr>
          <w:sz w:val="20"/>
          <w:szCs w:val="20"/>
          <w:color w:val="auto"/>
        </w:rPr>
      </w:pPr>
      <w:r>
        <w:rPr>
          <w:rFonts w:ascii="Arial" w:cs="Arial" w:eastAsia="Arial" w:hAnsi="Arial"/>
          <w:sz w:val="18"/>
          <w:szCs w:val="18"/>
          <w:b w:val="1"/>
          <w:bCs w:val="1"/>
          <w:i w:val="1"/>
          <w:iCs w:val="1"/>
          <w:color w:val="auto"/>
        </w:rPr>
        <w:t xml:space="preserve">Equity compensation plan information. </w:t>
      </w:r>
      <w:r>
        <w:rPr>
          <w:rFonts w:ascii="Arial" w:cs="Arial" w:eastAsia="Arial" w:hAnsi="Arial"/>
          <w:sz w:val="18"/>
          <w:szCs w:val="18"/>
          <w:color w:val="auto"/>
        </w:rPr>
        <w:t>We have a share based incentive compensation plan, approved by our stockholders,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aggregate of 200,000 shares of our common stock can be awarded to non-employee members of our board of directors. At December 31, 2019, 149,050 shares are available for award under this plan. See Note 8 to the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firstLine="1194"/>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Item 7 - “Management’s Discussion and Analysis of Financial Condition and Results of Operations.”</w:t>
      </w:r>
    </w:p>
    <w:p>
      <w:pPr>
        <w:spacing w:after="0" w:line="170" w:lineRule="exact"/>
        <w:rPr>
          <w:sz w:val="20"/>
          <w:szCs w:val="20"/>
          <w:color w:val="auto"/>
        </w:rPr>
      </w:pPr>
    </w:p>
    <w:p>
      <w:pPr>
        <w:ind w:firstLine="1194"/>
        <w:spacing w:after="0" w:line="277" w:lineRule="auto"/>
        <w:rPr>
          <w:sz w:val="20"/>
          <w:szCs w:val="20"/>
          <w:color w:val="auto"/>
        </w:rPr>
      </w:pPr>
      <w:r>
        <w:rPr>
          <w:rFonts w:ascii="Arial" w:cs="Arial" w:eastAsia="Arial" w:hAnsi="Arial"/>
          <w:sz w:val="18"/>
          <w:szCs w:val="18"/>
          <w:color w:val="auto"/>
        </w:rPr>
        <w:t>Our fiscal year end is always the Sunday closest to December 31, and our operations are reported on a 52 or 53-week fiscal year. 2015 was a 53-week year; all other years shown are 52-week years.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auto"/>
                <w:w w:val="90"/>
              </w:rPr>
              <w:t>Years ended December 31,</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96"/>
              </w:rPr>
              <w:t>2017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gridSpan w:val="4"/>
          </w:tcPr>
          <w:p>
            <w:pPr>
              <w:jc w:val="center"/>
              <w:ind w:left="453"/>
              <w:spacing w:after="0"/>
              <w:rPr>
                <w:sz w:val="20"/>
                <w:szCs w:val="20"/>
                <w:color w:val="auto"/>
              </w:rPr>
            </w:pPr>
            <w:r>
              <w:rPr>
                <w:rFonts w:ascii="Arial" w:cs="Arial" w:eastAsia="Arial" w:hAnsi="Arial"/>
                <w:sz w:val="14"/>
                <w:szCs w:val="14"/>
                <w:b w:val="1"/>
                <w:bCs w:val="1"/>
                <w:color w:val="auto"/>
                <w:w w:val="92"/>
              </w:rPr>
              <w:t>(In millions, except per share data)</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109.0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108.9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118.2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Gross margin</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35.2</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Non-operating income - interest income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1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Diluted earnings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1.23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Cash dividends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140" w:type="dxa"/>
            <w:vAlign w:val="bottom"/>
          </w:tcPr>
          <w:p>
            <w:pPr>
              <w:spacing w:after="0"/>
              <w:rPr>
                <w:sz w:val="20"/>
                <w:szCs w:val="20"/>
                <w:color w:val="auto"/>
              </w:rPr>
            </w:pPr>
            <w:r>
              <w:rPr>
                <w:rFonts w:ascii="Arial" w:cs="Arial" w:eastAsia="Arial" w:hAnsi="Arial"/>
                <w:sz w:val="18"/>
                <w:szCs w:val="18"/>
                <w:b w:val="1"/>
                <w:bCs w:val="1"/>
                <w:color w:val="auto"/>
              </w:rPr>
              <w:t>Balance Sheet Data (at year end):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Cash and other current assets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76.9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59.2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76.3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134.8</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144.0</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151.0</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166.4</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117.7</w:t>
            </w:r>
          </w:p>
        </w:tc>
        <w:tc>
          <w:tcPr>
            <w:tcW w:w="3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125.8</w:t>
            </w:r>
          </w:p>
        </w:tc>
        <w:tc>
          <w:tcPr>
            <w:tcW w:w="3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136.6</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149.6</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140" w:type="dxa"/>
            <w:vAlign w:val="bottom"/>
          </w:tcPr>
          <w:p>
            <w:pPr>
              <w:spacing w:after="0"/>
              <w:rPr>
                <w:sz w:val="20"/>
                <w:szCs w:val="20"/>
                <w:color w:val="auto"/>
              </w:rPr>
            </w:pPr>
            <w:r>
              <w:rPr>
                <w:rFonts w:ascii="Arial" w:cs="Arial" w:eastAsia="Arial" w:hAnsi="Arial"/>
                <w:sz w:val="18"/>
                <w:szCs w:val="18"/>
                <w:b w:val="1"/>
                <w:bCs w:val="1"/>
                <w:color w:val="auto"/>
              </w:rPr>
              <w:t>Statements of Cash Flow Data:</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Operating activities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17.2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Investing activities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Financing activities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Overview</w:t>
      </w:r>
    </w:p>
    <w:p>
      <w:pPr>
        <w:spacing w:after="0" w:line="121"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We reported operating income of $17.7 million in 2019 compared to operating income of $17.8 million in 2018 and $15.2 million in 2017. Operating income in 2019 was comparable to operating income in 2018. The increase in operating income in 2018 over 2017 is primarily due to higher sales at both Security Products and Marine Components.</w:t>
      </w:r>
    </w:p>
    <w:p>
      <w:pPr>
        <w:spacing w:after="0" w:line="18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- 2019 Compared to 2018 and 2018 Compared to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Years ended December 31,</w:t>
            </w:r>
          </w:p>
        </w:tc>
        <w:tc>
          <w:tcPr>
            <w:tcW w:w="8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 Change</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5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2017-18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2018-19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Net sales</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118.2</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560" w:type="dxa"/>
            <w:vAlign w:val="bottom"/>
          </w:tcPr>
          <w:p>
            <w:pPr>
              <w:ind w:left="380"/>
              <w:spacing w:after="0"/>
              <w:rPr>
                <w:sz w:val="20"/>
                <w:szCs w:val="20"/>
                <w:color w:val="auto"/>
              </w:rPr>
            </w:pPr>
            <w:r>
              <w:rPr>
                <w:rFonts w:ascii="Arial" w:cs="Arial" w:eastAsia="Arial" w:hAnsi="Arial"/>
                <w:sz w:val="18"/>
                <w:szCs w:val="18"/>
                <w:color w:val="auto"/>
              </w:rPr>
              <w:t>Gross margin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5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Percent of net sales:</w:t>
            </w: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5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80"/>
              <w:spacing w:after="0"/>
              <w:rPr>
                <w:sz w:val="20"/>
                <w:szCs w:val="20"/>
                <w:color w:val="auto"/>
              </w:rPr>
            </w:pPr>
            <w:r>
              <w:rPr>
                <w:rFonts w:ascii="Arial" w:cs="Arial" w:eastAsia="Arial" w:hAnsi="Arial"/>
                <w:sz w:val="18"/>
                <w:szCs w:val="18"/>
                <w:color w:val="auto"/>
              </w:rPr>
              <w:t>Gross margin</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approximately $6.0 million in 2019 compared to 2018 primarily due to higher Marine Components sales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towboat market. Relative changes in selling prices did not have a material impact on net sales comparisons.</w:t>
      </w:r>
    </w:p>
    <w:p>
      <w:pPr>
        <w:spacing w:after="0" w:line="170"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color w:val="auto"/>
        </w:rPr>
        <w:t>Net sales increased approximately $6.2 million in 2018 compared to 2017 primarily due to higher Marine Components sales volumes to manufacturers of ski/wakeboard boats and larger center-console boats, and to a lesser extent higher Security Products sales to certain markets, particularly transportation and office furniture. Relative changes in selling prices did not have a material impact on net sales comparisons.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Cost of Sales and Gross Margin. </w:t>
      </w:r>
      <w:r>
        <w:rPr>
          <w:rFonts w:ascii="Arial" w:cs="Arial" w:eastAsia="Arial" w:hAnsi="Arial"/>
          <w:sz w:val="18"/>
          <w:szCs w:val="18"/>
          <w:color w:val="auto"/>
        </w:rPr>
        <w:t>Cost of sales increased in 2019 compared to 2018 due to the effects of increased sales volumes for both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Products and Marine Components and increased labor costs at Security Products. As a result, gross margin as a percentage of sales decreased over the same period. The decrease in gross margin percentage is the result of the decline in Security Products gross margin percentage in 2019 as compared to 2018.</w:t>
      </w:r>
    </w:p>
    <w:p>
      <w:pPr>
        <w:spacing w:after="0" w:line="18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Cost of sales increased from 2017 to 2018 primarily due to increased sales volumes for both the Security Products and Marine Components segments. Gross margin dollars and gross margin as a percentage of sales increased from 2017 to 2018 primarily due to greater fixed cost leverage facilitated by higher production volumes for each of our business segments.</w:t>
      </w:r>
    </w:p>
    <w:p>
      <w:pPr>
        <w:spacing w:after="0" w:line="18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Operating Costs and Expenses</w:t>
      </w:r>
      <w:r>
        <w:rPr>
          <w:rFonts w:ascii="Arial" w:cs="Arial" w:eastAsia="Arial" w:hAnsi="Arial"/>
          <w:sz w:val="18"/>
          <w:szCs w:val="18"/>
          <w:color w:val="auto"/>
        </w:rPr>
        <w:t>. Operating costs and expenses consist primarily of sales and administrative-related personnel costs,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advertising expenses directly related to product sales and administrative costs relating to business unit and corporate management activities, as well as gains and losses on sales of property and equipment. Operating costs and expenses as a percentage of sales were comparable in 2017, 2018 and 2019.</w:t>
      </w:r>
    </w:p>
    <w:p>
      <w:pPr>
        <w:spacing w:after="0" w:line="187" w:lineRule="exact"/>
        <w:rPr>
          <w:sz w:val="20"/>
          <w:szCs w:val="20"/>
          <w:color w:val="auto"/>
        </w:rPr>
      </w:pPr>
    </w:p>
    <w:p>
      <w:pPr>
        <w:jc w:val="both"/>
        <w:ind w:right="20" w:firstLine="1194"/>
        <w:spacing w:after="0" w:line="342"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As a percentage of net sales, operating income decreased from 2018 to 2019 while operating income increased from 2017</w:t>
      </w:r>
      <w:r>
        <w:rPr>
          <w:rFonts w:ascii="Arial" w:cs="Arial" w:eastAsia="Arial" w:hAnsi="Arial"/>
          <w:sz w:val="16"/>
          <w:szCs w:val="16"/>
          <w:i w:val="1"/>
          <w:iCs w:val="1"/>
          <w:color w:val="auto"/>
        </w:rPr>
        <w:t xml:space="preserve"> </w:t>
      </w:r>
      <w:r>
        <w:rPr>
          <w:rFonts w:ascii="Arial" w:cs="Arial" w:eastAsia="Arial" w:hAnsi="Arial"/>
          <w:sz w:val="16"/>
          <w:szCs w:val="16"/>
          <w:color w:val="auto"/>
        </w:rPr>
        <w:t>to 2018. Operating margins were primarily impacted by the factors impacting cost of sales, gross margin and operating costs discussed above.</w:t>
      </w:r>
    </w:p>
    <w:p>
      <w:pPr>
        <w:spacing w:after="0" w:line="124"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profitability primarily depends on our ability to utilize our production capacity effectively, which is affected by,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and stainless steel. Total material costs represented approximately 45% of our cost of sales in 2019, with commodity-related raw materials accounting for approximately 13% of our cost of sales. During 2018, markets for the primary commodity-related raw materials used in the manufacture of our locking mechanisms, primarily zinc and brass, generally strengthened, but moderated at the end of 2018 and remained relatively stable through 2019. Over that same period, the market for stainless steel, the primary raw material used for the manufacture of marine exhaust headers and pipes and wake enhancement systems, remained relatively stable. While we expect the markets for our primary commodity-related raw materials to remain stable during 2020, we recognize that economic conditions could introduce renewed volatility on these and other manufacturing materials.</w:t>
      </w:r>
    </w:p>
    <w:p>
      <w:pPr>
        <w:spacing w:after="0" w:line="182" w:lineRule="exact"/>
        <w:rPr>
          <w:sz w:val="20"/>
          <w:szCs w:val="20"/>
          <w:color w:val="auto"/>
        </w:rPr>
      </w:pPr>
    </w:p>
    <w:p>
      <w:pPr>
        <w:jc w:val="both"/>
        <w:ind w:right="20" w:firstLine="1194"/>
        <w:spacing w:after="0" w:line="277" w:lineRule="auto"/>
        <w:rPr>
          <w:sz w:val="20"/>
          <w:szCs w:val="20"/>
          <w:color w:val="auto"/>
        </w:rPr>
      </w:pPr>
      <w:r>
        <w:rPr>
          <w:rFonts w:ascii="Arial" w:cs="Arial" w:eastAsia="Arial" w:hAnsi="Arial"/>
          <w:sz w:val="18"/>
          <w:szCs w:val="18"/>
          <w:color w:val="auto"/>
        </w:rPr>
        <w:t>We occasionally enter into short-term commodity-related raw material supply arrangements to mitigate the impact of future increases in commodity related raw material costs. See Item 1 - “Business- Raw Materials.”</w:t>
      </w:r>
    </w:p>
    <w:p>
      <w:pPr>
        <w:spacing w:after="0" w:line="170" w:lineRule="exact"/>
        <w:rPr>
          <w:sz w:val="20"/>
          <w:szCs w:val="20"/>
          <w:color w:val="auto"/>
        </w:rPr>
      </w:pPr>
    </w:p>
    <w:p>
      <w:pPr>
        <w:jc w:val="both"/>
        <w:ind w:firstLine="1283"/>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2019 increased compared to 2018 primarily due to higher average loan balances and higher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on our loan to an affiliate as well as higher average investment balances and higher interest rates on our cash investments. Interest income in 2018 increased compared to 2017 primarily due to higher interest rates on our loan to an affiliate as well as our cash investments. See Note 9 to the Consolidated Financial Statements.</w:t>
      </w:r>
    </w:p>
    <w:p>
      <w:pPr>
        <w:spacing w:after="0" w:line="187"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Note 7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spacing w:after="0" w:line="187"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Our effective income tax rate was 23% in 2017, 25% in 2018 and 24% in 2019. On December 22, 2017, H.R.1, formally known as the “Tax Cuts and Jobs Act” (“2017 Tax Act”) was enacted into law. This tax legislation, among other changes, (i) reduced the U.S Federal corporate income tax rate from 35% to 21% effective January 1, 2018; (ii) eliminated the domestic production activities deduction beginning in 2018; and (iii) allowed the expensing of certain capital expenditures. Following the enactment of the 2017 Tax Act, the Securities and Exchange Commission issued Staff Accounting Bulletin (SAB) 118 to provide guidance on the accounting and reporting impacts of the 2017 Tax Act. SAB 118 required that companies account for changes related to the 2017 Tax Act 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the period of enactment unless the impact of such changes could not be reasonably estimated. Such revaluation resulted in a non-cash deferred income tax benefit of $1.9 million recognized in continuing operations for the period ended December 31, 2017, reducing our net deferred income tax liability as of that date. During 2018 we finalized our analysis of the 2017 Tax Act and recorded an immaterial adjustment within the defined measurement period. See Notes 7 and 10 to our Consolidated Financial Statements.</w:t>
      </w:r>
    </w:p>
    <w:p>
      <w:pPr>
        <w:spacing w:after="0" w:line="187"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While our effective income tax rate for 2018 was favorably impacted by the reduction in the U.S. federal statutory income tax rate from 35% to 21%, our effective income tax rate was higher in 2018 as compared to 2017 due to the $1.9 million non-cash deferred income tax benefit recognized in 2017 resulting from the revaluation of our net deferred income tax liability discussed above. Our effective income tax rate was lower in 2019 as compared to 2018 primarily due to recognizing a current cash tax benefit of $0.2 million in 2019 resulting from a deduction under the foreign derived intangible income provisions ($0.1 million of such current cash tax benefit is related to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The key performance indicator for our segments is the level of their operating income (see discussion below). For additional information regarding our segments refer to Note 2 to our Consolidated Financial Statements.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8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 Change</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4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2017-18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rPr>
              <w:t>2018-19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40" w:type="dxa"/>
            <w:vAlign w:val="bottom"/>
            <w:vMerge w:val="restart"/>
          </w:tcPr>
          <w:p>
            <w:pPr>
              <w:spacing w:after="0"/>
              <w:rPr>
                <w:sz w:val="20"/>
                <w:szCs w:val="20"/>
                <w:color w:val="auto"/>
              </w:rPr>
            </w:pPr>
            <w:r>
              <w:rPr>
                <w:rFonts w:ascii="Arial" w:cs="Arial" w:eastAsia="Arial" w:hAnsi="Arial"/>
                <w:sz w:val="18"/>
                <w:szCs w:val="18"/>
                <w:color w:val="auto"/>
              </w:rPr>
              <w:t>Security Products:</w:t>
            </w:r>
          </w:p>
        </w:tc>
        <w:tc>
          <w:tcPr>
            <w:tcW w:w="10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5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170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96.6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98.4</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4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65.5</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5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31.1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10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11.9</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19.2</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Gross margin</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32.2</w:t>
            </w: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c>
          <w:tcPr>
            <w:tcW w:w="5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19.9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302" w:lineRule="auto"/>
        <w:rPr>
          <w:sz w:val="20"/>
          <w:szCs w:val="20"/>
          <w:color w:val="auto"/>
        </w:rPr>
      </w:pPr>
      <w:r>
        <w:rPr>
          <w:rFonts w:ascii="Arial" w:cs="Arial" w:eastAsia="Arial" w:hAnsi="Arial"/>
          <w:sz w:val="16"/>
          <w:szCs w:val="16"/>
          <w:i w:val="1"/>
          <w:iCs w:val="1"/>
          <w:color w:val="auto"/>
        </w:rPr>
        <w:t xml:space="preserve">Security Products. </w:t>
      </w:r>
      <w:r>
        <w:rPr>
          <w:rFonts w:ascii="Arial" w:cs="Arial" w:eastAsia="Arial" w:hAnsi="Arial"/>
          <w:sz w:val="16"/>
          <w:szCs w:val="16"/>
          <w:color w:val="auto"/>
        </w:rPr>
        <w:t>Security Products net sales increased 1% to $99.3 million in 2019 compared to $98.4 million in 2018,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sales to government security and medical cart manufacturing markets, partially offset by lower sales to the transportation, electronic control panel and distribution markets. As a percentage of sales, gross margin and operating income for 2019 declined as compared to 2018 primarily due to increased labor rates and associated payroll costs resulting from regional pressure on wages for certain skilled labor positions, partially offset by favorable medical costs.</w:t>
      </w:r>
    </w:p>
    <w:p>
      <w:pPr>
        <w:spacing w:after="0" w:line="154"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Security Products net sales increased 2% to $98.4 million in 2018 compared to $96.6 million in 2017, primarily due to higher sales to the transportation and office furniture markets. As a percentage of sales, gross margin for 2018 increased slightly over 2017 due to lower production costs, including headcount reductions made during the second quarter of 2017, and improved coverage of fixed costs over increased production volumes. Operating costs and expenses for 2018 were slightly lower than 2017. As a result, Security Products operating income as a percentage of net sales for 2018 exceeded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4"/>
                <w:szCs w:val="14"/>
                <w:b w:val="1"/>
                <w:bCs w:val="1"/>
                <w:color w:val="auto"/>
                <w:w w:val="90"/>
              </w:rPr>
              <w:t>Years ended December 31,</w:t>
            </w:r>
          </w:p>
        </w:tc>
        <w:tc>
          <w:tcPr>
            <w:tcW w:w="8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7"/>
              </w:rPr>
              <w:t>% Change</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2017-18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2018-19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Arial" w:cs="Arial" w:eastAsia="Arial" w:hAnsi="Arial"/>
                <w:sz w:val="18"/>
                <w:szCs w:val="18"/>
                <w:color w:val="auto"/>
              </w:rPr>
              <w:t>Marine Components:</w:t>
            </w: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11.7</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Gross margin</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24.0</w:t>
            </w: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5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Marine Components. </w:t>
      </w:r>
      <w:r>
        <w:rPr>
          <w:rFonts w:ascii="Arial" w:cs="Arial" w:eastAsia="Arial" w:hAnsi="Arial"/>
          <w:sz w:val="18"/>
          <w:szCs w:val="18"/>
          <w:color w:val="auto"/>
        </w:rPr>
        <w:t>Marine Components net sales increased 26% in 2019 as compared to 2018 primarily due to increased sales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towboat market, primarily wake enhancement systems and surf pipes to an original equipment boat manufacturer. Gross margin as a percentage of sales in 2019 was comparable to 2018. Operating income as a percentage of net sales increased in 2019 compared to 2018 principally due to improved leverage on operating costs and expenses facilitated by higher production volumes.</w:t>
      </w:r>
    </w:p>
    <w:p>
      <w:pPr>
        <w:spacing w:after="0" w:line="187" w:lineRule="exact"/>
        <w:rPr>
          <w:sz w:val="20"/>
          <w:szCs w:val="20"/>
          <w:color w:val="auto"/>
        </w:rPr>
      </w:pPr>
    </w:p>
    <w:p>
      <w:pPr>
        <w:jc w:val="both"/>
        <w:ind w:right="20" w:firstLine="1194"/>
        <w:spacing w:after="0" w:line="259" w:lineRule="auto"/>
        <w:rPr>
          <w:sz w:val="20"/>
          <w:szCs w:val="20"/>
          <w:color w:val="auto"/>
        </w:rPr>
      </w:pPr>
      <w:r>
        <w:rPr>
          <w:rFonts w:ascii="Arial" w:cs="Arial" w:eastAsia="Arial" w:hAnsi="Arial"/>
          <w:sz w:val="18"/>
          <w:szCs w:val="18"/>
          <w:color w:val="auto"/>
        </w:rPr>
        <w:t>Marine Components net sales increased 29% in 2018 as compared to 2017 as a result of continued strong demand for our products, particularly those sold to the ski/wakeboard boat market as well as to manufacturers of large center-console boats and industrial customers. Gross margin and operating income as a percentage of net sales increased in 2018 compared to 2017 principally due to improved fixed cost leverage facilitated by higher production volumes.</w:t>
      </w:r>
    </w:p>
    <w:p>
      <w:pPr>
        <w:spacing w:after="0" w:line="187" w:lineRule="exact"/>
        <w:rPr>
          <w:sz w:val="20"/>
          <w:szCs w:val="20"/>
          <w:color w:val="auto"/>
        </w:rPr>
      </w:pPr>
    </w:p>
    <w:p>
      <w:pPr>
        <w:jc w:val="both"/>
        <w:ind w:firstLine="1194"/>
        <w:spacing w:after="0" w:line="254"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2019 was a breakout year for our Marine Components segment which sustained the significant growth we experienced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2018 for the full year of 2019. We expect growth of this segment to be more normalized in 2020. Our Security Products segment experienced modest sales growth in 2019; however we began to notice headwinds late in 2019 which may carry into 2020. In 2020, we plan to capitalize on the positive momentum our Marine Components segment has experienced over the last two years while maintaining strong results in our Security Products segment. We will continue to monitor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1194"/>
        <w:spacing w:after="0" w:line="273" w:lineRule="auto"/>
        <w:rPr>
          <w:sz w:val="20"/>
          <w:szCs w:val="20"/>
          <w:color w:val="auto"/>
        </w:rPr>
      </w:pPr>
      <w:r>
        <w:rPr>
          <w:rFonts w:ascii="Arial" w:cs="Arial" w:eastAsia="Arial" w:hAnsi="Arial"/>
          <w:sz w:val="17"/>
          <w:szCs w:val="17"/>
          <w:color w:val="auto"/>
        </w:rPr>
        <w:t>Our significant accounting policies are more fully described in Note 1 to our Consolidated Financial Statements. Our Consolidated Financial Statements have been prepared in conformity with accounting principles generally accepted in the United States of America (GAAP) which requires us to make estimates, judgments, and assumptions we believe are reasonable based on our historical experience, contract terms, observations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initial estimates.</w:t>
      </w:r>
    </w:p>
    <w:p>
      <w:pPr>
        <w:spacing w:after="0" w:line="178"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We believe the most critical accounting policies and estimates involving significant judgments and estimates primarily relate to the considerations in the impairment assessments for goodwill and certain long-lived assets. We have discussed the development, selection and disclosure of our critical accounting estimates with the Audit Committee of our Board of Directors.</w:t>
      </w:r>
    </w:p>
    <w:p>
      <w:pPr>
        <w:spacing w:after="0" w:line="73" w:lineRule="exact"/>
        <w:rPr>
          <w:sz w:val="20"/>
          <w:szCs w:val="20"/>
          <w:color w:val="auto"/>
        </w:rPr>
      </w:pPr>
    </w:p>
    <w:p>
      <w:pPr>
        <w:jc w:val="both"/>
        <w:ind w:left="1200" w:right="20" w:hanging="598"/>
        <w:spacing w:after="0" w:line="26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Our goodwill totaled $23.7 million at December 31, 2019, all relating to our Security Products segment. Goodwill is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tested annually or at other times whenever an event occurs or circumstances change that would more-likely-than-not reduce the fair value of a reporting unit below</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15" w:name="page16"/>
    <w:bookmarkEnd w:id="15"/>
    <w:p>
      <w:pPr>
        <w:jc w:val="both"/>
        <w:ind w:left="598"/>
        <w:spacing w:after="0" w:line="272" w:lineRule="auto"/>
        <w:rPr>
          <w:sz w:val="20"/>
          <w:szCs w:val="20"/>
          <w:color w:val="auto"/>
        </w:rPr>
      </w:pPr>
      <w:r>
        <w:rPr>
          <w:rFonts w:ascii="Arial" w:cs="Arial" w:eastAsia="Arial" w:hAnsi="Arial"/>
          <w:sz w:val="17"/>
          <w:szCs w:val="17"/>
          <w:color w:val="auto"/>
        </w:rPr>
        <w:t>its carrying value. We perform our annual goodwill impairment test in the third quarter of each year. In addition, adverse industry or economic trends, lower projections of profitability, or a sustained decline in our market capitalization, among other items, may be indications of potential impairment issues which are triggering events requiring the testing of an asset’s carrying value for recoverability. An entity may first assess qualitative factors to determine whether it is necessary to complete the two-step quantitative impairment test using a more-likely-than-not criteria. If an entity believes it is more-likely-than-not the fair value of a reporting unit is greater than its carrying value, including goodwill, the two-step quantitative impairment test can be bypassed. Alternatively, an entity has an unconditional option to bypass the qualitative assessment and proceed directly to performing the two-step quantitative impairment test.</w:t>
      </w:r>
    </w:p>
    <w:p>
      <w:pPr>
        <w:spacing w:after="0" w:line="70" w:lineRule="exact"/>
        <w:rPr>
          <w:sz w:val="20"/>
          <w:szCs w:val="20"/>
          <w:color w:val="auto"/>
        </w:rPr>
      </w:pPr>
    </w:p>
    <w:p>
      <w:pPr>
        <w:jc w:val="both"/>
        <w:ind w:left="598"/>
        <w:spacing w:after="0" w:line="257" w:lineRule="auto"/>
        <w:rPr>
          <w:sz w:val="20"/>
          <w:szCs w:val="20"/>
          <w:color w:val="auto"/>
        </w:rPr>
      </w:pPr>
      <w:r>
        <w:rPr>
          <w:rFonts w:ascii="Arial" w:cs="Arial" w:eastAsia="Arial" w:hAnsi="Arial"/>
          <w:sz w:val="18"/>
          <w:szCs w:val="18"/>
          <w:color w:val="auto"/>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 However, future events and circumstances could result in materially different findings which could result in the recognition of a material goodwill impairment.</w:t>
      </w:r>
    </w:p>
    <w:p>
      <w:pPr>
        <w:spacing w:after="0" w:line="80" w:lineRule="exact"/>
        <w:rPr>
          <w:sz w:val="20"/>
          <w:szCs w:val="20"/>
          <w:color w:val="auto"/>
        </w:rPr>
      </w:pPr>
    </w:p>
    <w:p>
      <w:pPr>
        <w:jc w:val="both"/>
        <w:ind w:left="598"/>
        <w:spacing w:after="0" w:line="254" w:lineRule="auto"/>
        <w:rPr>
          <w:sz w:val="20"/>
          <w:szCs w:val="20"/>
          <w:color w:val="auto"/>
        </w:rPr>
      </w:pPr>
      <w:r>
        <w:rPr>
          <w:rFonts w:ascii="Arial" w:cs="Arial" w:eastAsia="Arial" w:hAnsi="Arial"/>
          <w:sz w:val="18"/>
          <w:szCs w:val="18"/>
          <w:color w:val="auto"/>
        </w:rPr>
        <w:t>Evaluations of possible impairment utilizing the two-step quantitative impairment test require us to estimate, among other factors: forecasts of future operating results, revenue growth, operating margin, tax rates, capital expenditures, depreciation, working capital, weighted average cost of capital, long-term growth rates, risk premiums, terminal values, and fair values of our reporting units and assets. The goodwill impairment test is subject to uncertainties arising from such events as changes in competitive conditions, the current general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revaluation of our goodwill. Changes in estimates or the application of alternative assumptions could produce significantly different results.</w:t>
      </w:r>
    </w:p>
    <w:p>
      <w:pPr>
        <w:spacing w:after="0" w:line="84" w:lineRule="exact"/>
        <w:rPr>
          <w:sz w:val="20"/>
          <w:szCs w:val="20"/>
          <w:color w:val="auto"/>
        </w:rPr>
      </w:pPr>
    </w:p>
    <w:p>
      <w:pPr>
        <w:jc w:val="both"/>
        <w:ind w:left="598"/>
        <w:spacing w:after="0" w:line="264" w:lineRule="auto"/>
        <w:rPr>
          <w:sz w:val="20"/>
          <w:szCs w:val="20"/>
          <w:color w:val="auto"/>
        </w:rPr>
      </w:pPr>
      <w:r>
        <w:rPr>
          <w:rFonts w:ascii="Arial" w:cs="Arial" w:eastAsia="Arial" w:hAnsi="Arial"/>
          <w:sz w:val="18"/>
          <w:szCs w:val="18"/>
          <w:color w:val="auto"/>
        </w:rPr>
        <w:t>In 2019, we used the qualitative assessment for our annual impairment test and determined it was not necessary to perform the quantitative goodwill impairment test, as we concluded it is more-likely- than-not the fair value of the security products reporting unit exceeded its carrying amount. See Notes 1 and 5 to our Consolidated Financial Statements.</w:t>
      </w:r>
    </w:p>
    <w:p>
      <w:pPr>
        <w:spacing w:after="0" w:line="73" w:lineRule="exact"/>
        <w:rPr>
          <w:sz w:val="20"/>
          <w:szCs w:val="20"/>
          <w:color w:val="auto"/>
        </w:rPr>
      </w:pPr>
    </w:p>
    <w:p>
      <w:pPr>
        <w:jc w:val="both"/>
        <w:ind w:left="598" w:hanging="598"/>
        <w:spacing w:after="0" w:line="259" w:lineRule="auto"/>
        <w:tabs>
          <w:tab w:leader="none" w:pos="59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Long-lived assets – </w:t>
      </w:r>
      <w:r>
        <w:rPr>
          <w:rFonts w:ascii="Arial" w:cs="Arial" w:eastAsia="Arial" w:hAnsi="Arial"/>
          <w:sz w:val="18"/>
          <w:szCs w:val="18"/>
          <w:color w:val="auto"/>
        </w:rPr>
        <w:t>The net book value of our property and equipment totaled $31.0 million at December 31, 2019. We assess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w:t>
      </w:r>
    </w:p>
    <w:p>
      <w:pPr>
        <w:spacing w:after="0" w:line="78" w:lineRule="exact"/>
        <w:rPr>
          <w:rFonts w:ascii="Arial" w:cs="Arial" w:eastAsia="Arial" w:hAnsi="Arial"/>
          <w:sz w:val="18"/>
          <w:szCs w:val="18"/>
          <w:color w:val="auto"/>
        </w:rPr>
      </w:pPr>
    </w:p>
    <w:p>
      <w:pPr>
        <w:jc w:val="both"/>
        <w:ind w:left="598"/>
        <w:spacing w:after="0" w:line="302" w:lineRule="auto"/>
        <w:rPr>
          <w:rFonts w:ascii="Arial" w:cs="Arial" w:eastAsia="Arial" w:hAnsi="Arial"/>
          <w:sz w:val="18"/>
          <w:szCs w:val="18"/>
          <w:color w:val="auto"/>
        </w:rPr>
      </w:pPr>
      <w:r>
        <w:rPr>
          <w:rFonts w:ascii="Arial" w:cs="Arial" w:eastAsia="Arial" w:hAnsi="Arial"/>
          <w:sz w:val="16"/>
          <w:szCs w:val="16"/>
          <w:color w:val="auto"/>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2019 because no such impairment indicators were present.</w:t>
      </w:r>
    </w:p>
    <w:p>
      <w:pPr>
        <w:spacing w:after="0" w:line="154" w:lineRule="exact"/>
        <w:rPr>
          <w:rFonts w:ascii="Arial" w:cs="Arial" w:eastAsia="Arial" w:hAnsi="Arial"/>
          <w:sz w:val="18"/>
          <w:szCs w:val="18"/>
          <w:color w:val="auto"/>
        </w:rPr>
      </w:pPr>
    </w:p>
    <w:p>
      <w:pPr>
        <w:ind w:left="5018" w:hanging="101"/>
        <w:spacing w:after="0"/>
        <w:tabs>
          <w:tab w:leader="none" w:pos="5018" w:val="left"/>
        </w:tabs>
        <w:numPr>
          <w:ilvl w:val="1"/>
          <w:numId w:val="12"/>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18"/>
          </w:cols>
          <w:pgMar w:left="842"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Trends in cash flows from operating activities, excluding changes in assets and liabilities, for the last three years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similar to the trends in our earnings. Depreciation and amortization were comparable in each of 2019, 2018 and 2017. See Note 1 to our Consolidated Financial Statements.</w:t>
      </w:r>
    </w:p>
    <w:p>
      <w:pPr>
        <w:spacing w:after="0" w:line="181"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$18.5 million in 2019 compared to $17.2 million in 2018. The $1.3 million increase in cash provided by operating activities is primarily the net result of:</w:t>
      </w:r>
    </w:p>
    <w:p>
      <w:pPr>
        <w:spacing w:after="0" w:line="79" w:lineRule="exact"/>
        <w:rPr>
          <w:sz w:val="20"/>
          <w:szCs w:val="20"/>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$1.1 million increase in interest received in 2019,</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$0.7 million increase in cash paid for taxes in 2019 due to the relative timing of payments,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lower amount of net cash used by relative changes in inventories, receivables, payables and non-tax accruals of $0.6 million.</w:t>
      </w:r>
    </w:p>
    <w:p>
      <w:pPr>
        <w:spacing w:after="0" w:line="225" w:lineRule="exact"/>
        <w:rPr>
          <w:sz w:val="20"/>
          <w:szCs w:val="20"/>
          <w:color w:val="auto"/>
        </w:rPr>
      </w:pPr>
    </w:p>
    <w:p>
      <w:pPr>
        <w:ind w:firstLine="1194"/>
        <w:spacing w:after="0" w:line="277" w:lineRule="auto"/>
        <w:rPr>
          <w:sz w:val="20"/>
          <w:szCs w:val="20"/>
          <w:color w:val="auto"/>
        </w:rPr>
      </w:pPr>
      <w:r>
        <w:rPr>
          <w:rFonts w:ascii="Arial" w:cs="Arial" w:eastAsia="Arial" w:hAnsi="Arial"/>
          <w:sz w:val="18"/>
          <w:szCs w:val="18"/>
          <w:color w:val="auto"/>
        </w:rPr>
        <w:t>Cash provided by operating activities was $17.2 million in 2018 compared to $12.6 million in 2017. The $4.6 million increase in cash provided by operating activities is primarily the net result of:</w:t>
      </w:r>
    </w:p>
    <w:p>
      <w:pPr>
        <w:spacing w:after="0" w:line="62" w:lineRule="exact"/>
        <w:rPr>
          <w:sz w:val="20"/>
          <w:szCs w:val="20"/>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$2.6 million increase in operating income in 2018,</w:t>
      </w:r>
    </w:p>
    <w:p>
      <w:pPr>
        <w:spacing w:after="0" w:line="117" w:lineRule="exact"/>
        <w:rPr>
          <w:rFonts w:ascii="Arial" w:cs="Arial" w:eastAsia="Arial" w:hAnsi="Arial"/>
          <w:sz w:val="18"/>
          <w:szCs w:val="18"/>
          <w:color w:val="auto"/>
        </w:rPr>
      </w:pPr>
    </w:p>
    <w:p>
      <w:pPr>
        <w:ind w:left="1180" w:hanging="429"/>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$2.3 million decrease in cash paid for taxes in 2018 as the favorable impact of the lower U.S. federal corporate income tax rate in 2018 more than offset the effect of increased profits in 2018, and</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inventories, receivables, payables and non-tax accruals of $0.4 million.</w:t>
      </w:r>
    </w:p>
    <w:p>
      <w:pPr>
        <w:spacing w:after="0" w:line="225"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our total average days sales outstanding decreased from December 31, 2018 to December 31, 2019 primarily as a result of the timing of sales and collections in the last month of 2019 as compared to 2018. For comparative purposes, we have provided 2017 numbers below.</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Days Sales 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Security Products</w:t>
            </w:r>
          </w:p>
        </w:tc>
        <w:tc>
          <w:tcPr>
            <w:tcW w:w="140" w:type="dxa"/>
            <w:vAlign w:val="bottom"/>
          </w:tcPr>
          <w:p>
            <w:pPr>
              <w:spacing w:after="0"/>
              <w:rPr>
                <w:sz w:val="16"/>
                <w:szCs w:val="16"/>
                <w:color w:val="auto"/>
              </w:rPr>
            </w:pPr>
          </w:p>
        </w:tc>
        <w:tc>
          <w:tcPr>
            <w:tcW w:w="112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w w:val="84"/>
              </w:rPr>
              <w:t>39 Days</w:t>
            </w:r>
          </w:p>
        </w:tc>
        <w:tc>
          <w:tcPr>
            <w:tcW w:w="260" w:type="dxa"/>
            <w:vAlign w:val="bottom"/>
          </w:tcPr>
          <w:p>
            <w:pPr>
              <w:spacing w:after="0"/>
              <w:rPr>
                <w:sz w:val="16"/>
                <w:szCs w:val="16"/>
                <w:color w:val="auto"/>
              </w:rPr>
            </w:pPr>
          </w:p>
        </w:tc>
        <w:tc>
          <w:tcPr>
            <w:tcW w:w="114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w w:val="87"/>
              </w:rPr>
              <w:t>43 Days</w:t>
            </w:r>
          </w:p>
        </w:tc>
        <w:tc>
          <w:tcPr>
            <w:tcW w:w="180" w:type="dxa"/>
            <w:vAlign w:val="bottom"/>
          </w:tcPr>
          <w:p>
            <w:pPr>
              <w:spacing w:after="0"/>
              <w:rPr>
                <w:sz w:val="16"/>
                <w:szCs w:val="16"/>
                <w:color w:val="auto"/>
              </w:rPr>
            </w:pPr>
          </w:p>
        </w:tc>
        <w:tc>
          <w:tcPr>
            <w:tcW w:w="112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w w:val="84"/>
              </w:rPr>
              <w:t>38 Days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31 Days</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30 Days</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w w:val="87"/>
              </w:rPr>
              <w:t>27 Days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38 Days</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40 Days</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w w:val="87"/>
              </w:rPr>
              <w:t>36 Days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1194"/>
        <w:spacing w:after="0" w:line="277" w:lineRule="auto"/>
        <w:rPr>
          <w:sz w:val="20"/>
          <w:szCs w:val="20"/>
          <w:color w:val="auto"/>
        </w:rPr>
      </w:pPr>
      <w:r>
        <w:rPr>
          <w:rFonts w:ascii="Arial" w:cs="Arial" w:eastAsia="Arial" w:hAnsi="Arial"/>
          <w:sz w:val="18"/>
          <w:szCs w:val="18"/>
          <w:color w:val="auto"/>
        </w:rPr>
        <w:t>As shown below, our average number of days in inventory at December 31, 2019 is comparable to December 31, 2018. The variability in days in inventory among our segments primarily relates to the complexity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production processes, and therefore the length of time it takes to produce end products, as well as seasonal cycles. For comparative purposes, we have provided 2017 numbers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Days in Inventory:</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Security Products</w:t>
            </w:r>
          </w:p>
        </w:tc>
        <w:tc>
          <w:tcPr>
            <w:tcW w:w="140" w:type="dxa"/>
            <w:vAlign w:val="bottom"/>
          </w:tcPr>
          <w:p>
            <w:pPr>
              <w:spacing w:after="0"/>
              <w:rPr>
                <w:sz w:val="16"/>
                <w:szCs w:val="16"/>
                <w:color w:val="auto"/>
              </w:rPr>
            </w:pPr>
          </w:p>
        </w:tc>
        <w:tc>
          <w:tcPr>
            <w:tcW w:w="1120" w:type="dxa"/>
            <w:vAlign w:val="bottom"/>
            <w:tcBorders>
              <w:top w:val="single" w:sz="8" w:color="auto"/>
            </w:tcBorders>
          </w:tcPr>
          <w:p>
            <w:pPr>
              <w:ind w:left="520"/>
              <w:spacing w:after="0" w:line="195" w:lineRule="exact"/>
              <w:rPr>
                <w:sz w:val="20"/>
                <w:szCs w:val="20"/>
                <w:color w:val="auto"/>
              </w:rPr>
            </w:pPr>
            <w:r>
              <w:rPr>
                <w:rFonts w:ascii="Arial" w:cs="Arial" w:eastAsia="Arial" w:hAnsi="Arial"/>
                <w:sz w:val="18"/>
                <w:szCs w:val="18"/>
                <w:color w:val="auto"/>
                <w:w w:val="87"/>
              </w:rPr>
              <w:t>76 Days</w:t>
            </w:r>
          </w:p>
        </w:tc>
        <w:tc>
          <w:tcPr>
            <w:tcW w:w="240" w:type="dxa"/>
            <w:vAlign w:val="bottom"/>
          </w:tcPr>
          <w:p>
            <w:pPr>
              <w:spacing w:after="0"/>
              <w:rPr>
                <w:sz w:val="16"/>
                <w:szCs w:val="16"/>
                <w:color w:val="auto"/>
              </w:rPr>
            </w:pPr>
          </w:p>
        </w:tc>
        <w:tc>
          <w:tcPr>
            <w:tcW w:w="114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w w:val="87"/>
              </w:rPr>
              <w:t>77 Days</w:t>
            </w:r>
          </w:p>
        </w:tc>
        <w:tc>
          <w:tcPr>
            <w:tcW w:w="18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 Days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96 Days</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91 Days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 Days</w:t>
            </w:r>
          </w:p>
        </w:tc>
        <w:tc>
          <w:tcPr>
            <w:tcW w:w="0" w:type="dxa"/>
            <w:vAlign w:val="bottom"/>
          </w:tcPr>
          <w:p>
            <w:pPr>
              <w:spacing w:after="0"/>
              <w:rPr>
                <w:sz w:val="1"/>
                <w:szCs w:val="1"/>
                <w:color w:val="auto"/>
              </w:rPr>
            </w:pPr>
          </w:p>
        </w:tc>
      </w:tr>
      <w:tr>
        <w:trPr>
          <w:trHeight w:val="230"/>
        </w:trPr>
        <w:tc>
          <w:tcPr>
            <w:tcW w:w="56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79 Days</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80 Days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 Days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Capital expenditures have primarily emphasized improving our manufacturing facilities and investing in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utilizing new technologies and increased automation of the manufacturing process, to provide for increased productivity and efficiency in order to meet expected customer demand and properly maintain our facilities and technology infrastructure. Capital expenditures were $2.8 million in 2017, $3.1 million in 2018 and $3.2 million in 2019. See Note 2 to our Consolidated Financial Statements.</w:t>
      </w:r>
    </w:p>
    <w:p>
      <w:pPr>
        <w:spacing w:after="0" w:line="171" w:lineRule="exact"/>
        <w:rPr>
          <w:sz w:val="20"/>
          <w:szCs w:val="20"/>
          <w:color w:val="auto"/>
        </w:rPr>
      </w:pPr>
    </w:p>
    <w:p>
      <w:pPr>
        <w:jc w:val="both"/>
        <w:ind w:firstLine="1194"/>
        <w:spacing w:after="0" w:line="308" w:lineRule="auto"/>
        <w:rPr>
          <w:sz w:val="20"/>
          <w:szCs w:val="20"/>
          <w:color w:val="auto"/>
        </w:rPr>
      </w:pPr>
      <w:r>
        <w:rPr>
          <w:rFonts w:ascii="Arial" w:cs="Arial" w:eastAsia="Arial" w:hAnsi="Arial"/>
          <w:sz w:val="17"/>
          <w:szCs w:val="17"/>
          <w:color w:val="auto"/>
        </w:rPr>
        <w:t>Capital expenditures for 2020 are estimated at approximately $4.0 million primarily to maintain and improve the cost-effectiveness of our facilities and equipment. Capital spending for 2020 is expected to be funded through cash on hand and cash generated from operations.</w:t>
      </w:r>
    </w:p>
    <w:p>
      <w:pPr>
        <w:spacing w:after="0" w:line="147" w:lineRule="exact"/>
        <w:rPr>
          <w:sz w:val="20"/>
          <w:szCs w:val="20"/>
          <w:color w:val="auto"/>
        </w:rPr>
      </w:pPr>
    </w:p>
    <w:p>
      <w:pPr>
        <w:jc w:val="both"/>
        <w:ind w:firstLine="1194"/>
        <w:spacing w:after="0" w:line="273" w:lineRule="auto"/>
        <w:rPr>
          <w:sz w:val="20"/>
          <w:szCs w:val="20"/>
          <w:color w:val="auto"/>
        </w:rPr>
      </w:pPr>
      <w:r>
        <w:rPr>
          <w:rFonts w:ascii="Arial" w:cs="Arial" w:eastAsia="Arial" w:hAnsi="Arial"/>
          <w:sz w:val="17"/>
          <w:szCs w:val="17"/>
          <w:color w:val="auto"/>
        </w:rPr>
        <w:t>We have entered into an unsecured revolving demand promissory note with Valhi whereby we have agreed to loan Valhi up to $40 million. Our loan to Valhi, as amended, bears interest at prime rate plus 1.00%, payable quarterly, with all principal due on demand, but in any event no earlier than December 31, 2021. Loans made to Valhi at any time under the agreement are at our discretion. During 2018, Valhi repaid a net $4.2 million under the promissory note for an outstanding balance of $34.0 million at December 31, 2018 ($46.8 million of gross borrowings and $51.0 million of gross repayments). During 2019, Valhi repaid a net $5.9 million under the promissory note for an outstanding balance of $28.1 million at December 31, 2019 ($34.9 million of gross borrowings and $40.8 million of gross repayments). See Note 9 to our Consolidated Financial Statements.</w:t>
      </w:r>
    </w:p>
    <w:p>
      <w:pPr>
        <w:spacing w:after="0" w:line="178" w:lineRule="exact"/>
        <w:rPr>
          <w:sz w:val="20"/>
          <w:szCs w:val="20"/>
          <w:color w:val="auto"/>
        </w:rPr>
      </w:pPr>
    </w:p>
    <w:p>
      <w:pPr>
        <w:jc w:val="both"/>
        <w:ind w:firstLine="1194"/>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dividends paid totaled $2.5 million ($.20 per share, or $.05 per share per quarter) in each of 2017 and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$3.5 million ($.28 per share, or $.07 per share per quarter) in 2019. On February 26, 2020 our board of directors declared a first quarter 2020 dividend of $.10 per share, to be paid on March 19, 2020 to CompX stockholders of record as of March 9, 2020.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Cash Requirements</w:t>
      </w:r>
    </w:p>
    <w:p>
      <w:pPr>
        <w:spacing w:after="0" w:line="117"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color w:val="auto"/>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All of our $63.3 million aggregate cash and cash equivalents at December 31, 2019 were held in the U.S.</w:t>
      </w:r>
    </w:p>
    <w:p>
      <w:pPr>
        <w:spacing w:after="0" w:line="225" w:lineRule="exact"/>
        <w:rPr>
          <w:sz w:val="20"/>
          <w:szCs w:val="20"/>
          <w:color w:val="auto"/>
        </w:rPr>
      </w:pPr>
    </w:p>
    <w:p>
      <w:pPr>
        <w:jc w:val="both"/>
        <w:ind w:firstLine="1194"/>
        <w:spacing w:after="0" w:line="293" w:lineRule="auto"/>
        <w:rPr>
          <w:sz w:val="20"/>
          <w:szCs w:val="20"/>
          <w:color w:val="auto"/>
        </w:rPr>
      </w:pPr>
      <w:r>
        <w:rPr>
          <w:rFonts w:ascii="Arial" w:cs="Arial" w:eastAsia="Arial" w:hAnsi="Arial"/>
          <w:sz w:val="16"/>
          <w:szCs w:val="16"/>
          <w:color w:val="auto"/>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Off balance sheet financing arrangements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Neither we nor any of our subsidiaries or affiliates are parties to any off-balance sheet financing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As more fully described in the notes to the Consolidated Financial Statements, we are a party to various agreements that contractually and unconditionally commit us to pay certain amounts in the future. See Note 10 to our Consolidated Financial Statements. The following table summarizes such contractual commitments as of December 31, 2019 by the type and date of payment.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2"/>
              </w:rPr>
              <w:t>2021-2022</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2023-2024</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2025 and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Fixed asset acquisitions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53"/>
        </w:trPr>
        <w:tc>
          <w:tcPr>
            <w:tcW w:w="470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13,707</w:t>
            </w:r>
          </w:p>
        </w:tc>
        <w:tc>
          <w:tcPr>
            <w:tcW w:w="28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13,509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194"/>
        <w:spacing w:after="0" w:line="297" w:lineRule="auto"/>
        <w:rPr>
          <w:sz w:val="20"/>
          <w:szCs w:val="20"/>
          <w:color w:val="auto"/>
        </w:rPr>
      </w:pPr>
      <w:r>
        <w:rPr>
          <w:rFonts w:ascii="Arial" w:cs="Arial" w:eastAsia="Arial" w:hAnsi="Arial"/>
          <w:sz w:val="16"/>
          <w:szCs w:val="16"/>
          <w:color w:val="auto"/>
        </w:rPr>
        <w:t>The timing and amount shown for our commitments related to operating leases and fixed asset acquisitions are based upon the contractual payment amount and the contractual payment date for those commitments. The timing and amount shown for purchase obligations, which consist of all open purchase orders and contractual obligations (primarily commitments to purchase raw materials), is also based on the contractual payment amount and the contractual payment date for those commitments. The amount shown for income taxes is the consolidated amount of income taxes payable at December 31, 2019, which is assumed to be paid during 2020. Fixed asset acquisitions include firm purchase commitments for capital projects.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 Note 12 to our Consolidated Financial Statements.</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are exposed to market risk from changes in interest rates and raw materials prices.</w:t>
      </w:r>
    </w:p>
    <w:p>
      <w:pPr>
        <w:spacing w:after="0" w:line="252"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 We are exposed to market risk from changes in interest rates, primarily related to our note receivable from affiliate.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principal amount of the note receivable from affiliate of $28.1 million at December 31, 2019 bears interest at prime plus 1.0% (5.75% at December 31, 2019). We received interest income of $2.4 million from the note during 2019.</w:t>
      </w:r>
    </w:p>
    <w:p>
      <w:pPr>
        <w:spacing w:after="0" w:line="181"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i w:val="1"/>
          <w:iCs w:val="1"/>
          <w:color w:val="auto"/>
        </w:rPr>
        <w:t xml:space="preserve">Raw materials. </w:t>
      </w:r>
      <w:r>
        <w:rPr>
          <w:rFonts w:ascii="Arial" w:cs="Arial" w:eastAsia="Arial" w:hAnsi="Arial"/>
          <w:sz w:val="17"/>
          <w:szCs w:val="17"/>
          <w:color w:val="auto"/>
        </w:rPr>
        <w:t>We will occasionally enter into short term commodity-related raw material supply arrangements to mitigate the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pacing w:after="0" w:line="27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information called for by this Item is contained in a separate section of this Annual Report. See “Index of Financial Statements”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Vice President and Chief Financial Officer, has evaluated the design and operating effectiveness of our disclosure controls and procedures as of December 31, 2019. Based upon their evaluation, these executive officers have concluded that our disclosure controls and procedures are effective as of the date of such evaluation.</w:t>
      </w:r>
    </w:p>
    <w:p>
      <w:pPr>
        <w:spacing w:after="0" w:line="191" w:lineRule="exact"/>
        <w:rPr>
          <w:sz w:val="20"/>
          <w:szCs w:val="20"/>
          <w:color w:val="auto"/>
        </w:rPr>
      </w:pPr>
    </w:p>
    <w:p>
      <w:pPr>
        <w:jc w:val="both"/>
        <w:ind w:firstLine="1194"/>
        <w:spacing w:after="0" w:line="298" w:lineRule="auto"/>
        <w:rPr>
          <w:sz w:val="20"/>
          <w:szCs w:val="20"/>
          <w:color w:val="auto"/>
        </w:rPr>
      </w:pPr>
      <w:r>
        <w:rPr>
          <w:rFonts w:ascii="Arial" w:cs="Arial" w:eastAsia="Arial" w:hAnsi="Arial"/>
          <w:sz w:val="16"/>
          <w:szCs w:val="16"/>
          <w:b w:val="1"/>
          <w:b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50"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880" w:hanging="440"/>
        <w:spacing w:after="0" w:line="308"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38" w:lineRule="exact"/>
        <w:rPr>
          <w:rFonts w:ascii="Arial" w:cs="Arial" w:eastAsia="Arial" w:hAnsi="Arial"/>
          <w:sz w:val="17"/>
          <w:szCs w:val="17"/>
          <w:color w:val="auto"/>
        </w:rPr>
      </w:pPr>
    </w:p>
    <w:p>
      <w:pPr>
        <w:ind w:left="880" w:right="2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70"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2019.</w:t>
      </w:r>
    </w:p>
    <w:p>
      <w:pPr>
        <w:spacing w:after="0" w:line="18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77" w:lineRule="exact"/>
        <w:rPr>
          <w:sz w:val="20"/>
          <w:szCs w:val="20"/>
          <w:color w:val="auto"/>
        </w:rPr>
      </w:pPr>
    </w:p>
    <w:p>
      <w:pPr>
        <w:jc w:val="both"/>
        <w:ind w:firstLine="1194"/>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quarter ended December 31, 2019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ind w:firstLine="1194"/>
        <w:spacing w:after="0" w:line="266" w:lineRule="auto"/>
        <w:rPr>
          <w:sz w:val="20"/>
          <w:szCs w:val="20"/>
          <w:color w:val="auto"/>
        </w:rPr>
      </w:pPr>
      <w:r>
        <w:rPr>
          <w:rFonts w:ascii="Arial" w:cs="Arial" w:eastAsia="Arial" w:hAnsi="Arial"/>
          <w:sz w:val="18"/>
          <w:szCs w:val="18"/>
          <w:b w:val="1"/>
          <w:bCs w:val="1"/>
          <w:color w:val="auto"/>
        </w:rPr>
        <w:t xml:space="preserve">Certifications. </w:t>
      </w:r>
      <w:r>
        <w:rPr>
          <w:rFonts w:ascii="Arial" w:cs="Arial" w:eastAsia="Arial" w:hAnsi="Arial"/>
          <w:sz w:val="18"/>
          <w:szCs w:val="18"/>
          <w:color w:val="auto"/>
        </w:rPr>
        <w:t>Our chief executive officer and chief financial officer are required to, among other things, quarterly file a certification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 regarding the quality of our public disclosures, as required by Section 302 of the Sarbanes-Oxley Act of 2002. We have filed the certifications for the quarter ended December 31, 2019 as exhibits 31.1 and 31.2 to this Annual Report on Form 10-K.</w:t>
      </w:r>
    </w:p>
    <w:p>
      <w:pPr>
        <w:spacing w:after="0" w:line="28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20" w:firstLine="1194"/>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spacing w:after="0" w:line="25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MATTERS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information required by this Item is incorporated by reference to our Proxy Statement.  See also Note 9 to the Consolidated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31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and (c) Financial Statements</w:t>
      </w:r>
    </w:p>
    <w:p>
      <w:pPr>
        <w:spacing w:after="0" w:line="117"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The consolidated financial statements listed on the accompanying Index of Financial Statements (see page F-1) are filed as part of this Annual Report.</w:t>
      </w:r>
    </w:p>
    <w:p>
      <w:pPr>
        <w:spacing w:after="0" w:line="62"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170"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jc w:val="both"/>
        <w:ind w:left="600" w:right="20"/>
        <w:spacing w:after="0" w:line="276" w:lineRule="auto"/>
        <w:rPr>
          <w:rFonts w:ascii="Arial" w:cs="Arial" w:eastAsia="Arial" w:hAnsi="Arial"/>
          <w:sz w:val="18"/>
          <w:szCs w:val="18"/>
          <w:color w:val="auto"/>
        </w:rPr>
      </w:pPr>
      <w:r>
        <w:rPr>
          <w:rFonts w:ascii="Arial" w:cs="Arial" w:eastAsia="Arial" w:hAnsi="Arial"/>
          <w:sz w:val="17"/>
          <w:szCs w:val="17"/>
          <w:color w:val="auto"/>
        </w:rPr>
        <w:t>We have retained a signed original of any of these exhibits that contain signatures, and we will provide such exhibits to the Commission or its staff. Included as exhibits are the items listed in the Exhibit Index. We, upon request,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gridSpan w:val="3"/>
          </w:tcPr>
          <w:p>
            <w:pPr>
              <w:ind w:left="220"/>
              <w:spacing w:after="0"/>
              <w:rPr>
                <w:sz w:val="20"/>
                <w:szCs w:val="20"/>
                <w:color w:val="auto"/>
              </w:rPr>
            </w:pPr>
            <w:r>
              <w:rPr>
                <w:rFonts w:ascii="Arial" w:cs="Arial" w:eastAsia="Arial" w:hAnsi="Arial"/>
                <w:sz w:val="14"/>
                <w:szCs w:val="14"/>
                <w:color w:val="auto"/>
              </w:rPr>
              <w:t>Item No.</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0"/>
          </w:tcPr>
          <w:p>
            <w:pPr>
              <w:spacing w:after="0"/>
              <w:rPr>
                <w:sz w:val="20"/>
                <w:szCs w:val="20"/>
                <w:color w:val="auto"/>
              </w:rPr>
            </w:pPr>
            <w:r>
              <w:rPr>
                <w:rFonts w:ascii="Arial" w:cs="Arial" w:eastAsia="Arial" w:hAnsi="Arial"/>
                <w:sz w:val="14"/>
                <w:szCs w:val="14"/>
                <w:color w:val="auto"/>
              </w:rPr>
              <w:t>Exhibit Item</w:t>
            </w:r>
          </w:p>
        </w:tc>
      </w:tr>
      <w:tr>
        <w:trPr>
          <w:trHeight w:val="27"/>
        </w:trPr>
        <w:tc>
          <w:tcPr>
            <w:tcW w:w="7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3.1</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4"/>
          </w:tcPr>
          <w:p>
            <w:pPr>
              <w:spacing w:after="0"/>
              <w:rPr>
                <w:rFonts w:ascii="Arial" w:cs="Arial" w:eastAsia="Arial" w:hAnsi="Arial"/>
                <w:sz w:val="18"/>
                <w:szCs w:val="18"/>
                <w:color w:val="0000EE"/>
                <w:w w:val="96"/>
              </w:rPr>
            </w:pPr>
            <w:hyperlink r:id="rId43">
              <w:r>
                <w:rPr>
                  <w:rFonts w:ascii="Arial" w:cs="Arial" w:eastAsia="Arial" w:hAnsi="Arial"/>
                  <w:sz w:val="18"/>
                  <w:szCs w:val="18"/>
                  <w:color w:val="0000EE"/>
                  <w:w w:val="96"/>
                </w:rPr>
                <w:t>Second Amended and Restated Certificate of Incorporation of Registrant – incorporated by reference to Exhibit 3.1 of the Registrant’s</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Quarterly Report on Form 10-Q for quarter ended June 30, 2018.</w:t>
              </w:r>
            </w:hyperlink>
          </w:p>
        </w:tc>
        <w:tc>
          <w:tcPr>
            <w:tcW w:w="5600" w:type="dxa"/>
            <w:vAlign w:val="bottom"/>
            <w:gridSpan w:val="11"/>
          </w:tcPr>
          <w:p>
            <w:pPr>
              <w:spacing w:after="0"/>
              <w:rPr>
                <w:sz w:val="17"/>
                <w:szCs w:val="17"/>
                <w:color w:val="auto"/>
              </w:rPr>
            </w:pPr>
          </w:p>
        </w:tc>
      </w:tr>
      <w:tr>
        <w:trPr>
          <w:trHeight w:val="318"/>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3.2</w:t>
            </w:r>
          </w:p>
        </w:tc>
        <w:tc>
          <w:tcPr>
            <w:tcW w:w="440" w:type="dxa"/>
            <w:vAlign w:val="bottom"/>
          </w:tcPr>
          <w:p>
            <w:pPr>
              <w:spacing w:after="0"/>
              <w:rPr>
                <w:sz w:val="24"/>
                <w:szCs w:val="24"/>
                <w:color w:val="auto"/>
              </w:rPr>
            </w:pPr>
          </w:p>
        </w:tc>
        <w:tc>
          <w:tcPr>
            <w:tcW w:w="10280" w:type="dxa"/>
            <w:vAlign w:val="bottom"/>
            <w:gridSpan w:val="15"/>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Certificate of Retirement – incorporated by reference to Exhibit 3.1 of the Registrant’s Current Report on Form 8-K filed November 5, 2018.</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3.3</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4"/>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Amended and Restated Bylaws of Registrant, adopted by the Board of Directors October 24, 2007 – incorporated by reference to Exhibit 3.1</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of the Registrant’s Current Report on Form 8-K filed October 30, 2007 (File No 1-13905).</w:t>
              </w:r>
            </w:hyperlink>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6500" w:type="dxa"/>
            <w:vAlign w:val="bottom"/>
            <w:tcBorders>
              <w:top w:val="single" w:sz="8" w:color="0000EE"/>
            </w:tcBorders>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r>
              <w:rPr>
                <w:rFonts w:ascii="Arial" w:cs="Arial" w:eastAsia="Arial" w:hAnsi="Arial"/>
                <w:sz w:val="18"/>
                <w:szCs w:val="18"/>
                <w:u w:val="single" w:color="auto"/>
                <w:color w:val="000000"/>
              </w:rPr>
              <w:t>.</w:t>
            </w:r>
          </w:p>
        </w:tc>
        <w:tc>
          <w:tcPr>
            <w:tcW w:w="3780" w:type="dxa"/>
            <w:vAlign w:val="bottom"/>
            <w:gridSpan w:val="7"/>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10.1</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4"/>
          </w:tcPr>
          <w:p>
            <w:pPr>
              <w:spacing w:after="0"/>
              <w:rPr>
                <w:rFonts w:ascii="Arial" w:cs="Arial" w:eastAsia="Arial" w:hAnsi="Arial"/>
                <w:sz w:val="18"/>
                <w:szCs w:val="18"/>
                <w:color w:val="0000EE"/>
                <w:w w:val="96"/>
              </w:rPr>
            </w:pPr>
            <w:hyperlink r:id="rId46">
              <w:r>
                <w:rPr>
                  <w:rFonts w:ascii="Arial" w:cs="Arial" w:eastAsia="Arial" w:hAnsi="Arial"/>
                  <w:sz w:val="18"/>
                  <w:szCs w:val="18"/>
                  <w:color w:val="0000EE"/>
                  <w:w w:val="96"/>
                </w:rPr>
                <w:t>Intercorporate Services Agreement between the Registrant and Contran Corporation effective as of January 1, 2004 – incorporated by</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reference to Exhibit 10.2 of the Registrant’s Annual Report on Form 10-K for the year ended December 31, 2003 (File No. 1-13905) filed on</w:t>
              </w:r>
            </w:hyperlink>
          </w:p>
        </w:tc>
        <w:tc>
          <w:tcPr>
            <w:tcW w:w="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March 4, 2004.</w:t>
              </w:r>
            </w:hyperlink>
          </w:p>
        </w:tc>
        <w:tc>
          <w:tcPr>
            <w:tcW w:w="9180" w:type="dxa"/>
            <w:vAlign w:val="bottom"/>
            <w:gridSpan w:val="14"/>
          </w:tcPr>
          <w:p>
            <w:pPr>
              <w:spacing w:after="0"/>
              <w:rPr>
                <w:sz w:val="17"/>
                <w:szCs w:val="17"/>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10.2*</w:t>
            </w:r>
          </w:p>
        </w:tc>
        <w:tc>
          <w:tcPr>
            <w:tcW w:w="440" w:type="dxa"/>
            <w:vAlign w:val="bottom"/>
          </w:tcPr>
          <w:p>
            <w:pPr>
              <w:spacing w:after="0"/>
              <w:rPr>
                <w:sz w:val="24"/>
                <w:szCs w:val="24"/>
                <w:color w:val="auto"/>
              </w:rPr>
            </w:pPr>
          </w:p>
        </w:tc>
        <w:tc>
          <w:tcPr>
            <w:tcW w:w="10280" w:type="dxa"/>
            <w:vAlign w:val="bottom"/>
            <w:gridSpan w:val="15"/>
          </w:tcPr>
          <w:p>
            <w:pPr>
              <w:spacing w:after="0"/>
              <w:rPr>
                <w:rFonts w:ascii="Arial" w:cs="Arial" w:eastAsia="Arial" w:hAnsi="Arial"/>
                <w:sz w:val="18"/>
                <w:szCs w:val="18"/>
                <w:color w:val="0000EE"/>
                <w:w w:val="94"/>
              </w:rPr>
            </w:pPr>
            <w:hyperlink r:id="rId47">
              <w:r>
                <w:rPr>
                  <w:rFonts w:ascii="Arial" w:cs="Arial" w:eastAsia="Arial" w:hAnsi="Arial"/>
                  <w:sz w:val="18"/>
                  <w:szCs w:val="18"/>
                  <w:color w:val="0000EE"/>
                  <w:w w:val="94"/>
                </w:rPr>
                <w:t>CompX International Inc. 2012 Director Stock Plan – incorporated by reference to Exhibit 10.2 of the Registrant’s Annual Report on Form</w:t>
              </w:r>
            </w:hyperlink>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10-K for the year ended December 31, 2012 (File No. 1-13905) filed on March 6, 2013.</w:t>
              </w:r>
            </w:hyperlink>
          </w:p>
        </w:tc>
        <w:tc>
          <w:tcPr>
            <w:tcW w:w="392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80" w:type="dxa"/>
            <w:vAlign w:val="bottom"/>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Tax Sharing Agreement between the Registrant, NL Industries, Inc. and Contran Corporation dated as of January 1, 2020.</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560" w:type="dxa"/>
            <w:vAlign w:val="bottom"/>
            <w:gridSpan w:val="6"/>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10.4</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4"/>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Second Amended and Restated Agreement Regarding Shared Insurance among the Registrant, Contran Corporation, Kronos Worldwide, Inc.,</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NL Industries, Inc., and Valhi, Inc. dated January 25, 2019 – incorporated by reference to Exhibit 10.4 of the Registrant’s Annual Report on</w:t>
              </w:r>
            </w:hyperlink>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Form 10-K for the year ended December 31, 2018 (File No. 1-13905) filed on February 27, 2019.</w:t>
              </w:r>
            </w:hyperlink>
          </w:p>
        </w:tc>
        <w:tc>
          <w:tcPr>
            <w:tcW w:w="40" w:type="dxa"/>
            <w:vAlign w:val="bottom"/>
            <w:gridSpan w:val="2"/>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560" w:type="dxa"/>
            <w:vAlign w:val="bottom"/>
            <w:gridSpan w:val="6"/>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 xml:space="preserve">Unsecured Revolving Demand Promissory Note dated December 31, 2019 in the original principal amount of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40 million executed by Valhi,</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Inc. and payable to the Registrant.</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18"/>
        </w:trPr>
        <w:tc>
          <w:tcPr>
            <w:tcW w:w="72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10.6*</w:t>
            </w:r>
          </w:p>
        </w:tc>
        <w:tc>
          <w:tcPr>
            <w:tcW w:w="440" w:type="dxa"/>
            <w:vAlign w:val="bottom"/>
          </w:tcPr>
          <w:p>
            <w:pPr>
              <w:spacing w:after="0"/>
              <w:rPr>
                <w:sz w:val="24"/>
                <w:szCs w:val="24"/>
                <w:color w:val="auto"/>
              </w:rPr>
            </w:pPr>
          </w:p>
        </w:tc>
        <w:tc>
          <w:tcPr>
            <w:tcW w:w="10000" w:type="dxa"/>
            <w:vAlign w:val="bottom"/>
            <w:tcBorders>
              <w:bottom w:val="single" w:sz="8" w:color="0000EE"/>
            </w:tcBorders>
            <w:gridSpan w:val="11"/>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Form of Indemnification Agreement – incorporated by reference to Exhibit 10.1 of the Registrant’s Current Report on Form 8-K filed May</w:t>
              </w:r>
            </w:hyperlink>
          </w:p>
        </w:tc>
        <w:tc>
          <w:tcPr>
            <w:tcW w:w="280" w:type="dxa"/>
            <w:vAlign w:val="bottom"/>
            <w:gridSpan w:val="4"/>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5"/>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26, 2016 (File No 1-13905).</w:t>
              </w:r>
            </w:hyperlink>
          </w:p>
        </w:tc>
      </w:tr>
      <w:tr>
        <w:trPr>
          <w:trHeight w:val="669"/>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Borders>
              <w:top w:val="single" w:sz="8" w:color="0000EE"/>
            </w:tcBorders>
            <w:gridSpan w:val="2"/>
          </w:tcPr>
          <w:p>
            <w:pPr>
              <w:spacing w:after="0"/>
              <w:rPr>
                <w:sz w:val="24"/>
                <w:szCs w:val="24"/>
                <w:color w:val="auto"/>
              </w:rPr>
            </w:pPr>
          </w:p>
        </w:tc>
        <w:tc>
          <w:tcPr>
            <w:tcW w:w="2700" w:type="dxa"/>
            <w:vAlign w:val="bottom"/>
            <w:gridSpan w:val="3"/>
          </w:tcPr>
          <w:p>
            <w:pPr>
              <w:jc w:val="right"/>
              <w:ind w:right="20"/>
              <w:spacing w:after="0"/>
              <w:rPr>
                <w:sz w:val="20"/>
                <w:szCs w:val="20"/>
                <w:color w:val="auto"/>
              </w:rPr>
            </w:pPr>
            <w:r>
              <w:rPr>
                <w:rFonts w:ascii="Arial" w:cs="Arial" w:eastAsia="Arial" w:hAnsi="Arial"/>
                <w:sz w:val="18"/>
                <w:szCs w:val="18"/>
                <w:color w:val="auto"/>
              </w:rPr>
              <w:t>- 23 -</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spacing w:after="0" w:line="5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Item No.</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12"/>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Subsidiaries of the Registrant.</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Consent of PricewaterhouseCoopers LLP.</w:t>
              </w:r>
            </w:hyperlink>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3000" w:type="dxa"/>
            <w:vAlign w:val="bottom"/>
            <w:tcBorders>
              <w:top w:val="single" w:sz="8" w:color="0000EE"/>
            </w:tcBorders>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Certification</w:t>
              </w:r>
            </w:hyperlink>
          </w:p>
        </w:tc>
        <w:tc>
          <w:tcPr>
            <w:tcW w:w="78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Certification</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378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Certification</w:t>
              </w:r>
            </w:hyperlink>
          </w:p>
        </w:tc>
      </w:tr>
      <w:tr>
        <w:trPr>
          <w:trHeight w:val="20"/>
        </w:trPr>
        <w:tc>
          <w:tcPr>
            <w:tcW w:w="102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5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rPr>
              <w:t>101.INS**</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rPr>
              <w:t>XBRL Instance Document</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6"/>
              </w:rPr>
              <w:t>101.SCH**</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101.CAL**</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101.DEF**</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rPr>
              <w:t>101.LAB**</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101.PRE**</w:t>
            </w:r>
          </w:p>
        </w:tc>
        <w:tc>
          <w:tcPr>
            <w:tcW w:w="3780" w:type="dxa"/>
            <w:vAlign w:val="bottom"/>
            <w:gridSpan w:val="4"/>
          </w:tcPr>
          <w:p>
            <w:pPr>
              <w:ind w:left="100"/>
              <w:spacing w:after="0"/>
              <w:rPr>
                <w:sz w:val="20"/>
                <w:szCs w:val="20"/>
                <w:color w:val="auto"/>
              </w:rPr>
            </w:pPr>
            <w:r>
              <w:rPr>
                <w:rFonts w:ascii="Arial" w:cs="Arial" w:eastAsia="Arial" w:hAnsi="Arial"/>
                <w:sz w:val="18"/>
                <w:szCs w:val="18"/>
                <w:color w:val="auto"/>
                <w:w w:val="90"/>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ind w:left="600" w:hanging="59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Management contract, compensatory plan or agreement.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3"/>
          <w:szCs w:val="13"/>
          <w:u w:val="single" w:color="auto"/>
          <w:color w:val="auto"/>
        </w:rPr>
        <w:t xml:space="preserve">Exhibit Item </w:t>
      </w:r>
      <w:r>
        <w:rPr>
          <w:rFonts w:ascii="Arial" w:cs="Arial" w:eastAsia="Arial" w:hAnsi="Arial"/>
          <w:sz w:val="16"/>
          <w:szCs w:val="16"/>
          <w:u w:val="single" w:color="auto"/>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980" w:space="540"/>
            <w:col w:w="4699"/>
          </w:cols>
          <w:pgMar w:left="240" w:top="125"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119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440" w:type="dxa"/>
            <w:vAlign w:val="bottom"/>
            <w:gridSpan w:val="2"/>
          </w:tcPr>
          <w:p>
            <w:pPr>
              <w:ind w:left="2200"/>
              <w:spacing w:after="0"/>
              <w:rPr>
                <w:sz w:val="20"/>
                <w:szCs w:val="20"/>
                <w:color w:val="auto"/>
              </w:rPr>
            </w:pPr>
            <w:r>
              <w:rPr>
                <w:rFonts w:ascii="Arial" w:cs="Arial" w:eastAsia="Arial" w:hAnsi="Arial"/>
                <w:sz w:val="18"/>
                <w:szCs w:val="18"/>
                <w:b w:val="1"/>
                <w:bCs w:val="1"/>
                <w:color w:val="auto"/>
              </w:rPr>
              <w:t>COMPX INTERNATIONAL INC.</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Date: February 26, 2020</w:t>
            </w:r>
          </w:p>
        </w:tc>
        <w:tc>
          <w:tcPr>
            <w:tcW w:w="2880" w:type="dxa"/>
            <w:vAlign w:val="bottom"/>
          </w:tcPr>
          <w:p>
            <w:pPr>
              <w:ind w:left="2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James</w:t>
            </w:r>
          </w:p>
        </w:tc>
      </w:tr>
      <w:tr>
        <w:trPr>
          <w:trHeight w:val="211"/>
        </w:trPr>
        <w:tc>
          <w:tcPr>
            <w:tcW w:w="3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Scott C. James</w:t>
            </w:r>
          </w:p>
        </w:tc>
      </w:tr>
    </w:tbl>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gridSpan w:val="3"/>
          </w:tcPr>
          <w:p>
            <w:pPr>
              <w:ind w:left="1840"/>
              <w:spacing w:after="0"/>
              <w:rPr>
                <w:sz w:val="20"/>
                <w:szCs w:val="20"/>
                <w:color w:val="auto"/>
              </w:rPr>
            </w:pPr>
            <w:r>
              <w:rPr>
                <w:rFonts w:ascii="Arial" w:cs="Arial" w:eastAsia="Arial" w:hAnsi="Arial"/>
                <w:sz w:val="14"/>
                <w:szCs w:val="14"/>
                <w:b w:val="1"/>
                <w:bCs w:val="1"/>
                <w:color w:val="auto"/>
              </w:rPr>
              <w:t>Signature</w:t>
            </w:r>
          </w:p>
        </w:tc>
        <w:tc>
          <w:tcPr>
            <w:tcW w:w="2400" w:type="dxa"/>
            <w:vAlign w:val="bottom"/>
          </w:tcPr>
          <w:p>
            <w:pPr>
              <w:spacing w:after="0"/>
              <w:rPr>
                <w:sz w:val="15"/>
                <w:szCs w:val="15"/>
                <w:color w:val="auto"/>
              </w:rPr>
            </w:pPr>
          </w:p>
        </w:tc>
        <w:tc>
          <w:tcPr>
            <w:tcW w:w="22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7"/>
              </w:rPr>
              <w:t>Title</w:t>
            </w:r>
          </w:p>
        </w:tc>
        <w:tc>
          <w:tcPr>
            <w:tcW w:w="1260" w:type="dxa"/>
            <w:vAlign w:val="bottom"/>
          </w:tcPr>
          <w:p>
            <w:pPr>
              <w:spacing w:after="0"/>
              <w:rPr>
                <w:sz w:val="15"/>
                <w:szCs w:val="15"/>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Date</w:t>
            </w:r>
          </w:p>
        </w:tc>
      </w:tr>
      <w:tr>
        <w:trPr>
          <w:trHeight w:val="27"/>
        </w:trPr>
        <w:tc>
          <w:tcPr>
            <w:tcW w:w="4280" w:type="dxa"/>
            <w:vAlign w:val="bottom"/>
            <w:gridSpan w:val="3"/>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432"/>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Loretta J. Feehan</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Chair of the Board</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Loretta J. Feehan</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D. Graham</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Vice Chairman of the Board</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Robert D. Graham</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45"/>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Amy A. Samford</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Vice President, Chief Financial Officer</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Amy A. Samford</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Financial Officer)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58"/>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Amy E. Ruf</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Vice President, Controller</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Amy E. Ruf</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Accounting Officer)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E. Barry</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Thomas E. Barry</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A. Bowers</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David A. Bowers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Terri L. Herrington</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Terri L. Herrington</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Ann Manix</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Ann Manix</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Mary A. Tidlund</w:t>
            </w:r>
          </w:p>
        </w:tc>
        <w:tc>
          <w:tcPr>
            <w:tcW w:w="468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February 26, 2020</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Mary A. Tidlund</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8 and 15(a)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Financial Statements</w:t>
            </w:r>
          </w:p>
        </w:tc>
        <w:tc>
          <w:tcPr>
            <w:tcW w:w="120" w:type="dxa"/>
            <w:vAlign w:val="bottom"/>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r>
      <w:tr>
        <w:trPr>
          <w:trHeight w:val="291"/>
        </w:trPr>
        <w:tc>
          <w:tcPr>
            <w:tcW w:w="1094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Report of Independent Registered Public Accounting Firm</w:t>
              </w:r>
            </w:hyperlink>
          </w:p>
        </w:tc>
        <w:tc>
          <w:tcPr>
            <w:tcW w:w="48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Consolidated Balance Sheets—December 31, 2018 and 2019</w:t>
              </w:r>
            </w:hyperlink>
          </w:p>
        </w:tc>
        <w:tc>
          <w:tcPr>
            <w:tcW w:w="48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3</w:t>
            </w:r>
          </w:p>
        </w:tc>
      </w:tr>
      <w:tr>
        <w:trPr>
          <w:trHeight w:val="20"/>
        </w:trPr>
        <w:tc>
          <w:tcPr>
            <w:tcW w:w="3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Consolidated Statements of Income—Years ended December 31, 2017, 2018 and 2019</w:t>
              </w:r>
            </w:hyperlink>
          </w:p>
        </w:tc>
        <w:tc>
          <w:tcPr>
            <w:tcW w:w="48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5</w:t>
            </w:r>
          </w:p>
        </w:tc>
      </w:tr>
      <w:tr>
        <w:trPr>
          <w:trHeight w:val="20"/>
        </w:trPr>
        <w:tc>
          <w:tcPr>
            <w:tcW w:w="316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72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Consolidated Statements of Stockholders’ Equity—Years ended December 31, 2017, 2018 and 2019</w:t>
              </w:r>
            </w:hyperlink>
          </w:p>
        </w:tc>
        <w:tc>
          <w:tcPr>
            <w:tcW w:w="3700" w:type="dxa"/>
            <w:vAlign w:val="bottom"/>
            <w:gridSpan w:val="2"/>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6</w:t>
            </w:r>
          </w:p>
        </w:tc>
      </w:tr>
      <w:tr>
        <w:trPr>
          <w:trHeight w:val="318"/>
        </w:trPr>
        <w:tc>
          <w:tcPr>
            <w:tcW w:w="65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Consolidated Statements of Cash Flows—Years ended December 31, 2017, 2018 and 2019</w:t>
              </w:r>
            </w:hyperlink>
          </w:p>
        </w:tc>
        <w:tc>
          <w:tcPr>
            <w:tcW w:w="4380" w:type="dxa"/>
            <w:vAlign w:val="bottom"/>
            <w:gridSpan w:val="3"/>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7</w:t>
            </w:r>
          </w:p>
        </w:tc>
      </w:tr>
      <w:tr>
        <w:trPr>
          <w:trHeight w:val="318"/>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Notes to Consolidated Financial Statements</w:t>
              </w:r>
            </w:hyperlink>
          </w:p>
        </w:tc>
        <w:tc>
          <w:tcPr>
            <w:tcW w:w="7780" w:type="dxa"/>
            <w:vAlign w:val="bottom"/>
            <w:gridSpan w:val="7"/>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8</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CompX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CompX International Inc. and its subsidiaries (the “Company”) as of December 29, 2019 and December 30, 2018, and the related consolidated statements of income, of stockholders’ equity and of cash flows for each of the three years in the period ended December 29, 2019, including the related notes (collectively referred to as the “consolidated financial statements”). In our opinion, the consolidated financial statements present fairly, in all material respects, the financial position of the Company as of December 29, 2019 and December 30, 2018, and the results of its operations and its cash flows for each of the three years in the period ended December 29, 2019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452"/>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45,414</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63,255</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12,140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11,870</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17,102</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3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0"/>
                <w:szCs w:val="20"/>
                <w:color w:val="auto"/>
              </w:rPr>
            </w:pPr>
          </w:p>
        </w:tc>
      </w:tr>
      <w:tr>
        <w:trPr>
          <w:trHeight w:val="453"/>
        </w:trPr>
        <w:tc>
          <w:tcPr>
            <w:tcW w:w="40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76,285</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95,097</w:t>
            </w:r>
          </w:p>
        </w:tc>
        <w:tc>
          <w:tcPr>
            <w:tcW w:w="120" w:type="dxa"/>
            <w:vAlign w:val="bottom"/>
          </w:tcPr>
          <w:p>
            <w:pPr>
              <w:spacing w:after="0"/>
              <w:rPr>
                <w:sz w:val="24"/>
                <w:szCs w:val="24"/>
                <w:color w:val="auto"/>
              </w:rPr>
            </w:pPr>
          </w:p>
        </w:tc>
      </w:tr>
      <w:tr>
        <w:trPr>
          <w:trHeight w:val="452"/>
        </w:trPr>
        <w:tc>
          <w:tcPr>
            <w:tcW w:w="4000" w:type="dxa"/>
            <w:vAlign w:val="bottom"/>
          </w:tcPr>
          <w:p>
            <w:pPr>
              <w:spacing w:after="0"/>
              <w:rPr>
                <w:sz w:val="20"/>
                <w:szCs w:val="20"/>
                <w:color w:val="auto"/>
              </w:rPr>
            </w:pPr>
            <w:r>
              <w:rPr>
                <w:rFonts w:ascii="Arial" w:cs="Arial" w:eastAsia="Arial" w:hAnsi="Arial"/>
                <w:sz w:val="18"/>
                <w:szCs w:val="18"/>
                <w:color w:val="auto"/>
              </w:rPr>
              <w:t>Other assets:</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Note receivable from affiliate</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34,000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28,100</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23,742</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23,742</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3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r>
      <w:tr>
        <w:trPr>
          <w:trHeight w:val="453"/>
        </w:trPr>
        <w:tc>
          <w:tcPr>
            <w:tcW w:w="400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58,332</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52,432</w:t>
            </w:r>
          </w:p>
        </w:tc>
        <w:tc>
          <w:tcPr>
            <w:tcW w:w="120" w:type="dxa"/>
            <w:vAlign w:val="bottom"/>
          </w:tcPr>
          <w:p>
            <w:pPr>
              <w:spacing w:after="0"/>
              <w:rPr>
                <w:sz w:val="24"/>
                <w:szCs w:val="24"/>
                <w:color w:val="auto"/>
              </w:rPr>
            </w:pPr>
          </w:p>
        </w:tc>
      </w:tr>
      <w:tr>
        <w:trPr>
          <w:trHeight w:val="452"/>
        </w:trPr>
        <w:tc>
          <w:tcPr>
            <w:tcW w:w="4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Land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4,940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Buildings</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22,835</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23,047</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67,073</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67,718</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Construction in progress</w:t>
            </w:r>
          </w:p>
        </w:tc>
        <w:tc>
          <w:tcPr>
            <w:tcW w:w="3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0"/>
                <w:szCs w:val="20"/>
                <w:color w:val="auto"/>
              </w:rPr>
            </w:pPr>
          </w:p>
        </w:tc>
      </w:tr>
      <w:tr>
        <w:trPr>
          <w:trHeight w:val="224"/>
        </w:trPr>
        <w:tc>
          <w:tcPr>
            <w:tcW w:w="40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95,451</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96,707</w:t>
            </w:r>
          </w:p>
        </w:tc>
        <w:tc>
          <w:tcPr>
            <w:tcW w:w="120" w:type="dxa"/>
            <w:vAlign w:val="bottom"/>
          </w:tcPr>
          <w:p>
            <w:pPr>
              <w:spacing w:after="0"/>
              <w:rPr>
                <w:sz w:val="19"/>
                <w:szCs w:val="19"/>
                <w:color w:val="auto"/>
              </w:rPr>
            </w:pPr>
          </w:p>
        </w:tc>
      </w:tr>
      <w:tr>
        <w:trPr>
          <w:trHeight w:val="458"/>
        </w:trPr>
        <w:tc>
          <w:tcPr>
            <w:tcW w:w="4000" w:type="dxa"/>
            <w:vAlign w:val="bottom"/>
          </w:tcPr>
          <w:p>
            <w:pPr>
              <w:ind w:left="140"/>
              <w:spacing w:after="0"/>
              <w:rPr>
                <w:sz w:val="20"/>
                <w:szCs w:val="20"/>
                <w:color w:val="auto"/>
              </w:rPr>
            </w:pPr>
            <w:r>
              <w:rPr>
                <w:rFonts w:ascii="Arial" w:cs="Arial" w:eastAsia="Arial" w:hAnsi="Arial"/>
                <w:sz w:val="18"/>
                <w:szCs w:val="18"/>
                <w:color w:val="auto"/>
              </w:rPr>
              <w:t>Less accumulated depreciation</w:t>
            </w:r>
          </w:p>
        </w:tc>
        <w:tc>
          <w:tcPr>
            <w:tcW w:w="3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63,639</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65,692</w:t>
            </w:r>
          </w:p>
        </w:tc>
        <w:tc>
          <w:tcPr>
            <w:tcW w:w="120" w:type="dxa"/>
            <w:vAlign w:val="bottom"/>
          </w:tcPr>
          <w:p>
            <w:pPr>
              <w:spacing w:after="0"/>
              <w:rPr>
                <w:sz w:val="24"/>
                <w:szCs w:val="24"/>
                <w:color w:val="auto"/>
              </w:rPr>
            </w:pPr>
          </w:p>
        </w:tc>
      </w:tr>
      <w:tr>
        <w:trPr>
          <w:trHeight w:val="453"/>
        </w:trPr>
        <w:tc>
          <w:tcPr>
            <w:tcW w:w="400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3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31,812</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120" w:type="dxa"/>
            <w:vAlign w:val="bottom"/>
          </w:tcPr>
          <w:p>
            <w:pPr>
              <w:spacing w:after="0"/>
              <w:rPr>
                <w:sz w:val="24"/>
                <w:szCs w:val="24"/>
                <w:color w:val="auto"/>
              </w:rPr>
            </w:pPr>
          </w:p>
        </w:tc>
      </w:tr>
      <w:tr>
        <w:trPr>
          <w:trHeight w:val="453"/>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166,429</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178,544</w:t>
            </w:r>
          </w:p>
        </w:tc>
        <w:tc>
          <w:tcPr>
            <w:tcW w:w="12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3500" w:type="dxa"/>
            <w:vAlign w:val="bottom"/>
            <w:gridSpan w:val="2"/>
          </w:tcPr>
          <w:p>
            <w:pPr>
              <w:jc w:val="right"/>
              <w:ind w:right="1660"/>
              <w:spacing w:after="0"/>
              <w:rPr>
                <w:sz w:val="20"/>
                <w:szCs w:val="20"/>
                <w:color w:val="auto"/>
              </w:rPr>
            </w:pPr>
            <w:r>
              <w:rPr>
                <w:rFonts w:ascii="Arial" w:cs="Arial" w:eastAsia="Arial" w:hAnsi="Arial"/>
                <w:sz w:val="18"/>
                <w:szCs w:val="18"/>
                <w:color w:val="auto"/>
              </w:rPr>
              <w:t>F-3</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452"/>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12,504</w:t>
            </w:r>
          </w:p>
        </w:tc>
        <w:tc>
          <w:tcPr>
            <w:tcW w:w="5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12,078</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Income taxes payable to affiliate</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r>
      <w:tr>
        <w:trPr>
          <w:trHeight w:val="453"/>
        </w:trPr>
        <w:tc>
          <w:tcPr>
            <w:tcW w:w="71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r>
      <w:tr>
        <w:trPr>
          <w:trHeight w:val="452"/>
        </w:trPr>
        <w:tc>
          <w:tcPr>
            <w:tcW w:w="7120" w:type="dxa"/>
            <w:vAlign w:val="bottom"/>
          </w:tcPr>
          <w:p>
            <w:pPr>
              <w:spacing w:after="0"/>
              <w:rPr>
                <w:sz w:val="20"/>
                <w:szCs w:val="20"/>
                <w:color w:val="auto"/>
              </w:rPr>
            </w:pPr>
            <w:r>
              <w:rPr>
                <w:rFonts w:ascii="Arial" w:cs="Arial" w:eastAsia="Arial" w:hAnsi="Arial"/>
                <w:sz w:val="18"/>
                <w:szCs w:val="18"/>
                <w:color w:val="auto"/>
              </w:rPr>
              <w:t>Noncurrent liabilities -</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r>
      <w:tr>
        <w:trPr>
          <w:trHeight w:val="452"/>
        </w:trPr>
        <w:tc>
          <w:tcPr>
            <w:tcW w:w="712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Preferred stock, $.01 par value; 1,000 shares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authorized, none issued</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Class A common stock, $.01 par value;</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20,000,000 shares authorized; 12,435,557 and</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12,443,057 shares issued and outstanding</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55,751</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55,869</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93,687</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106,202</w:t>
            </w:r>
          </w:p>
        </w:tc>
      </w:tr>
      <w:tr>
        <w:trPr>
          <w:trHeight w:val="453"/>
        </w:trPr>
        <w:tc>
          <w:tcPr>
            <w:tcW w:w="71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149,562</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162,195</w:t>
            </w:r>
          </w:p>
        </w:tc>
      </w:tr>
      <w:tr>
        <w:trPr>
          <w:trHeight w:val="453"/>
        </w:trPr>
        <w:tc>
          <w:tcPr>
            <w:tcW w:w="71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166,429</w:t>
            </w:r>
          </w:p>
        </w:tc>
        <w:tc>
          <w:tcPr>
            <w:tcW w:w="52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178,544</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10)</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9" w:name="page30"/>
    <w:bookmarkEnd w:id="29"/>
    <w:p>
      <w:pPr>
        <w:jc w:val="center"/>
        <w:ind w:right="-11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Years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52"/>
        </w:trPr>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20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112,035</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118,217</w:t>
            </w:r>
          </w:p>
        </w:tc>
        <w:tc>
          <w:tcPr>
            <w:tcW w:w="4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124,243</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77,210</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79,946</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85,280</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34,825</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38,271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38,963</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15,235</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17,811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17,666</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17,164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20,475</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20,936</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453"/>
        </w:trPr>
        <w:tc>
          <w:tcPr>
            <w:tcW w:w="430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24"/>
                <w:szCs w:val="24"/>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13,203</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300" w:type="dxa"/>
            <w:vAlign w:val="bottom"/>
          </w:tcPr>
          <w:p>
            <w:pPr>
              <w:spacing w:after="0"/>
              <w:rPr>
                <w:sz w:val="20"/>
                <w:szCs w:val="20"/>
                <w:color w:val="auto"/>
              </w:rPr>
            </w:pPr>
            <w:r>
              <w:rPr>
                <w:rFonts w:ascii="Arial" w:cs="Arial" w:eastAsia="Arial" w:hAnsi="Arial"/>
                <w:sz w:val="18"/>
                <w:szCs w:val="18"/>
                <w:color w:val="auto"/>
              </w:rPr>
              <w:t>Basic and diluted earnings per common share</w:t>
            </w:r>
          </w:p>
        </w:tc>
        <w:tc>
          <w:tcPr>
            <w:tcW w:w="20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w:t>
            </w:r>
          </w:p>
        </w:tc>
        <w:tc>
          <w:tcPr>
            <w:tcW w:w="1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shares outstanding</w:t>
            </w: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12,423</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12,432</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2017, 2018 and 2019</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paid-in</w:t>
            </w:r>
          </w:p>
        </w:tc>
        <w:tc>
          <w:tcPr>
            <w:tcW w:w="1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Retained</w:t>
            </w: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3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Class A</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Class B</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equity</w:t>
            </w:r>
          </w:p>
        </w:tc>
        <w:tc>
          <w:tcPr>
            <w:tcW w:w="60" w:type="dxa"/>
            <w:vAlign w:val="bottom"/>
          </w:tcPr>
          <w:p>
            <w:pPr>
              <w:spacing w:after="0"/>
              <w:rPr>
                <w:sz w:val="19"/>
                <w:szCs w:val="19"/>
                <w:color w:val="auto"/>
              </w:rPr>
            </w:pPr>
          </w:p>
        </w:tc>
      </w:tr>
      <w:tr>
        <w:trPr>
          <w:trHeight w:val="453"/>
        </w:trPr>
        <w:tc>
          <w:tcPr>
            <w:tcW w:w="350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55,515</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70,131</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125,770</w:t>
            </w:r>
          </w:p>
        </w:tc>
        <w:tc>
          <w:tcPr>
            <w:tcW w:w="60" w:type="dxa"/>
            <w:vAlign w:val="bottom"/>
          </w:tcPr>
          <w:p>
            <w:pPr>
              <w:spacing w:after="0"/>
              <w:rPr>
                <w:sz w:val="24"/>
                <w:szCs w:val="24"/>
                <w:color w:val="auto"/>
              </w:rPr>
            </w:pPr>
          </w:p>
        </w:tc>
      </w:tr>
      <w:tr>
        <w:trPr>
          <w:trHeight w:val="458"/>
        </w:trPr>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13,203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13,203</w:t>
            </w:r>
          </w:p>
        </w:tc>
        <w:tc>
          <w:tcPr>
            <w:tcW w:w="6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Cash dividends ($0.20 per share)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(2,485)</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r>
      <w:tr>
        <w:trPr>
          <w:trHeight w:val="453"/>
        </w:trPr>
        <w:tc>
          <w:tcPr>
            <w:tcW w:w="350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136,585</w:t>
            </w:r>
          </w:p>
        </w:tc>
        <w:tc>
          <w:tcPr>
            <w:tcW w:w="60" w:type="dxa"/>
            <w:vAlign w:val="bottom"/>
          </w:tcPr>
          <w:p>
            <w:pPr>
              <w:spacing w:after="0"/>
              <w:rPr>
                <w:sz w:val="24"/>
                <w:szCs w:val="24"/>
                <w:color w:val="auto"/>
              </w:rPr>
            </w:pPr>
          </w:p>
        </w:tc>
      </w:tr>
      <w:tr>
        <w:trPr>
          <w:trHeight w:val="458"/>
        </w:trPr>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15,325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15,325</w:t>
            </w:r>
          </w:p>
        </w:tc>
        <w:tc>
          <w:tcPr>
            <w:tcW w:w="6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Share conversion</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Cash dividends ($0.20 per share)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0"/>
                <w:szCs w:val="20"/>
                <w:color w:val="auto"/>
              </w:rPr>
            </w:pPr>
          </w:p>
        </w:tc>
      </w:tr>
      <w:tr>
        <w:trPr>
          <w:trHeight w:val="453"/>
        </w:trPr>
        <w:tc>
          <w:tcPr>
            <w:tcW w:w="350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93,687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149,562</w:t>
            </w:r>
          </w:p>
        </w:tc>
        <w:tc>
          <w:tcPr>
            <w:tcW w:w="60" w:type="dxa"/>
            <w:vAlign w:val="bottom"/>
          </w:tcPr>
          <w:p>
            <w:pPr>
              <w:spacing w:after="0"/>
              <w:rPr>
                <w:sz w:val="24"/>
                <w:szCs w:val="24"/>
                <w:color w:val="auto"/>
              </w:rPr>
            </w:pPr>
          </w:p>
        </w:tc>
      </w:tr>
      <w:tr>
        <w:trPr>
          <w:trHeight w:val="458"/>
        </w:trPr>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15,998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15,998</w:t>
            </w:r>
          </w:p>
        </w:tc>
        <w:tc>
          <w:tcPr>
            <w:tcW w:w="6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Cash dividends ($0.28 per share)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(3,483)</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0"/>
                <w:szCs w:val="20"/>
                <w:color w:val="auto"/>
              </w:rPr>
            </w:pPr>
          </w:p>
        </w:tc>
      </w:tr>
      <w:tr>
        <w:trPr>
          <w:trHeight w:val="453"/>
        </w:trPr>
        <w:tc>
          <w:tcPr>
            <w:tcW w:w="35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55,869</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106,202</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162,195</w:t>
            </w:r>
          </w:p>
        </w:tc>
        <w:tc>
          <w:tcPr>
            <w:tcW w:w="60" w:type="dxa"/>
            <w:vAlign w:val="bottom"/>
          </w:tcPr>
          <w:p>
            <w:pPr>
              <w:spacing w:after="0"/>
              <w:rPr>
                <w:sz w:val="24"/>
                <w:szCs w:val="24"/>
                <w:color w:val="auto"/>
              </w:rPr>
            </w:pPr>
          </w:p>
        </w:tc>
      </w:tr>
      <w:tr>
        <w:trPr>
          <w:trHeight w:val="20"/>
        </w:trPr>
        <w:tc>
          <w:tcPr>
            <w:tcW w:w="3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9"/>
              </w:rPr>
              <w:t>Years ended 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13,203</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15,325</w:t>
            </w:r>
          </w:p>
        </w:tc>
        <w:tc>
          <w:tcPr>
            <w:tcW w:w="3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(1,775)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Change in assets and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Accounts with affiliates</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Proceeds from sale of fixed assets, net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Note receivable from affiliate:</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Collections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Advances</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(52,100)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(46,800)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(34,900)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(13,596)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Cash flows from financing activities -</w:t>
            </w: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(2,485)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980" w:type="dxa"/>
            <w:vAlign w:val="bottom"/>
          </w:tcPr>
          <w:p>
            <w:pPr>
              <w:spacing w:after="0"/>
              <w:rPr>
                <w:sz w:val="20"/>
                <w:szCs w:val="20"/>
                <w:color w:val="auto"/>
              </w:rPr>
            </w:pPr>
            <w:r>
              <w:rPr>
                <w:rFonts w:ascii="Arial" w:cs="Arial" w:eastAsia="Arial" w:hAnsi="Arial"/>
                <w:sz w:val="18"/>
                <w:szCs w:val="18"/>
                <w:color w:val="auto"/>
              </w:rPr>
              <w:t>Net increase (decrease)</w:t>
            </w:r>
          </w:p>
        </w:tc>
        <w:tc>
          <w:tcPr>
            <w:tcW w:w="9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(3,498)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15,759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33,153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29,655</w:t>
            </w: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45,414</w:t>
            </w:r>
          </w:p>
        </w:tc>
        <w:tc>
          <w:tcPr>
            <w:tcW w:w="3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63,255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Supplemental disclosures -</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5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4,370</w:t>
            </w:r>
          </w:p>
        </w:tc>
        <w:tc>
          <w:tcPr>
            <w:tcW w:w="3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62" w:lineRule="exact"/>
        <w:rPr>
          <w:sz w:val="20"/>
          <w:szCs w:val="20"/>
          <w:color w:val="auto"/>
        </w:rPr>
      </w:pPr>
    </w:p>
    <w:p>
      <w:pPr>
        <w:jc w:val="both"/>
        <w:ind w:firstLine="1194"/>
        <w:spacing w:after="0" w:line="270"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We (NYSE American: CIX) are 86% owned by NL Industries, Inc. (NYSE: NL) at December 31, 2019. We manufacture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 component products (security products and recreational marine components). At December 31, 2019, Valhi, Inc. (NYSE: VHI) owns 83% of NL’s outstanding common stock and a wholly-owned subsidiary of Contran Corporation owns 92% of Valhi’s outstanding common stock. A majority of Contran’s outstanding voting stock is held directly by Lisa K. Simmons and Serena Simmons Connelly and various family trusts established for the benefit of Ms. Simmons and Ms. Connelly and their children and for which Ms. Simmons or Ms. Connelly, as applicable, serves as trustee. In addition, each of Ms. Simmons and Ms. Connelly serves as co-chair of the Contran board of directors. The remainder of Contran’s outstanding voting stock is held by another trust (the “Family Trust”), which was established for the benefit of Ms. Simmons and Ms. Connelly and their children and for which a third-party financial institution serves as trustee. Consequently, at December 31, 2019, Ms. Simmons, Ms. Connelly and the Family Trust may be deemed to control Contran, and therefore may be deemed to indirectly control the wholly-owned subsidiary of Contran, Valhi, NL and us.</w:t>
      </w:r>
    </w:p>
    <w:p>
      <w:pPr>
        <w:spacing w:after="0" w:line="18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Unless otherwise indicated, references in this report to “we,” “us,” or “our” refer to CompX International Inc. and its subsidiaries, taken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b w:val="1"/>
          <w:bCs w:val="1"/>
          <w:i w:val="1"/>
          <w:iCs w:val="1"/>
          <w:color w:val="auto"/>
        </w:rPr>
        <w:t xml:space="preserve">Management estimates. </w:t>
      </w:r>
      <w:r>
        <w:rPr>
          <w:rFonts w:ascii="Arial" w:cs="Arial" w:eastAsia="Arial" w:hAnsi="Arial"/>
          <w:sz w:val="17"/>
          <w:szCs w:val="17"/>
          <w:color w:val="auto"/>
        </w:rPr>
        <w:t>In preparing our financial statements in conformity with accounting principles generally accepted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spacing w:after="0" w:line="167" w:lineRule="exact"/>
        <w:rPr>
          <w:sz w:val="20"/>
          <w:szCs w:val="20"/>
          <w:color w:val="auto"/>
        </w:rPr>
      </w:pPr>
    </w:p>
    <w:p>
      <w:pPr>
        <w:jc w:val="both"/>
        <w:ind w:firstLine="1194"/>
        <w:spacing w:after="0" w:line="282" w:lineRule="auto"/>
        <w:rPr>
          <w:sz w:val="20"/>
          <w:szCs w:val="20"/>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financial statements include the accounts of CompX International Inc. and our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We eliminate all material intercompany accounts and balances.</w:t>
      </w:r>
    </w:p>
    <w:p>
      <w:pPr>
        <w:spacing w:after="0" w:line="166" w:lineRule="exact"/>
        <w:rPr>
          <w:sz w:val="20"/>
          <w:szCs w:val="20"/>
          <w:color w:val="auto"/>
        </w:rPr>
      </w:pPr>
    </w:p>
    <w:p>
      <w:pPr>
        <w:jc w:val="both"/>
        <w:ind w:firstLine="1194"/>
        <w:spacing w:after="0" w:line="279" w:lineRule="auto"/>
        <w:rPr>
          <w:sz w:val="20"/>
          <w:szCs w:val="20"/>
          <w:color w:val="auto"/>
        </w:rPr>
      </w:pPr>
      <w:r>
        <w:rPr>
          <w:rFonts w:ascii="Arial" w:cs="Arial" w:eastAsia="Arial" w:hAnsi="Arial"/>
          <w:sz w:val="17"/>
          <w:szCs w:val="17"/>
          <w:b w:val="1"/>
          <w:bCs w:val="1"/>
          <w:i w:val="1"/>
          <w:iCs w:val="1"/>
          <w:color w:val="auto"/>
        </w:rPr>
        <w:t xml:space="preserve">Fiscal year. </w:t>
      </w:r>
      <w:r>
        <w:rPr>
          <w:rFonts w:ascii="Arial" w:cs="Arial" w:eastAsia="Arial" w:hAnsi="Arial"/>
          <w:sz w:val="17"/>
          <w:szCs w:val="17"/>
          <w:color w:val="auto"/>
        </w:rPr>
        <w:t>Our fiscal year end is always the Sunday closest to December 31, and our operations are reported on a 52 or 53-week fiscal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years ended December 31, 2017, 2018 and 2019 consisted of 52 weeks. For presentation purposes, annual and quarterly information in the consolidated financial statements and accompanying notes are presented as ended on March 31, June 30, September 30 and December 31, as applicable. The actual date of our fiscal years are December 31, 2017, December 30, 2018, and December 29, 2019, respectively.</w:t>
      </w:r>
    </w:p>
    <w:p>
      <w:pPr>
        <w:spacing w:after="0" w:line="167" w:lineRule="exact"/>
        <w:rPr>
          <w:sz w:val="20"/>
          <w:szCs w:val="20"/>
          <w:color w:val="auto"/>
        </w:rPr>
      </w:pPr>
    </w:p>
    <w:p>
      <w:pPr>
        <w:jc w:val="both"/>
        <w:ind w:firstLine="1194"/>
        <w:spacing w:after="0" w:line="282"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classify bank time deposits and government and commercial notes and bills with original maturities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or less as cash equivalents.</w:t>
      </w:r>
    </w:p>
    <w:p>
      <w:pPr>
        <w:spacing w:after="0" w:line="162" w:lineRule="exact"/>
        <w:rPr>
          <w:sz w:val="20"/>
          <w:szCs w:val="20"/>
          <w:color w:val="auto"/>
        </w:rPr>
      </w:pPr>
    </w:p>
    <w:p>
      <w:pPr>
        <w:jc w:val="both"/>
        <w:ind w:firstLine="1194"/>
        <w:spacing w:after="0" w:line="254"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sales involve single performance obligations to ship our products pursuant to customer purchase orders. In some cases,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purchase order is supported by an underlying master sales agreement, but our purchase order verification notice generally evidences the contract with our customer by specifying the key terms of product and quantity ordered, price and delivery and payment terms. Effective January 1, 2018 with the adoption of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(see Note 12)</w:t>
      </w:r>
      <w:r>
        <w:rPr>
          <w:rFonts w:ascii="Arial" w:cs="Arial" w:eastAsia="Arial" w:hAnsi="Arial"/>
          <w:sz w:val="18"/>
          <w:szCs w:val="18"/>
          <w:i w:val="1"/>
          <w:iCs w:val="1"/>
          <w:color w:val="auto"/>
        </w:rPr>
        <w:t>,</w:t>
      </w:r>
      <w:r>
        <w:rPr>
          <w:rFonts w:ascii="Arial" w:cs="Arial" w:eastAsia="Arial" w:hAnsi="Arial"/>
          <w:sz w:val="18"/>
          <w:szCs w:val="18"/>
          <w:color w:val="auto"/>
        </w:rPr>
        <w:t xml:space="preserve"> 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such payment being probable of occurring. In certain arrangements we provide shipping and handling activities after the transfer of control to our customer (e.g. when control transfers prior to delivery). In such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arrangements shipping and handling are considered fulfillment activities, and accordingly, such costs are accrued when the related revenue is recognized. Prior to the adoption of ASU 2014-09, we recorded sales when our products were shipped and title and other risks and rewards of ownership had passed to the customer, which was generally at the time of shipment (although in some instances shipping terms were FOB destination point, for which we did not recognize revenue until the product was received by our customers).</w:t>
      </w:r>
    </w:p>
    <w:p>
      <w:pPr>
        <w:spacing w:after="0" w:line="187" w:lineRule="exact"/>
        <w:rPr>
          <w:sz w:val="20"/>
          <w:szCs w:val="20"/>
          <w:color w:val="auto"/>
        </w:rPr>
      </w:pPr>
    </w:p>
    <w:p>
      <w:pPr>
        <w:jc w:val="both"/>
        <w:ind w:firstLine="1194"/>
        <w:spacing w:after="0" w:line="269" w:lineRule="auto"/>
        <w:rPr>
          <w:sz w:val="20"/>
          <w:szCs w:val="20"/>
          <w:color w:val="auto"/>
        </w:rPr>
      </w:pPr>
      <w:r>
        <w:rPr>
          <w:rFonts w:ascii="Arial" w:cs="Arial" w:eastAsia="Arial" w:hAnsi="Arial"/>
          <w:sz w:val="17"/>
          <w:szCs w:val="17"/>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83"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ASU 2014-09 requires a disaggregation of our sales into categories that depict how the nature, amount, timing and uncertainty of revenue and cash flows are affected by economic factors. We have determined such disaggregation of our sales is the same as the disclosure of our sales by segment. See Note 2.</w:t>
      </w:r>
    </w:p>
    <w:p>
      <w:pPr>
        <w:spacing w:after="0" w:line="18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provide an allowance for doubtful accounts for known and estimated potential losses arising from our sales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based on a periodic review of these accounts.</w:t>
      </w:r>
    </w:p>
    <w:p>
      <w:pPr>
        <w:spacing w:after="0" w:line="166" w:lineRule="exact"/>
        <w:rPr>
          <w:sz w:val="20"/>
          <w:szCs w:val="20"/>
          <w:color w:val="auto"/>
        </w:rPr>
      </w:pPr>
    </w:p>
    <w:p>
      <w:pPr>
        <w:jc w:val="both"/>
        <w:ind w:firstLine="1194"/>
        <w:spacing w:after="0" w:line="271" w:lineRule="auto"/>
        <w:rPr>
          <w:sz w:val="20"/>
          <w:szCs w:val="20"/>
          <w:color w:val="auto"/>
        </w:rPr>
      </w:pPr>
      <w:r>
        <w:rPr>
          <w:rFonts w:ascii="Arial" w:cs="Arial" w:eastAsia="Arial" w:hAnsi="Arial"/>
          <w:sz w:val="17"/>
          <w:szCs w:val="17"/>
          <w:b w:val="1"/>
          <w:bCs w:val="1"/>
          <w:i w:val="1"/>
          <w:iCs w:val="1"/>
          <w:color w:val="auto"/>
        </w:rPr>
        <w:t>Inventories and cost of sales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state inventories at the lower of cost or net realizable value. We record a 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78"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advertising costs. </w:t>
      </w:r>
      <w:r>
        <w:rPr>
          <w:rFonts w:ascii="Arial" w:cs="Arial" w:eastAsia="Arial" w:hAnsi="Arial"/>
          <w:sz w:val="18"/>
          <w:szCs w:val="18"/>
          <w:color w:val="auto"/>
        </w:rPr>
        <w:t>Selling, general and administrative expenses include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distribution, research and development and administrative functions such as accounting, treasury and finance, and include costs for salaries and benefits, travel and entertainment, promotional materials and professional fees. We expense advertising and research and development costs as incurred. Advertising costs were not significant in 2017, 2018 or 2019.</w:t>
      </w:r>
    </w:p>
    <w:p>
      <w:pPr>
        <w:spacing w:after="0" w:line="187"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cost over fair value of individual net assets acquired in business combinations. Goodwill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periodic amortization. We evaluate goodwill for impairment annually or when circumstances indicate the carrying value may not be recoverable. See Note 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jc w:val="both"/>
        <w:ind w:firstLine="1194"/>
        <w:spacing w:after="0" w:line="256" w:lineRule="auto"/>
        <w:rPr>
          <w:sz w:val="20"/>
          <w:szCs w:val="20"/>
          <w:color w:val="auto"/>
        </w:rPr>
      </w:pPr>
      <w:r>
        <w:rPr>
          <w:rFonts w:ascii="Arial" w:cs="Arial" w:eastAsia="Arial" w:hAnsi="Arial"/>
          <w:sz w:val="18"/>
          <w:szCs w:val="18"/>
          <w:b w:val="1"/>
          <w:bCs w:val="1"/>
          <w:i w:val="1"/>
          <w:iCs w:val="1"/>
          <w:color w:val="auto"/>
        </w:rPr>
        <w:t>Property and equipment; depreciation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state property and equipment, including purchased computer software for internal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cost. We compute depreciation of property and equipment for financial reporting purposes principally by the straight-line method over the estimated useful lives of 15 to 40 years for buildings and 3 to 20 years for equipment and software. We use accelerated depreciation methods for income tax purposes, as permitted.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spacing w:after="0" w:line="192"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spacing w:after="0" w:line="181" w:lineRule="exact"/>
        <w:rPr>
          <w:sz w:val="20"/>
          <w:szCs w:val="20"/>
          <w:color w:val="auto"/>
        </w:rPr>
      </w:pPr>
    </w:p>
    <w:p>
      <w:pPr>
        <w:jc w:val="both"/>
        <w:ind w:firstLine="1194"/>
        <w:spacing w:after="0" w:line="302"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We enter into various arrangements (or leases) that convey the rights to use and control identified underlying assets for a period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time in exchange for consideration. We lease various facilities and equipment. From time to time, we may also enter into an arrangement in which the right to use and control an identified underlying asset is embedded in another type of contract. We determine if an arrangement is a lease (including leases embedded in another type of contract) at inception. All of our leases are classified as operating leases under ASC Topic 842 </w:t>
      </w:r>
      <w:r>
        <w:rPr>
          <w:rFonts w:ascii="Arial" w:cs="Arial" w:eastAsia="Arial" w:hAnsi="Arial"/>
          <w:sz w:val="16"/>
          <w:szCs w:val="16"/>
          <w:i w:val="1"/>
          <w:iCs w:val="1"/>
          <w:color w:val="auto"/>
        </w:rPr>
        <w:t>Leases</w:t>
      </w:r>
      <w:r>
        <w:rPr>
          <w:rFonts w:ascii="Arial" w:cs="Arial" w:eastAsia="Arial" w:hAnsi="Arial"/>
          <w:sz w:val="16"/>
          <w:szCs w:val="16"/>
          <w:color w:val="auto"/>
        </w:rPr>
        <w:t>. Operating leases are not material.</w:t>
      </w:r>
    </w:p>
    <w:p>
      <w:pPr>
        <w:spacing w:after="0" w:line="154"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b w:val="1"/>
          <w:bCs w:val="1"/>
          <w:i w:val="1"/>
          <w:iCs w:val="1"/>
          <w:color w:val="auto"/>
        </w:rPr>
        <w:t xml:space="preserve">Employee benefit plans. </w:t>
      </w:r>
      <w:r>
        <w:rPr>
          <w:rFonts w:ascii="Arial" w:cs="Arial" w:eastAsia="Arial" w:hAnsi="Arial"/>
          <w:sz w:val="18"/>
          <w:szCs w:val="18"/>
          <w:color w:val="auto"/>
        </w:rPr>
        <w:t>We maintain various defined contribution plans in which we make contributions based on matching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formulas. Defined contribution plan expense approximated $2.4 million in 2017, $3.0 million in 2018 and $3.2 million in 2019.</w:t>
      </w:r>
    </w:p>
    <w:p>
      <w:pPr>
        <w:spacing w:after="0" w:line="170"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b w:val="1"/>
          <w:bCs w:val="1"/>
          <w:i w:val="1"/>
          <w:iCs w:val="1"/>
          <w:color w:val="auto"/>
        </w:rPr>
        <w:t xml:space="preserve">Self-insurance. </w:t>
      </w:r>
      <w:r>
        <w:rPr>
          <w:rFonts w:ascii="Arial" w:cs="Arial" w:eastAsia="Arial" w:hAnsi="Arial"/>
          <w:sz w:val="18"/>
          <w:szCs w:val="18"/>
          <w:color w:val="auto"/>
        </w:rPr>
        <w:t>We are partially self-insured for workers’ compensation and certain employee health benefits and self-insured for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spacing w:after="0" w:line="183" w:lineRule="exact"/>
        <w:rPr>
          <w:sz w:val="20"/>
          <w:szCs w:val="20"/>
          <w:color w:val="auto"/>
        </w:rPr>
      </w:pPr>
    </w:p>
    <w:p>
      <w:pPr>
        <w:jc w:val="both"/>
        <w:ind w:firstLine="1194"/>
        <w:spacing w:after="0" w:line="261"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our parent NL, are members of the Contran Tax Group. We have been and currently are a part of the consolidated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filed by Contran for U.S. federal purposes as well as for certain U.S. state jurisdictions. As a member of the Contran Tax Group, we are jointly and severally liable for the federal income tax liability of Contran and the other companies included in the Contran Tax Group for all periods in which we are included in the Contran Tax Group. See Note 10.</w:t>
      </w:r>
    </w:p>
    <w:p>
      <w:pPr>
        <w:spacing w:after="0" w:line="184"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$6.7 million in 2017, $4.3 million in 2018 and $5.0 million in 2019.</w:t>
      </w:r>
    </w:p>
    <w:p>
      <w:pPr>
        <w:spacing w:after="0" w:line="188" w:lineRule="exact"/>
        <w:rPr>
          <w:sz w:val="20"/>
          <w:szCs w:val="20"/>
          <w:color w:val="auto"/>
        </w:rPr>
      </w:pPr>
    </w:p>
    <w:p>
      <w:pPr>
        <w:jc w:val="both"/>
        <w:ind w:firstLine="1194"/>
        <w:spacing w:after="0" w:line="276" w:lineRule="auto"/>
        <w:rPr>
          <w:sz w:val="20"/>
          <w:szCs w:val="20"/>
          <w:color w:val="auto"/>
        </w:rPr>
      </w:pPr>
      <w:r>
        <w:rPr>
          <w:rFonts w:ascii="Arial" w:cs="Arial" w:eastAsia="Arial" w:hAnsi="Arial"/>
          <w:sz w:val="17"/>
          <w:szCs w:val="17"/>
          <w:color w:val="auto"/>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7 and 10.</w:t>
      </w:r>
    </w:p>
    <w:p>
      <w:pPr>
        <w:spacing w:after="0" w:line="173" w:lineRule="exact"/>
        <w:rPr>
          <w:sz w:val="20"/>
          <w:szCs w:val="20"/>
          <w:color w:val="auto"/>
        </w:rPr>
      </w:pPr>
    </w:p>
    <w:p>
      <w:pPr>
        <w:jc w:val="both"/>
        <w:ind w:right="20" w:firstLine="1194"/>
        <w:spacing w:after="0" w:line="277" w:lineRule="auto"/>
        <w:rPr>
          <w:sz w:val="20"/>
          <w:szCs w:val="20"/>
          <w:color w:val="auto"/>
        </w:rPr>
      </w:pPr>
      <w:r>
        <w:rPr>
          <w:rFonts w:ascii="Arial" w:cs="Arial" w:eastAsia="Arial" w:hAnsi="Arial"/>
          <w:sz w:val="18"/>
          <w:szCs w:val="18"/>
          <w:color w:val="auto"/>
        </w:rPr>
        <w:t>We record a reserve for uncertain tax positions for tax positions where we believe it is more-likely-than-not our position will not prevail with the applicable tax authorities. We did not have a reserve for uncertain tax positions in 2017, 2018 or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left="200"/>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geographic segments:</w:t>
      </w:r>
    </w:p>
    <w:p>
      <w:pPr>
        <w:spacing w:after="0" w:line="121" w:lineRule="exact"/>
        <w:rPr>
          <w:sz w:val="20"/>
          <w:szCs w:val="20"/>
          <w:color w:val="auto"/>
        </w:rPr>
      </w:pPr>
    </w:p>
    <w:p>
      <w:pPr>
        <w:jc w:val="both"/>
        <w:ind w:right="20" w:firstLine="1194"/>
        <w:spacing w:after="0" w:line="264" w:lineRule="auto"/>
        <w:rPr>
          <w:sz w:val="20"/>
          <w:szCs w:val="20"/>
          <w:color w:val="auto"/>
        </w:rPr>
      </w:pPr>
      <w:r>
        <w:rPr>
          <w:rFonts w:ascii="Arial" w:cs="Arial" w:eastAsia="Arial" w:hAnsi="Arial"/>
          <w:sz w:val="18"/>
          <w:szCs w:val="18"/>
          <w:color w:val="auto"/>
        </w:rPr>
        <w:t>Our operating segments are defined as components of our operations about which separate financial information is available that is regularly evaluated by our chief operating decision maker in determining how to allocate resources and in assessing performance. At December 31, 2019, we had two reportable operating segments – Security Products and Marine Components.</w:t>
      </w:r>
    </w:p>
    <w:p>
      <w:pPr>
        <w:spacing w:after="0" w:line="181" w:lineRule="exact"/>
        <w:rPr>
          <w:sz w:val="20"/>
          <w:szCs w:val="20"/>
          <w:color w:val="auto"/>
        </w:rPr>
      </w:pPr>
    </w:p>
    <w:p>
      <w:pPr>
        <w:jc w:val="both"/>
        <w:ind w:right="20" w:firstLine="1194"/>
        <w:spacing w:after="0" w:line="264" w:lineRule="auto"/>
        <w:rPr>
          <w:sz w:val="20"/>
          <w:szCs w:val="20"/>
          <w:color w:val="auto"/>
        </w:rPr>
      </w:pPr>
      <w:r>
        <w:rPr>
          <w:rFonts w:ascii="Arial" w:cs="Arial" w:eastAsia="Arial" w:hAnsi="Arial"/>
          <w:sz w:val="18"/>
          <w:szCs w:val="18"/>
          <w:color w:val="auto"/>
        </w:rPr>
        <w:t>The Security Products segment, with a facility in South Carolina and a facility shared with Marine Components in Illinois, manufactures locking mechanisms and other security products for sale to the transportation, postal, office and institutional furniture, cabinetry, tool storage, healthcare and other industries.</w:t>
      </w:r>
    </w:p>
    <w:p>
      <w:pPr>
        <w:spacing w:after="0" w:line="181" w:lineRule="exact"/>
        <w:rPr>
          <w:sz w:val="20"/>
          <w:szCs w:val="20"/>
          <w:color w:val="auto"/>
        </w:rPr>
      </w:pPr>
    </w:p>
    <w:p>
      <w:pPr>
        <w:jc w:val="both"/>
        <w:ind w:right="20" w:firstLine="1194"/>
        <w:spacing w:after="0" w:line="264" w:lineRule="auto"/>
        <w:rPr>
          <w:sz w:val="20"/>
          <w:szCs w:val="20"/>
          <w:color w:val="auto"/>
        </w:rPr>
      </w:pPr>
      <w:r>
        <w:rPr>
          <w:rFonts w:ascii="Arial" w:cs="Arial" w:eastAsia="Arial" w:hAnsi="Arial"/>
          <w:sz w:val="18"/>
          <w:szCs w:val="18"/>
          <w:color w:val="auto"/>
        </w:rPr>
        <w:t>Our Marine Components segment, with a facility in Wisconsin and a facility shared with Security Products in Illinois, manufactures and distributes stainless steel exhaust systems, gauges, throttle controls, wake enhancement systems, trim tabs and related hardware and accessories primarily for performance and ski/wakeboard boats.</w:t>
      </w:r>
    </w:p>
    <w:p>
      <w:pPr>
        <w:spacing w:after="0" w:line="181" w:lineRule="exact"/>
        <w:rPr>
          <w:sz w:val="20"/>
          <w:szCs w:val="20"/>
          <w:color w:val="auto"/>
        </w:rPr>
      </w:pPr>
    </w:p>
    <w:p>
      <w:pPr>
        <w:jc w:val="both"/>
        <w:ind w:right="20" w:firstLine="1194"/>
        <w:spacing w:after="0" w:line="257" w:lineRule="auto"/>
        <w:rPr>
          <w:sz w:val="20"/>
          <w:szCs w:val="20"/>
          <w:color w:val="auto"/>
        </w:rPr>
      </w:pPr>
      <w:r>
        <w:rPr>
          <w:rFonts w:ascii="Arial" w:cs="Arial" w:eastAsia="Arial" w:hAnsi="Arial"/>
          <w:sz w:val="18"/>
          <w:szCs w:val="18"/>
          <w:color w:val="auto"/>
        </w:rPr>
        <w:t>The chief operating decision maker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accounting policies of the reportable operating segments are the same as those described in Note 1. Capital expenditures include additions to property and equipment, but exclude amounts attributable to business combinations.</w:t>
      </w:r>
    </w:p>
    <w:p>
      <w:pPr>
        <w:spacing w:after="0" w:line="188" w:lineRule="exact"/>
        <w:rPr>
          <w:sz w:val="20"/>
          <w:szCs w:val="20"/>
          <w:color w:val="auto"/>
        </w:rPr>
      </w:pPr>
    </w:p>
    <w:p>
      <w:pPr>
        <w:jc w:val="both"/>
        <w:ind w:right="20" w:firstLine="1194"/>
        <w:spacing w:after="0" w:line="259" w:lineRule="auto"/>
        <w:rPr>
          <w:sz w:val="20"/>
          <w:szCs w:val="20"/>
          <w:color w:val="auto"/>
        </w:rPr>
      </w:pPr>
      <w:r>
        <w:rPr>
          <w:rFonts w:ascii="Arial" w:cs="Arial" w:eastAsia="Arial" w:hAnsi="Arial"/>
          <w:sz w:val="18"/>
          <w:szCs w:val="18"/>
          <w:color w:val="auto"/>
        </w:rPr>
        <w:t>Segment assets are comprised of all assets attributable to the reportable segments. Corporate assets are not attributable to the operating segments and consist primarily of cash, cash equivalents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Years ended December 31,</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96,600</w:t>
            </w:r>
          </w:p>
        </w:tc>
        <w:tc>
          <w:tcPr>
            <w:tcW w:w="3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98,383</w:t>
            </w:r>
          </w:p>
        </w:tc>
        <w:tc>
          <w:tcPr>
            <w:tcW w:w="200" w:type="dxa"/>
            <w:vAlign w:val="bottom"/>
          </w:tcPr>
          <w:p>
            <w:pPr>
              <w:spacing w:after="0"/>
              <w:rPr>
                <w:sz w:val="19"/>
                <w:szCs w:val="19"/>
                <w:color w:val="auto"/>
              </w:rPr>
            </w:pP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99,328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15,435</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net sales</w:t>
            </w:r>
          </w:p>
        </w:tc>
        <w:tc>
          <w:tcPr>
            <w:tcW w:w="11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112,035</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19,182</w:t>
            </w:r>
          </w:p>
        </w:tc>
        <w:tc>
          <w:tcPr>
            <w:tcW w:w="3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21,947</w:t>
            </w:r>
          </w:p>
        </w:tc>
        <w:tc>
          <w:tcPr>
            <w:tcW w:w="200" w:type="dxa"/>
            <w:vAlign w:val="bottom"/>
          </w:tcPr>
          <w:p>
            <w:pPr>
              <w:spacing w:after="0"/>
              <w:rPr>
                <w:sz w:val="19"/>
                <w:szCs w:val="19"/>
                <w:color w:val="auto"/>
              </w:rPr>
            </w:pP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1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(5,289)</w:t>
            </w:r>
          </w:p>
        </w:tc>
        <w:tc>
          <w:tcPr>
            <w:tcW w:w="26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(6,874)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22"/>
        </w:trPr>
        <w:tc>
          <w:tcPr>
            <w:tcW w:w="528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1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15,235</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Income before taxes</w:t>
            </w:r>
          </w:p>
        </w:tc>
        <w:tc>
          <w:tcPr>
            <w:tcW w:w="11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17,164</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3,072</w:t>
            </w:r>
          </w:p>
        </w:tc>
        <w:tc>
          <w:tcPr>
            <w:tcW w:w="3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2,914</w:t>
            </w:r>
          </w:p>
        </w:tc>
        <w:tc>
          <w:tcPr>
            <w:tcW w:w="200" w:type="dxa"/>
            <w:vAlign w:val="bottom"/>
          </w:tcPr>
          <w:p>
            <w:pPr>
              <w:spacing w:after="0"/>
              <w:rPr>
                <w:sz w:val="19"/>
                <w:szCs w:val="19"/>
                <w:color w:val="auto"/>
              </w:rPr>
            </w:pP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80" w:type="dxa"/>
            <w:vAlign w:val="bottom"/>
          </w:tcPr>
          <w:p>
            <w:pPr>
              <w:spacing w:after="0"/>
              <w:rPr>
                <w:sz w:val="24"/>
                <w:szCs w:val="24"/>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F-11</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120" w:type="dxa"/>
            <w:vAlign w:val="bottom"/>
            <w:gridSpan w:val="2"/>
          </w:tcPr>
          <w:p>
            <w:pPr>
              <w:jc w:val="right"/>
              <w:ind w:right="94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2,126</w:t>
            </w:r>
          </w:p>
        </w:tc>
        <w:tc>
          <w:tcPr>
            <w:tcW w:w="20" w:type="dxa"/>
            <w:vAlign w:val="bottom"/>
          </w:tcPr>
          <w:p>
            <w:pPr>
              <w:spacing w:after="0"/>
              <w:rPr>
                <w:sz w:val="19"/>
                <w:szCs w:val="19"/>
                <w:color w:val="auto"/>
              </w:rPr>
            </w:pPr>
          </w:p>
        </w:tc>
        <w:tc>
          <w:tcPr>
            <w:tcW w:w="7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gridSpan w:val="2"/>
          </w:tcPr>
          <w:p>
            <w:pPr>
              <w:jc w:val="right"/>
              <w:ind w:right="94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sales point of destination:</w:t>
            </w: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2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120" w:type="dxa"/>
            <w:vAlign w:val="bottom"/>
            <w:gridSpan w:val="2"/>
          </w:tcPr>
          <w:p>
            <w:pPr>
              <w:jc w:val="right"/>
              <w:ind w:right="94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103,646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108,773</w:t>
            </w:r>
          </w:p>
        </w:tc>
        <w:tc>
          <w:tcPr>
            <w:tcW w:w="20" w:type="dxa"/>
            <w:vAlign w:val="bottom"/>
          </w:tcPr>
          <w:p>
            <w:pPr>
              <w:spacing w:after="0"/>
              <w:rPr>
                <w:sz w:val="19"/>
                <w:szCs w:val="19"/>
                <w:color w:val="auto"/>
              </w:rPr>
            </w:pPr>
          </w:p>
        </w:tc>
        <w:tc>
          <w:tcPr>
            <w:tcW w:w="7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Mexico</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gridSpan w:val="2"/>
          </w:tcPr>
          <w:p>
            <w:pPr>
              <w:jc w:val="right"/>
              <w:ind w:right="94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112,035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120" w:type="dxa"/>
            <w:vAlign w:val="bottom"/>
            <w:gridSpan w:val="2"/>
          </w:tcPr>
          <w:p>
            <w:pPr>
              <w:jc w:val="right"/>
              <w:ind w:right="925"/>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72,961</w:t>
            </w:r>
          </w:p>
        </w:tc>
        <w:tc>
          <w:tcPr>
            <w:tcW w:w="320" w:type="dxa"/>
            <w:vAlign w:val="bottom"/>
          </w:tcPr>
          <w:p>
            <w:pPr>
              <w:spacing w:after="0"/>
              <w:rPr>
                <w:sz w:val="19"/>
                <w:szCs w:val="19"/>
                <w:color w:val="auto"/>
              </w:rPr>
            </w:pPr>
          </w:p>
        </w:tc>
        <w:tc>
          <w:tcPr>
            <w:tcW w:w="280" w:type="dxa"/>
            <w:vAlign w:val="bottom"/>
            <w:gridSpan w:val="2"/>
          </w:tcPr>
          <w:p>
            <w:pPr>
              <w:jc w:val="right"/>
              <w:ind w:right="79"/>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74,714</w:t>
            </w:r>
          </w:p>
        </w:tc>
        <w:tc>
          <w:tcPr>
            <w:tcW w:w="7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73,697</w:t>
            </w: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11,704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14,189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15,256</w:t>
            </w: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66,294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77,526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89,591</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080" w:type="dxa"/>
            <w:vAlign w:val="bottom"/>
            <w:tcBorders>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150,959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166,429</w:t>
            </w:r>
          </w:p>
        </w:tc>
        <w:tc>
          <w:tcPr>
            <w:tcW w:w="340" w:type="dxa"/>
            <w:vAlign w:val="bottom"/>
            <w:gridSpan w:val="2"/>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Intersegment sales are not material.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property and equipment for 2017, 2018 and 2019 is entirely located in the United States.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net: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6"/>
                <w:szCs w:val="16"/>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100" w:type="dxa"/>
            <w:vAlign w:val="bottom"/>
            <w:vMerge w:val="continue"/>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10,596</w:t>
            </w:r>
          </w:p>
        </w:tc>
        <w:tc>
          <w:tcPr>
            <w:tcW w:w="3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10,321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accounts receivable, net</w:t>
            </w:r>
          </w:p>
        </w:tc>
        <w:tc>
          <w:tcPr>
            <w:tcW w:w="3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00" w:type="dxa"/>
            <w:vAlign w:val="bottom"/>
          </w:tcPr>
          <w:p>
            <w:pPr>
              <w:spacing w:after="0"/>
              <w:rPr>
                <w:sz w:val="24"/>
                <w:szCs w:val="24"/>
                <w:color w:val="auto"/>
              </w:rPr>
            </w:pPr>
          </w:p>
        </w:tc>
        <w:tc>
          <w:tcPr>
            <w:tcW w:w="3620" w:type="dxa"/>
            <w:vAlign w:val="bottom"/>
            <w:gridSpan w:val="2"/>
          </w:tcPr>
          <w:p>
            <w:pPr>
              <w:jc w:val="right"/>
              <w:ind w:right="1750"/>
              <w:spacing w:after="0"/>
              <w:rPr>
                <w:sz w:val="20"/>
                <w:szCs w:val="20"/>
                <w:color w:val="auto"/>
              </w:rPr>
            </w:pPr>
            <w:r>
              <w:rPr>
                <w:rFonts w:ascii="Arial" w:cs="Arial" w:eastAsia="Arial" w:hAnsi="Arial"/>
                <w:sz w:val="18"/>
                <w:szCs w:val="18"/>
                <w:color w:val="auto"/>
              </w:rPr>
              <w:t>F-12</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98" w:right="219" w:bottom="1440" w:gutter="0" w:footer="0" w:header="0"/>
        </w:sectPr>
      </w:pPr>
    </w:p>
    <w:bookmarkStart w:id="37" w:name="page38"/>
    <w:bookmarkEnd w:id="37"/>
    <w:p>
      <w:pPr>
        <w:ind w:left="200"/>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476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4760" w:type="dxa"/>
            <w:vAlign w:val="bottom"/>
          </w:tcPr>
          <w:p>
            <w:pPr>
              <w:ind w:left="500"/>
              <w:spacing w:after="0"/>
              <w:rPr>
                <w:sz w:val="20"/>
                <w:szCs w:val="20"/>
                <w:color w:val="auto"/>
              </w:rPr>
            </w:pPr>
            <w:r>
              <w:rPr>
                <w:rFonts w:ascii="Arial" w:cs="Arial" w:eastAsia="Arial" w:hAnsi="Arial"/>
                <w:sz w:val="18"/>
                <w:szCs w:val="18"/>
                <w:color w:val="auto"/>
              </w:rPr>
              <w:t>Total raw materials</w:t>
            </w:r>
          </w:p>
        </w:tc>
        <w:tc>
          <w:tcPr>
            <w:tcW w:w="2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Work-in-process: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9,018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23"/>
        </w:trPr>
        <w:tc>
          <w:tcPr>
            <w:tcW w:w="4760" w:type="dxa"/>
            <w:vAlign w:val="bottom"/>
          </w:tcPr>
          <w:p>
            <w:pPr>
              <w:ind w:left="500"/>
              <w:spacing w:after="0"/>
              <w:rPr>
                <w:sz w:val="20"/>
                <w:szCs w:val="20"/>
                <w:color w:val="auto"/>
              </w:rPr>
            </w:pPr>
            <w:r>
              <w:rPr>
                <w:rFonts w:ascii="Arial" w:cs="Arial" w:eastAsia="Arial" w:hAnsi="Arial"/>
                <w:sz w:val="18"/>
                <w:szCs w:val="18"/>
                <w:color w:val="auto"/>
              </w:rPr>
              <w:t>Total work-in-process</w:t>
            </w:r>
          </w:p>
        </w:tc>
        <w:tc>
          <w:tcPr>
            <w:tcW w:w="2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Finished goods: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4760" w:type="dxa"/>
            <w:vAlign w:val="bottom"/>
          </w:tcPr>
          <w:p>
            <w:pPr>
              <w:ind w:left="500"/>
              <w:spacing w:after="0"/>
              <w:rPr>
                <w:sz w:val="20"/>
                <w:szCs w:val="20"/>
                <w:color w:val="auto"/>
              </w:rPr>
            </w:pPr>
            <w:r>
              <w:rPr>
                <w:rFonts w:ascii="Arial" w:cs="Arial" w:eastAsia="Arial" w:hAnsi="Arial"/>
                <w:sz w:val="18"/>
                <w:szCs w:val="18"/>
                <w:color w:val="auto"/>
              </w:rPr>
              <w:t>Total finished goods</w:t>
            </w:r>
          </w:p>
        </w:tc>
        <w:tc>
          <w:tcPr>
            <w:tcW w:w="2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Total inventories, net</w:t>
            </w:r>
          </w:p>
        </w:tc>
        <w:tc>
          <w:tcPr>
            <w:tcW w:w="26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17,102</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121" w:lineRule="exact"/>
        <w:rPr>
          <w:sz w:val="20"/>
          <w:szCs w:val="20"/>
          <w:color w:val="auto"/>
        </w:rPr>
      </w:pPr>
    </w:p>
    <w:p>
      <w:pPr>
        <w:jc w:val="both"/>
        <w:ind w:firstLine="1194"/>
        <w:spacing w:after="0" w:line="302" w:lineRule="auto"/>
        <w:rPr>
          <w:sz w:val="20"/>
          <w:szCs w:val="20"/>
          <w:color w:val="auto"/>
        </w:rPr>
      </w:pPr>
      <w:r>
        <w:rPr>
          <w:rFonts w:ascii="Arial" w:cs="Arial" w:eastAsia="Arial" w:hAnsi="Arial"/>
          <w:sz w:val="16"/>
          <w:szCs w:val="16"/>
          <w:color w:val="auto"/>
        </w:rPr>
        <w:t xml:space="preserve">We assign goodwill based on </w:t>
      </w:r>
      <w:r>
        <w:rPr>
          <w:rFonts w:ascii="Arial" w:cs="Arial" w:eastAsia="Arial" w:hAnsi="Arial"/>
          <w:sz w:val="16"/>
          <w:szCs w:val="16"/>
          <w:i w:val="1"/>
          <w:iCs w:val="1"/>
          <w:color w:val="auto"/>
        </w:rPr>
        <w:t>reporting unit</w:t>
      </w:r>
      <w:r>
        <w:rPr>
          <w:rFonts w:ascii="Arial" w:cs="Arial" w:eastAsia="Arial" w:hAnsi="Arial"/>
          <w:sz w:val="16"/>
          <w:szCs w:val="16"/>
          <w:color w:val="auto"/>
        </w:rPr>
        <w:t xml:space="preserve"> (as that term is defined in ASC Topic 350-20-20, </w:t>
      </w:r>
      <w:r>
        <w:rPr>
          <w:rFonts w:ascii="Arial" w:cs="Arial" w:eastAsia="Arial" w:hAnsi="Arial"/>
          <w:sz w:val="16"/>
          <w:szCs w:val="16"/>
          <w:i w:val="1"/>
          <w:iCs w:val="1"/>
          <w:color w:val="auto"/>
        </w:rPr>
        <w:t>Goodwill</w:t>
      </w:r>
      <w:r>
        <w:rPr>
          <w:rFonts w:ascii="Arial" w:cs="Arial" w:eastAsia="Arial" w:hAnsi="Arial"/>
          <w:sz w:val="16"/>
          <w:szCs w:val="16"/>
          <w:color w:val="auto"/>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units for impairment during the third quarter of each year or when circumstances arise that indicate an impairment might be present.</w:t>
      </w:r>
    </w:p>
    <w:p>
      <w:pPr>
        <w:spacing w:after="0" w:line="154" w:lineRule="exact"/>
        <w:rPr>
          <w:sz w:val="20"/>
          <w:szCs w:val="20"/>
          <w:color w:val="auto"/>
        </w:rPr>
      </w:pPr>
    </w:p>
    <w:p>
      <w:pPr>
        <w:jc w:val="both"/>
        <w:ind w:firstLine="1194"/>
        <w:spacing w:after="0" w:line="297" w:lineRule="auto"/>
        <w:rPr>
          <w:sz w:val="20"/>
          <w:szCs w:val="20"/>
          <w:color w:val="auto"/>
        </w:rPr>
      </w:pPr>
      <w:r>
        <w:rPr>
          <w:rFonts w:ascii="Arial" w:cs="Arial" w:eastAsia="Arial" w:hAnsi="Arial"/>
          <w:sz w:val="16"/>
          <w:szCs w:val="16"/>
          <w:color w:val="auto"/>
        </w:rPr>
        <w:t>In 2017, 2018 and 2019, our goodwill was tested for impairment only in the third quarter of each year in connection with our annual testing date. No impairment was indicated as part of such annual reviews of goodwill. As permitted by GAAP, during 2017, 2018 and 2019 we used the qualitative assessment of ASC 350-20-35 for our annual impairment test and determined it was not necessary to perform the quantitative goodwill impairment test. During 2016, we used the quantitative assessment of ASC 350-20-35 for our annual impairment test using discounted cash flows to determine the estimated fair value of our Security Products reporting unit. Such discounted cash flows are a Level 3 input as defined by ASC 820-10-35.</w:t>
      </w:r>
    </w:p>
    <w:p>
      <w:pPr>
        <w:spacing w:after="0" w:line="158"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color w:val="auto"/>
        </w:rPr>
        <w:t>Our gross goodwill at December 31, 2019 is $33.6 million. Prior to 2017, we recorded a $9.9 million goodwill impairment in our Marine Components segment resulting in a net consolidated carrying amount of $23.7 million. There have been no changes in the carrying amount of our goodwill during the past three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200"/>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payable and accrued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548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310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2,708</w:t>
            </w:r>
          </w:p>
        </w:tc>
        <w:tc>
          <w:tcPr>
            <w:tcW w:w="3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Accrued liabilities:</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Employee benefits</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8,068</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Taxes other than on income</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Insurance</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Sales rebates</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5480" w:type="dxa"/>
            <w:vAlign w:val="bottom"/>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960" w:type="dxa"/>
            <w:vAlign w:val="bottom"/>
          </w:tcPr>
          <w:p>
            <w:pPr>
              <w:spacing w:after="0"/>
              <w:rPr>
                <w:sz w:val="19"/>
                <w:szCs w:val="19"/>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12,504</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jc w:val="both"/>
        <w:ind w:firstLine="1194"/>
        <w:spacing w:after="0" w:line="277" w:lineRule="auto"/>
        <w:rPr>
          <w:sz w:val="20"/>
          <w:szCs w:val="20"/>
          <w:color w:val="auto"/>
        </w:rPr>
      </w:pPr>
      <w:r>
        <w:rPr>
          <w:rFonts w:ascii="Arial" w:cs="Arial" w:eastAsia="Arial" w:hAnsi="Arial"/>
          <w:sz w:val="18"/>
          <w:szCs w:val="18"/>
          <w:color w:val="auto"/>
        </w:rPr>
        <w:t>The provision for income taxes and the difference between such provision for income taxes and the amount that would be expected using the U.S. federal statutory income tax are presented below. All of our pre-tax income relates to operations in the United States.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3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3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80"/>
              <w:spacing w:after="0"/>
              <w:rPr>
                <w:sz w:val="20"/>
                <w:szCs w:val="20"/>
                <w:color w:val="auto"/>
              </w:rPr>
            </w:pPr>
            <w:r>
              <w:rPr>
                <w:rFonts w:ascii="Arial" w:cs="Arial" w:eastAsia="Arial" w:hAnsi="Arial"/>
                <w:sz w:val="18"/>
                <w:szCs w:val="18"/>
                <w:color w:val="auto"/>
              </w:rPr>
              <w:t>Currently payable</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5,736</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5,064</w:t>
            </w:r>
          </w:p>
        </w:tc>
        <w:tc>
          <w:tcPr>
            <w:tcW w:w="3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80"/>
              <w:spacing w:after="0"/>
              <w:rPr>
                <w:sz w:val="20"/>
                <w:szCs w:val="20"/>
                <w:color w:val="auto"/>
              </w:rPr>
            </w:pPr>
            <w:r>
              <w:rPr>
                <w:rFonts w:ascii="Arial" w:cs="Arial" w:eastAsia="Arial" w:hAnsi="Arial"/>
                <w:sz w:val="18"/>
                <w:szCs w:val="18"/>
                <w:color w:val="auto"/>
              </w:rPr>
              <w:t>Deferred income tax expense (benefit)</w:t>
            </w:r>
          </w:p>
        </w:tc>
        <w:tc>
          <w:tcPr>
            <w:tcW w:w="9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Expected tax expense, at the U.S. federal statutory</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income tax rate of 35% in 2017 and 21% in 2018 and 2019</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6,007</w:t>
            </w: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4,300</w:t>
            </w:r>
          </w:p>
        </w:tc>
        <w:tc>
          <w:tcPr>
            <w:tcW w:w="32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Changes in federal tax rate, net</w:t>
            </w:r>
          </w:p>
        </w:tc>
        <w:tc>
          <w:tcPr>
            <w:tcW w:w="9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State income taxes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9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Foreign derived intangible income benefit</w:t>
            </w:r>
          </w:p>
        </w:tc>
        <w:tc>
          <w:tcPr>
            <w:tcW w:w="9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3,961</w:t>
            </w: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5,150</w:t>
            </w:r>
          </w:p>
        </w:tc>
        <w:tc>
          <w:tcPr>
            <w:tcW w:w="32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On December 22, 2017, H.R.1, formally known as the “Tax Cuts and Jobs Act” (“2017 Tax Act”) was enacted into law. This tax legislation, among other changes, (i) reduced the federal corporate income tax rate from 35% to 21% effective January 1, 2018; (ii) eliminated the domestic production activities deduction beginning in 2018; and (iii) allows for the expensing of certain capital expenditures. Following the enactment of the 2017 Tax Act, the Securities and Exchange Commission issued Staff Accounting Bulletin (SAB) 118 to provide guidance on the accounting and reporting impacts of the 2017 Tax Act. SAB 118 required that companies account for changes related to the 2017 Tax Act in the period of enactment unless the impact of such changes could not be reasonably estimated. Where the use of estimated provisional amounts was necessary, SAB 118 provided for a measurement period of no longer than one year during which companies could adjust those amounts as additional information became available. Therefore, as required under GAAP, we revalued our net deferred tax liability associated with our net taxable temporary differences based on deferred tax balances as of the enactment date to reflect the effect of the reduction in the corporate income tax rate. Our temporary differences as of December 31, 2017 were not materially different from our temporary differences as of the enactment date, accordingly revaluation of our net taxable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temporary differences was based on our net deferred tax liability as of December 31, 2017. Such revaluation resulted in a non-cash deferred income tax benefit of approximately $1.9 million recognized in continuing operations for the period ended December 31, 2017, reducing our net deferred income tax liability as of that date. During 2018 we finalized our analysis of the 2017 Tax Act and recorded an immaterial adjustment within the defined measurement period.</w:t>
      </w:r>
    </w:p>
    <w:p>
      <w:pPr>
        <w:spacing w:after="0" w:line="79"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Under the 2017 Tax Act, beginning in 2018, domestic corporations who are U.S. exporters with no foreign operations may be eligible for a deduction under the foreign derived intangible income provisions. We qualify for this deduction and recognized a current cash tax benefit of $0.2 million in 2019 ($0.1 million of such current cash tax benefit is related to 2018). See also Note 10 to our Consolidated Financial Statements.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components of the net deferred tax liability are summarized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tcPr>
          <w:p>
            <w:pPr>
              <w:spacing w:after="0"/>
              <w:rPr>
                <w:sz w:val="13"/>
                <w:szCs w:val="13"/>
                <w:color w:val="auto"/>
              </w:rPr>
            </w:pPr>
          </w:p>
        </w:tc>
        <w:tc>
          <w:tcPr>
            <w:tcW w:w="11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460" w:type="dxa"/>
            <w:vAlign w:val="bottom"/>
            <w:vMerge w:val="restart"/>
          </w:tcPr>
          <w:p>
            <w:pPr>
              <w:spacing w:after="0"/>
              <w:rPr>
                <w:sz w:val="20"/>
                <w:szCs w:val="20"/>
                <w:color w:val="auto"/>
              </w:rPr>
            </w:pPr>
            <w:r>
              <w:rPr>
                <w:rFonts w:ascii="Arial" w:cs="Arial" w:eastAsia="Arial" w:hAnsi="Arial"/>
                <w:sz w:val="18"/>
                <w:szCs w:val="18"/>
                <w:color w:val="auto"/>
              </w:rPr>
              <w:t>Tax effect of temporary differences related to:</w:t>
            </w:r>
          </w:p>
        </w:tc>
        <w:tc>
          <w:tcPr>
            <w:tcW w:w="1140" w:type="dxa"/>
            <w:vAlign w:val="bottom"/>
          </w:tcPr>
          <w:p>
            <w:pPr>
              <w:spacing w:after="0"/>
              <w:rPr>
                <w:sz w:val="15"/>
                <w:szCs w:val="15"/>
                <w:color w:val="auto"/>
              </w:rPr>
            </w:pPr>
          </w:p>
        </w:tc>
        <w:tc>
          <w:tcPr>
            <w:tcW w:w="14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4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356</w:t>
            </w:r>
          </w:p>
        </w:tc>
        <w:tc>
          <w:tcPr>
            <w:tcW w:w="360" w:type="dxa"/>
            <w:vAlign w:val="bottom"/>
          </w:tcPr>
          <w:p>
            <w:pPr>
              <w:spacing w:after="0"/>
              <w:rPr>
                <w:sz w:val="19"/>
                <w:szCs w:val="19"/>
                <w:color w:val="auto"/>
              </w:rPr>
            </w:pP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1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(2,912)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30"/>
        </w:trPr>
        <w:tc>
          <w:tcPr>
            <w:tcW w:w="7460" w:type="dxa"/>
            <w:vAlign w:val="bottom"/>
          </w:tcPr>
          <w:p>
            <w:pPr>
              <w:ind w:left="380"/>
              <w:spacing w:after="0"/>
              <w:rPr>
                <w:sz w:val="20"/>
                <w:szCs w:val="20"/>
                <w:color w:val="auto"/>
              </w:rPr>
            </w:pPr>
            <w:r>
              <w:rPr>
                <w:rFonts w:ascii="Arial" w:cs="Arial" w:eastAsia="Arial" w:hAnsi="Arial"/>
                <w:sz w:val="18"/>
                <w:szCs w:val="18"/>
                <w:color w:val="auto"/>
              </w:rPr>
              <w:t>Accrued liabilities and other deductible differences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80"/>
              <w:spacing w:after="0"/>
              <w:rPr>
                <w:sz w:val="20"/>
                <w:szCs w:val="20"/>
                <w:color w:val="auto"/>
              </w:rPr>
            </w:pPr>
            <w:r>
              <w:rPr>
                <w:rFonts w:ascii="Arial" w:cs="Arial" w:eastAsia="Arial" w:hAnsi="Arial"/>
                <w:sz w:val="18"/>
                <w:szCs w:val="18"/>
                <w:color w:val="auto"/>
              </w:rPr>
              <w:t>Accrued employee benefits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30"/>
        </w:trPr>
        <w:tc>
          <w:tcPr>
            <w:tcW w:w="7460" w:type="dxa"/>
            <w:vAlign w:val="bottom"/>
          </w:tcPr>
          <w:p>
            <w:pPr>
              <w:ind w:left="380"/>
              <w:spacing w:after="0"/>
              <w:rPr>
                <w:sz w:val="20"/>
                <w:szCs w:val="20"/>
                <w:color w:val="auto"/>
              </w:rPr>
            </w:pPr>
            <w:r>
              <w:rPr>
                <w:rFonts w:ascii="Arial" w:cs="Arial" w:eastAsia="Arial" w:hAnsi="Arial"/>
                <w:sz w:val="18"/>
                <w:szCs w:val="18"/>
                <w:color w:val="auto"/>
              </w:rPr>
              <w:t>Other taxable differences</w:t>
            </w:r>
          </w:p>
        </w:tc>
        <w:tc>
          <w:tcPr>
            <w:tcW w:w="1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194"/>
        <w:spacing w:after="0" w:line="277" w:lineRule="auto"/>
        <w:rPr>
          <w:sz w:val="20"/>
          <w:szCs w:val="20"/>
          <w:color w:val="auto"/>
        </w:rPr>
      </w:pPr>
      <w:r>
        <w:rPr>
          <w:rFonts w:ascii="Arial" w:cs="Arial" w:eastAsia="Arial" w:hAnsi="Arial"/>
          <w:sz w:val="18"/>
          <w:szCs w:val="18"/>
          <w:color w:val="auto"/>
        </w:rPr>
        <w:t>We and Contran file income tax returns in U.S. federal and various state and local jurisdictions. Our income tax returns prior to 2016 are generally considered closed to examination by applicable tax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38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Shares of common stock</w:t>
            </w:r>
          </w:p>
        </w:tc>
      </w:tr>
      <w:tr>
        <w:trPr>
          <w:trHeight w:val="156"/>
        </w:trPr>
        <w:tc>
          <w:tcPr>
            <w:tcW w:w="7480" w:type="dxa"/>
            <w:vAlign w:val="bottom"/>
          </w:tcPr>
          <w:p>
            <w:pPr>
              <w:spacing w:after="0"/>
              <w:rPr>
                <w:sz w:val="13"/>
                <w:szCs w:val="13"/>
                <w:color w:val="auto"/>
              </w:rPr>
            </w:pPr>
          </w:p>
        </w:tc>
        <w:tc>
          <w:tcPr>
            <w:tcW w:w="208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9"/>
              </w:rPr>
              <w:t>Class A</w:t>
            </w:r>
          </w:p>
        </w:tc>
        <w:tc>
          <w:tcPr>
            <w:tcW w:w="17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3"/>
                <w:szCs w:val="13"/>
                <w:color w:val="auto"/>
              </w:rPr>
            </w:pPr>
          </w:p>
        </w:tc>
      </w:tr>
      <w:tr>
        <w:trPr>
          <w:trHeight w:val="133"/>
        </w:trPr>
        <w:tc>
          <w:tcPr>
            <w:tcW w:w="7480" w:type="dxa"/>
            <w:vAlign w:val="bottom"/>
          </w:tcPr>
          <w:p>
            <w:pPr>
              <w:spacing w:after="0"/>
              <w:rPr>
                <w:sz w:val="11"/>
                <w:szCs w:val="11"/>
                <w:color w:val="auto"/>
              </w:rPr>
            </w:pPr>
          </w:p>
        </w:tc>
        <w:tc>
          <w:tcPr>
            <w:tcW w:w="17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Issued and</w:t>
            </w:r>
          </w:p>
        </w:tc>
        <w:tc>
          <w:tcPr>
            <w:tcW w:w="340" w:type="dxa"/>
            <w:vAlign w:val="bottom"/>
          </w:tcPr>
          <w:p>
            <w:pPr>
              <w:spacing w:after="0"/>
              <w:rPr>
                <w:sz w:val="11"/>
                <w:szCs w:val="11"/>
                <w:color w:val="auto"/>
              </w:rPr>
            </w:pPr>
          </w:p>
        </w:tc>
        <w:tc>
          <w:tcPr>
            <w:tcW w:w="17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Issued and</w:t>
            </w:r>
          </w:p>
        </w:tc>
        <w:tc>
          <w:tcPr>
            <w:tcW w:w="60" w:type="dxa"/>
            <w:vAlign w:val="bottom"/>
          </w:tcPr>
          <w:p>
            <w:pPr>
              <w:spacing w:after="0"/>
              <w:rPr>
                <w:sz w:val="11"/>
                <w:szCs w:val="11"/>
                <w:color w:val="auto"/>
              </w:rPr>
            </w:pPr>
          </w:p>
        </w:tc>
      </w:tr>
      <w:tr>
        <w:trPr>
          <w:trHeight w:val="171"/>
        </w:trPr>
        <w:tc>
          <w:tcPr>
            <w:tcW w:w="7480" w:type="dxa"/>
            <w:vAlign w:val="bottom"/>
          </w:tcPr>
          <w:p>
            <w:pPr>
              <w:spacing w:after="0"/>
              <w:rPr>
                <w:sz w:val="14"/>
                <w:szCs w:val="14"/>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r>
      <w:tr>
        <w:trPr>
          <w:trHeight w:val="384"/>
        </w:trPr>
        <w:tc>
          <w:tcPr>
            <w:tcW w:w="748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2,419,107</w:t>
            </w:r>
          </w:p>
        </w:tc>
        <w:tc>
          <w:tcPr>
            <w:tcW w:w="340" w:type="dxa"/>
            <w:vAlign w:val="bottom"/>
          </w:tcPr>
          <w:p>
            <w:pPr>
              <w:spacing w:after="0"/>
              <w:rPr>
                <w:sz w:val="24"/>
                <w:szCs w:val="24"/>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60" w:type="dxa"/>
            <w:vAlign w:val="bottom"/>
          </w:tcPr>
          <w:p>
            <w:pPr>
              <w:spacing w:after="0"/>
              <w:rPr>
                <w:sz w:val="24"/>
                <w:szCs w:val="24"/>
                <w:color w:val="auto"/>
              </w:rPr>
            </w:pPr>
          </w:p>
        </w:tc>
      </w:tr>
      <w:tr>
        <w:trPr>
          <w:trHeight w:val="230"/>
        </w:trPr>
        <w:tc>
          <w:tcPr>
            <w:tcW w:w="7480" w:type="dxa"/>
            <w:vAlign w:val="bottom"/>
          </w:tcPr>
          <w:p>
            <w:pPr>
              <w:ind w:left="380"/>
              <w:spacing w:after="0"/>
              <w:rPr>
                <w:sz w:val="20"/>
                <w:szCs w:val="20"/>
                <w:color w:val="auto"/>
              </w:rPr>
            </w:pPr>
            <w:r>
              <w:rPr>
                <w:rFonts w:ascii="Arial" w:cs="Arial" w:eastAsia="Arial" w:hAnsi="Arial"/>
                <w:sz w:val="18"/>
                <w:szCs w:val="18"/>
                <w:color w:val="auto"/>
              </w:rPr>
              <w:t>Issued</w:t>
            </w:r>
          </w:p>
        </w:tc>
        <w:tc>
          <w:tcPr>
            <w:tcW w:w="1740" w:type="dxa"/>
            <w:vAlign w:val="bottom"/>
          </w:tcPr>
          <w:p>
            <w:pPr>
              <w:jc w:val="right"/>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20"/>
                <w:szCs w:val="20"/>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2,426,107</w:t>
            </w:r>
          </w:p>
        </w:tc>
        <w:tc>
          <w:tcPr>
            <w:tcW w:w="34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60" w:type="dxa"/>
            <w:vAlign w:val="bottom"/>
          </w:tcPr>
          <w:p>
            <w:pPr>
              <w:spacing w:after="0"/>
              <w:rPr>
                <w:sz w:val="19"/>
                <w:szCs w:val="19"/>
                <w:color w:val="auto"/>
              </w:rPr>
            </w:pPr>
          </w:p>
        </w:tc>
      </w:tr>
      <w:tr>
        <w:trPr>
          <w:trHeight w:val="230"/>
        </w:trPr>
        <w:tc>
          <w:tcPr>
            <w:tcW w:w="7480" w:type="dxa"/>
            <w:vAlign w:val="bottom"/>
          </w:tcPr>
          <w:p>
            <w:pPr>
              <w:ind w:left="380"/>
              <w:spacing w:after="0"/>
              <w:rPr>
                <w:sz w:val="20"/>
                <w:szCs w:val="20"/>
                <w:color w:val="auto"/>
              </w:rPr>
            </w:pPr>
            <w:r>
              <w:rPr>
                <w:rFonts w:ascii="Arial" w:cs="Arial" w:eastAsia="Arial" w:hAnsi="Arial"/>
                <w:sz w:val="18"/>
                <w:szCs w:val="18"/>
                <w:color w:val="auto"/>
              </w:rPr>
              <w:t>Share conversion</w:t>
            </w:r>
          </w:p>
        </w:tc>
        <w:tc>
          <w:tcPr>
            <w:tcW w:w="17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3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r>
      <w:tr>
        <w:trPr>
          <w:trHeight w:val="230"/>
        </w:trPr>
        <w:tc>
          <w:tcPr>
            <w:tcW w:w="7480" w:type="dxa"/>
            <w:vAlign w:val="bottom"/>
          </w:tcPr>
          <w:p>
            <w:pPr>
              <w:ind w:left="380"/>
              <w:spacing w:after="0"/>
              <w:rPr>
                <w:sz w:val="20"/>
                <w:szCs w:val="20"/>
                <w:color w:val="auto"/>
              </w:rPr>
            </w:pPr>
            <w:r>
              <w:rPr>
                <w:rFonts w:ascii="Arial" w:cs="Arial" w:eastAsia="Arial" w:hAnsi="Arial"/>
                <w:sz w:val="18"/>
                <w:szCs w:val="18"/>
                <w:color w:val="auto"/>
              </w:rPr>
              <w:t>Issued</w:t>
            </w:r>
          </w:p>
        </w:tc>
        <w:tc>
          <w:tcPr>
            <w:tcW w:w="1740" w:type="dxa"/>
            <w:vAlign w:val="bottom"/>
          </w:tcPr>
          <w:p>
            <w:pPr>
              <w:jc w:val="right"/>
              <w:spacing w:after="0"/>
              <w:rPr>
                <w:sz w:val="20"/>
                <w:szCs w:val="20"/>
                <w:color w:val="auto"/>
              </w:rPr>
            </w:pPr>
            <w:r>
              <w:rPr>
                <w:rFonts w:ascii="Arial" w:cs="Arial" w:eastAsia="Arial" w:hAnsi="Arial"/>
                <w:sz w:val="18"/>
                <w:szCs w:val="18"/>
                <w:color w:val="auto"/>
              </w:rPr>
              <w:t>9,450</w:t>
            </w:r>
          </w:p>
        </w:tc>
        <w:tc>
          <w:tcPr>
            <w:tcW w:w="340" w:type="dxa"/>
            <w:vAlign w:val="bottom"/>
          </w:tcPr>
          <w:p>
            <w:pPr>
              <w:spacing w:after="0"/>
              <w:rPr>
                <w:sz w:val="20"/>
                <w:szCs w:val="20"/>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12,435,557</w:t>
            </w:r>
          </w:p>
        </w:tc>
        <w:tc>
          <w:tcPr>
            <w:tcW w:w="34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7480" w:type="dxa"/>
            <w:vAlign w:val="bottom"/>
          </w:tcPr>
          <w:p>
            <w:pPr>
              <w:ind w:left="380"/>
              <w:spacing w:after="0"/>
              <w:rPr>
                <w:sz w:val="20"/>
                <w:szCs w:val="20"/>
                <w:color w:val="auto"/>
              </w:rPr>
            </w:pPr>
            <w:r>
              <w:rPr>
                <w:rFonts w:ascii="Arial" w:cs="Arial" w:eastAsia="Arial" w:hAnsi="Arial"/>
                <w:sz w:val="18"/>
                <w:szCs w:val="18"/>
                <w:color w:val="auto"/>
              </w:rPr>
              <w:t>Issued</w:t>
            </w:r>
          </w:p>
        </w:tc>
        <w:tc>
          <w:tcPr>
            <w:tcW w:w="1740" w:type="dxa"/>
            <w:vAlign w:val="bottom"/>
          </w:tcPr>
          <w:p>
            <w:pPr>
              <w:jc w:val="right"/>
              <w:spacing w:after="0"/>
              <w:rPr>
                <w:sz w:val="20"/>
                <w:szCs w:val="20"/>
                <w:color w:val="auto"/>
              </w:rPr>
            </w:pPr>
            <w:r>
              <w:rPr>
                <w:rFonts w:ascii="Arial" w:cs="Arial" w:eastAsia="Arial" w:hAnsi="Arial"/>
                <w:sz w:val="18"/>
                <w:szCs w:val="18"/>
                <w:color w:val="auto"/>
              </w:rPr>
              <w:t>7,500</w:t>
            </w:r>
          </w:p>
        </w:tc>
        <w:tc>
          <w:tcPr>
            <w:tcW w:w="340" w:type="dxa"/>
            <w:vAlign w:val="bottom"/>
          </w:tcPr>
          <w:p>
            <w:pPr>
              <w:spacing w:after="0"/>
              <w:rPr>
                <w:sz w:val="20"/>
                <w:szCs w:val="20"/>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12,443,057</w:t>
            </w:r>
          </w:p>
        </w:tc>
        <w:tc>
          <w:tcPr>
            <w:tcW w:w="34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194"/>
        <w:spacing w:after="0" w:line="289" w:lineRule="auto"/>
        <w:rPr>
          <w:sz w:val="20"/>
          <w:szCs w:val="20"/>
          <w:color w:val="auto"/>
        </w:rPr>
      </w:pPr>
      <w:r>
        <w:rPr>
          <w:rFonts w:ascii="Arial" w:cs="Arial" w:eastAsia="Arial" w:hAnsi="Arial"/>
          <w:sz w:val="16"/>
          <w:szCs w:val="16"/>
          <w:i w:val="1"/>
          <w:iCs w:val="1"/>
          <w:color w:val="auto"/>
        </w:rPr>
        <w:t xml:space="preserve">Class A and Class B common stock. </w:t>
      </w:r>
      <w:r>
        <w:rPr>
          <w:rFonts w:ascii="Arial" w:cs="Arial" w:eastAsia="Arial" w:hAnsi="Arial"/>
          <w:sz w:val="16"/>
          <w:szCs w:val="16"/>
          <w:color w:val="auto"/>
        </w:rPr>
        <w:t>At our 2018 annual meeting of stockholders held May 23, 2018, our stockholders approved our second</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certificate of incorporation, which among other things added a right for each holder of shares of our Class B common stock, at its option, to convert any or all of those shares into the same number of shares of our Class A common stock. Previously, shares of our Class B common stock were convertible into the same number of Class A common shares only under certain specified conditions. The shares of our Class A and Class B common stock were otherwise identical in all respects, except for certain voting rights in which holders of our shares of Class B common stock were entitled to ten votes per share for election of our directors and one vote per share on all other matters presented to our stockholders for their approval. Holders of our shares of Class A common stock are entitled to one vote per share on all matters. Our second amended and restated certificate of incorporation became effective on July 17, 2018 when we filed such certificate with the Delaware Secretary of State. Immediately after such effectiveness, NL, which owned all of the 10,000,000 issued and outstanding shares of our Class B common stock, converted such Class B shares into 10,000,000 shares of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jc w:val="both"/>
        <w:spacing w:after="0" w:line="270" w:lineRule="auto"/>
        <w:rPr>
          <w:sz w:val="20"/>
          <w:szCs w:val="20"/>
          <w:color w:val="auto"/>
        </w:rPr>
      </w:pPr>
      <w:r>
        <w:rPr>
          <w:rFonts w:ascii="Arial" w:cs="Arial" w:eastAsia="Arial" w:hAnsi="Arial"/>
          <w:sz w:val="17"/>
          <w:szCs w:val="17"/>
          <w:color w:val="auto"/>
        </w:rPr>
        <w:t>Class A common stock. This conversion eliminated the dual-class voting structure with respect to election of our directors, providing for equal voting rights with respect to the election of directors for all shares of common stock and providing for uniform and equivalent corporate governance rights to all holders of our common stock. The rights of holders of Class A common stock were not otherwise affected, and the conversion did not affect the calculation of our earnings per share and had no impact on our consolidated financial position, results of operations or liquidity. The second amended and restated certificate of incorporation did not permit the reissuance or resale of any of the shares of Class B common stock which were converted. On November 5, 2018, upon the filing of a Certificate of Retirement with respect to the shares of Class B common stock with the Delaware Secretary of State, the shares of Class B common stock were retired, and our second amended and restated certificate of incorporation was amended to eliminate all references to the Class B common stock. Following the conversion and subsequent retirement of our shares of Class B common stock, our authorized capital stock consists of 20,000,000 shares of Class A common stock and 1,000 shares of preferred stock.</w:t>
      </w:r>
    </w:p>
    <w:p>
      <w:pPr>
        <w:spacing w:after="0" w:line="182" w:lineRule="exact"/>
        <w:rPr>
          <w:sz w:val="20"/>
          <w:szCs w:val="20"/>
          <w:color w:val="auto"/>
        </w:rPr>
      </w:pPr>
    </w:p>
    <w:p>
      <w:pPr>
        <w:jc w:val="both"/>
        <w:ind w:firstLine="1194"/>
        <w:spacing w:after="0" w:line="293" w:lineRule="auto"/>
        <w:rPr>
          <w:sz w:val="20"/>
          <w:szCs w:val="20"/>
          <w:color w:val="auto"/>
        </w:rPr>
      </w:pPr>
      <w:r>
        <w:rPr>
          <w:rFonts w:ascii="Arial" w:cs="Arial" w:eastAsia="Arial" w:hAnsi="Arial"/>
          <w:sz w:val="16"/>
          <w:szCs w:val="16"/>
          <w:i w:val="1"/>
          <w:iCs w:val="1"/>
          <w:color w:val="auto"/>
        </w:rPr>
        <w:t xml:space="preserve">Share repurchases and cancellations. </w:t>
      </w:r>
      <w:r>
        <w:rPr>
          <w:rFonts w:ascii="Arial" w:cs="Arial" w:eastAsia="Arial" w:hAnsi="Arial"/>
          <w:sz w:val="16"/>
          <w:szCs w:val="16"/>
          <w:color w:val="auto"/>
        </w:rPr>
        <w:t>Prior to 2017, our board of directors authorized various repurchases of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We made no treasury purchases during 2017, 2018 or 2019 and at December 31, 2019, approximately 678,000 shares were available for purchase under these authorizations.</w:t>
      </w:r>
    </w:p>
    <w:p>
      <w:pPr>
        <w:spacing w:after="0" w:line="165"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i w:val="1"/>
          <w:iCs w:val="1"/>
          <w:color w:val="auto"/>
        </w:rPr>
        <w:t xml:space="preserve">Incentive compensation plan. </w:t>
      </w:r>
      <w:r>
        <w:rPr>
          <w:rFonts w:ascii="Arial" w:cs="Arial" w:eastAsia="Arial" w:hAnsi="Arial"/>
          <w:sz w:val="17"/>
          <w:szCs w:val="17"/>
          <w:color w:val="auto"/>
        </w:rPr>
        <w:t>We have a share based incentive compensation plan pursuant to which an aggregate of up to 200,000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can be awarded to non-employee members of our board of directors. All of the Class A common shares we issued in 2017, 2018 and 2019 were issued under this plan. At December 31, 2019, 149,050 shares were available for award under this plan.</w:t>
      </w:r>
    </w:p>
    <w:p>
      <w:pPr>
        <w:spacing w:after="0" w:line="166" w:lineRule="exact"/>
        <w:rPr>
          <w:sz w:val="20"/>
          <w:szCs w:val="20"/>
          <w:color w:val="auto"/>
        </w:rPr>
      </w:pPr>
    </w:p>
    <w:p>
      <w:pPr>
        <w:jc w:val="both"/>
        <w:ind w:firstLine="1194"/>
        <w:spacing w:after="0" w:line="28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We paid regular quarterly dividends of $.05 per share during 2017 and 2018 and $0.07 per during 2019. Declaration and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of future dividends and the amount thereof, if any, is discretionary and dependent upon our results of operations, financial condition, cash requirements for our businesses, contractual requirements and restrictions and other factors deemed relevant by our board of directors.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121" w:lineRule="exact"/>
        <w:rPr>
          <w:sz w:val="20"/>
          <w:szCs w:val="20"/>
          <w:color w:val="auto"/>
        </w:rPr>
      </w:pPr>
    </w:p>
    <w:p>
      <w:pPr>
        <w:jc w:val="both"/>
        <w:ind w:firstLine="1194"/>
        <w:spacing w:after="0" w:line="289" w:lineRule="auto"/>
        <w:rPr>
          <w:sz w:val="20"/>
          <w:szCs w:val="20"/>
          <w:color w:val="auto"/>
        </w:rPr>
      </w:pPr>
      <w:r>
        <w:rPr>
          <w:rFonts w:ascii="Arial" w:cs="Arial" w:eastAsia="Arial" w:hAnsi="Arial"/>
          <w:sz w:val="16"/>
          <w:szCs w:val="16"/>
          <w:color w:val="auto"/>
        </w:rPr>
        <w:t>We may be deemed to be controlled by Ms. Lisa Simmons, Ms. Serena Connelly and the Family Trust.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67" w:lineRule="exact"/>
        <w:rPr>
          <w:sz w:val="20"/>
          <w:szCs w:val="20"/>
          <w:color w:val="auto"/>
        </w:rPr>
      </w:pPr>
    </w:p>
    <w:p>
      <w:pPr>
        <w:jc w:val="both"/>
        <w:ind w:firstLine="1194"/>
        <w:spacing w:after="0" w:line="293" w:lineRule="auto"/>
        <w:rPr>
          <w:sz w:val="20"/>
          <w:szCs w:val="20"/>
          <w:color w:val="auto"/>
        </w:rPr>
      </w:pPr>
      <w:r>
        <w:rPr>
          <w:rFonts w:ascii="Arial" w:cs="Arial" w:eastAsia="Arial" w:hAnsi="Arial"/>
          <w:sz w:val="16"/>
          <w:szCs w:val="16"/>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prior to 2017, we entered into an unsecured revolving demand promissory note with Valhi whereby we have agreed to loan Valhi up to $40 million. Our loan to Valhi, as amended, bears interest at prime plus 1.00%, payable quarterly, with all principal due on demand, but in any event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no earlier than December 31, 2021. Loans made to Valhi at any time under the agreement are at our discretion. At the end of our fiscal year in 2018 and 2019, the outstanding principal balance receivable from Valhi under the promissory note was $34.0 million and $28.1 million, respectively. Interest income (including unused commitment fees) on our loan to Valhi was $1.8 million in 2017, $2.1 million in 2018 and $2.4 million in 2019. On December 31, 2019 (two days after our 2019 fiscal year, but on the last day of the fiscal year for Valhi), we loaned $5.7 million to Valhi, increasing the outstanding principal balance receivable from Valhi under the promissory note to $33.8 million.</w:t>
      </w:r>
    </w:p>
    <w:p>
      <w:pPr>
        <w:spacing w:after="0" w:line="188"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Under the terms of an Intercorporate Service Agreement (“ISA”) with Contran, employees of Contran perform certain management, tax planning, financial, legal and administrative services for us on a fee basis. Such fees are based upon estimates of time devoted to our affairs by individual Contran employees and the compensation of such persons. Because of the large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Fees pursuant to these agreements aggregated $2.8 million in 2017, $3.5 million in 2018 and $3.4 million in 2019.</w:t>
      </w:r>
    </w:p>
    <w:p>
      <w:pPr>
        <w:spacing w:after="0" w:line="193" w:lineRule="exact"/>
        <w:rPr>
          <w:sz w:val="20"/>
          <w:szCs w:val="20"/>
          <w:color w:val="auto"/>
        </w:rPr>
      </w:pPr>
    </w:p>
    <w:p>
      <w:pPr>
        <w:jc w:val="both"/>
        <w:ind w:firstLine="1194"/>
        <w:spacing w:after="0" w:line="268" w:lineRule="auto"/>
        <w:rPr>
          <w:sz w:val="20"/>
          <w:szCs w:val="20"/>
          <w:color w:val="auto"/>
        </w:rPr>
      </w:pPr>
      <w:r>
        <w:rPr>
          <w:rFonts w:ascii="Arial" w:cs="Arial" w:eastAsia="Arial" w:hAnsi="Arial"/>
          <w:sz w:val="17"/>
          <w:szCs w:val="17"/>
          <w:color w:val="auto"/>
        </w:rPr>
        <w:t>Contran and certain of its subsidiaries and affiliates, including us, purchase certain of their insurance policies as a group, with the costs of the jointly-owned policies being apportioned among the participating companies. Tall Pines Insurance Company (“Tall Pines”) and EWI RE, Inc. (“EWI”), each subsidiaries of Valhi, provide for or broker certain insurance policies for Contran and certain of its subsidiaries and affiliates, including us. Tall Pines purchases reinsurance from third-party insurance carriers with an A.M. Best Company rating of generally at least A-(Excellent) for substantially all of the risks it underwrites. Consistent with insurance industry practices, Tall Pines and EWI receive commissions from the insurance and reinsurance underwriters and/or assess fees for the policies that they provide or broker. Prior to our sale of EWI’s insurance and risk management business to a third party in November 2019, EWI brokered certain insurance policies, provided claims and risk management services and, where appropriate, engaged certain third-party risk management consultants. The aggregate premiums we paid to Tall Pines and EWI were approximately $2.2 million in 2017, $2.0 million in 2018 and $2.3 million through the date of the sale in 2019. These amounts principally represent insurance premiums paid to Tall Pines or EWI, including amounts paid to EWI that EWI then remitted, net of brokerage commissions, to insurers. These amounts also include payments to insurers or reinsurers through EWI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that the relationship with Tall Pines will continue in 2020, except that a third-party brokerage and risk management company is now the broker for Contran’s insurance policies and Tall Pines’ reinsurance policies.</w:t>
      </w:r>
    </w:p>
    <w:p>
      <w:pPr>
        <w:spacing w:after="0" w:line="185" w:lineRule="exact"/>
        <w:rPr>
          <w:sz w:val="20"/>
          <w:szCs w:val="20"/>
          <w:color w:val="auto"/>
        </w:rPr>
      </w:pPr>
    </w:p>
    <w:p>
      <w:pPr>
        <w:jc w:val="both"/>
        <w:ind w:firstLine="1194"/>
        <w:spacing w:after="0" w:line="255" w:lineRule="auto"/>
        <w:rPr>
          <w:sz w:val="20"/>
          <w:szCs w:val="20"/>
          <w:color w:val="auto"/>
        </w:rPr>
      </w:pPr>
      <w:r>
        <w:rPr>
          <w:rFonts w:ascii="Arial" w:cs="Arial" w:eastAsia="Arial" w:hAnsi="Arial"/>
          <w:sz w:val="18"/>
          <w:szCs w:val="18"/>
          <w:color w:val="auto"/>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121" w:lineRule="exact"/>
        <w:rPr>
          <w:sz w:val="20"/>
          <w:szCs w:val="20"/>
          <w:color w:val="auto"/>
        </w:rPr>
      </w:pPr>
    </w:p>
    <w:p>
      <w:pPr>
        <w:jc w:val="both"/>
        <w:ind w:firstLine="1194"/>
        <w:spacing w:after="0" w:line="312" w:lineRule="auto"/>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We are involved, from time to time, in various environmental, contractual, product liability, patent (or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employment and other claims and disputes incidental to our business. We currently believe the disposition of all claims and disputes, individually or in the aggregate, should not have a material long-term adverse effect on our consolidated financial condition, results of operations or liquidity.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ind w:firstLine="1194"/>
        <w:spacing w:after="0" w:line="257" w:lineRule="auto"/>
        <w:rPr>
          <w:sz w:val="20"/>
          <w:szCs w:val="20"/>
          <w:color w:val="auto"/>
        </w:rPr>
      </w:pPr>
      <w:r>
        <w:rPr>
          <w:rFonts w:ascii="Arial" w:cs="Arial" w:eastAsia="Arial" w:hAnsi="Arial"/>
          <w:sz w:val="18"/>
          <w:szCs w:val="18"/>
          <w:i w:val="1"/>
          <w:iCs w:val="1"/>
          <w:color w:val="auto"/>
        </w:rPr>
        <w:t>Environmental matters and litigation</w:t>
      </w:r>
      <w:r>
        <w:rPr>
          <w:rFonts w:ascii="Arial" w:cs="Arial" w:eastAsia="Arial" w:hAnsi="Arial"/>
          <w:sz w:val="18"/>
          <w:szCs w:val="18"/>
          <w:color w:val="auto"/>
        </w:rPr>
        <w:t>. Our operations are governed by various federal, state and local environmental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Our policy is to comply with environmental laws and regulations at all of our facilities and to continually strive to improve environmental performance in association with applicable industry initiatives. We believe that our operations are in substantial compliance with applicable requirements of environmental laws. From time to time, we may be subject to environmental regulatory enforcement under various statutes, resolution of which typically involves the establishment of compliance programs.</w:t>
      </w:r>
    </w:p>
    <w:p>
      <w:pPr>
        <w:spacing w:after="0" w:line="188" w:lineRule="exact"/>
        <w:rPr>
          <w:sz w:val="20"/>
          <w:szCs w:val="20"/>
          <w:color w:val="auto"/>
        </w:rPr>
      </w:pPr>
    </w:p>
    <w:p>
      <w:pPr>
        <w:jc w:val="both"/>
        <w:ind w:firstLine="1194"/>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From time to time, we undergo examinations of our income tax returns, and tax authorities have or may propose tax</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deficiencies. We believe that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spacing w:after="0" w:line="187" w:lineRule="exact"/>
        <w:rPr>
          <w:sz w:val="20"/>
          <w:szCs w:val="20"/>
          <w:color w:val="auto"/>
        </w:rPr>
      </w:pPr>
    </w:p>
    <w:p>
      <w:pPr>
        <w:jc w:val="both"/>
        <w:ind w:firstLine="1194"/>
        <w:spacing w:after="0" w:line="257" w:lineRule="auto"/>
        <w:rPr>
          <w:sz w:val="20"/>
          <w:szCs w:val="20"/>
          <w:color w:val="auto"/>
        </w:rPr>
      </w:pPr>
      <w:r>
        <w:rPr>
          <w:rFonts w:ascii="Arial" w:cs="Arial" w:eastAsia="Arial" w:hAnsi="Arial"/>
          <w:sz w:val="18"/>
          <w:szCs w:val="18"/>
          <w:color w:val="auto"/>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spacing w:after="0" w:line="188" w:lineRule="exact"/>
        <w:rPr>
          <w:sz w:val="20"/>
          <w:szCs w:val="20"/>
          <w:color w:val="auto"/>
        </w:rPr>
      </w:pPr>
    </w:p>
    <w:p>
      <w:pPr>
        <w:jc w:val="both"/>
        <w:ind w:firstLine="1194"/>
        <w:spacing w:after="0" w:line="264"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Our products are sold primarily in North America to original equipment manufacturers. Our ten largest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accounted for approximately 44% of sales in each of 2017 and 2018 and 47% in 2019. One customer of the Security Products segment accounted for 16% of consolidated sales in 2017, 13% in 2018 and 14% in 2019.</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2018</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20" w:type="dxa"/>
            <w:vAlign w:val="bottom"/>
            <w:tcBorders>
              <w:bottom w:val="single" w:sz="8" w:color="auto"/>
            </w:tcBorders>
          </w:tcPr>
          <w:p>
            <w:pPr>
              <w:spacing w:after="0"/>
              <w:rPr>
                <w:sz w:val="14"/>
                <w:szCs w:val="14"/>
                <w:color w:val="auto"/>
              </w:rPr>
            </w:pPr>
          </w:p>
        </w:tc>
      </w:tr>
      <w:tr>
        <w:trPr>
          <w:trHeight w:val="133"/>
        </w:trPr>
        <w:tc>
          <w:tcPr>
            <w:tcW w:w="5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79"/>
              <w:spacing w:after="0" w:line="13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jc w:val="right"/>
              <w:ind w:right="417"/>
              <w:spacing w:after="0" w:line="13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1"/>
                <w:szCs w:val="11"/>
                <w:color w:val="auto"/>
              </w:rPr>
            </w:pPr>
          </w:p>
        </w:tc>
        <w:tc>
          <w:tcPr>
            <w:tcW w:w="820" w:type="dxa"/>
            <w:vAlign w:val="bottom"/>
          </w:tcPr>
          <w:p>
            <w:pPr>
              <w:jc w:val="right"/>
              <w:ind w:right="437"/>
              <w:spacing w:after="0" w:line="133" w:lineRule="exact"/>
              <w:rPr>
                <w:sz w:val="20"/>
                <w:szCs w:val="20"/>
                <w:color w:val="auto"/>
              </w:rPr>
            </w:pPr>
            <w:r>
              <w:rPr>
                <w:rFonts w:ascii="Arial" w:cs="Arial" w:eastAsia="Arial" w:hAnsi="Arial"/>
                <w:sz w:val="14"/>
                <w:szCs w:val="14"/>
                <w:b w:val="1"/>
                <w:bCs w:val="1"/>
                <w:color w:val="auto"/>
              </w:rPr>
              <w:t>Fair</w:t>
            </w:r>
          </w:p>
        </w:tc>
      </w:tr>
      <w:tr>
        <w:trPr>
          <w:trHeight w:val="171"/>
        </w:trPr>
        <w:tc>
          <w:tcPr>
            <w:tcW w:w="5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89"/>
              </w:rPr>
              <w:t>value</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89"/>
              </w:rPr>
              <w:t>value</w:t>
            </w:r>
          </w:p>
        </w:tc>
      </w:tr>
      <w:tr>
        <w:trPr>
          <w:trHeight w:val="452"/>
        </w:trPr>
        <w:tc>
          <w:tcPr>
            <w:tcW w:w="5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45,414</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45,414</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63,255</w:t>
            </w:r>
          </w:p>
        </w:tc>
        <w:tc>
          <w:tcPr>
            <w:tcW w:w="3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63,255</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12,140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11,870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11,870</w:t>
            </w: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3,235</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2,514</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2,514</w:t>
            </w:r>
          </w:p>
        </w:tc>
      </w:tr>
    </w:tbl>
    <w:p>
      <w:pPr>
        <w:spacing w:after="0" w:line="33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Due to their near-term maturities, the carrying amounts of accounts receivable and accounts payable are considered equivalent to fair value.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 xml:space="preserve">On January 1, 2019, we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was a comprehensive rewriting of the lease accounting guidance which aimed to increase comparability and transparency with regard to lease transactions. The primary change for leases currently classified as operating leases is the balance sheet recognition of a lease asset for the right to use the underlying asset and a lease liability for the lessee’s obligation to make payments. Due to our minimal utilization of lease financing, the adoption of this standard did not have a material effect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225" w:lineRule="exact"/>
        <w:rPr>
          <w:sz w:val="20"/>
          <w:szCs w:val="20"/>
          <w:color w:val="auto"/>
        </w:rPr>
      </w:pPr>
    </w:p>
    <w:p>
      <w:pPr>
        <w:ind w:right="440" w:firstLine="877"/>
        <w:spacing w:after="0" w:line="27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changes the accounting for certain income tax transactions and reduces complexity in accounting for income taxes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180"/>
        <w:spacing w:after="0" w:line="290" w:lineRule="auto"/>
        <w:rPr>
          <w:sz w:val="20"/>
          <w:szCs w:val="20"/>
          <w:color w:val="auto"/>
        </w:rPr>
      </w:pPr>
      <w:r>
        <w:rPr>
          <w:rFonts w:ascii="Arial" w:cs="Arial" w:eastAsia="Arial" w:hAnsi="Arial"/>
          <w:sz w:val="16"/>
          <w:szCs w:val="16"/>
          <w:color w:val="auto"/>
        </w:rPr>
        <w:t>certain areas. The ASU introduces new guidance including providing a policy election for an entity to not allocate consolidated current and deferred tax expense when a member of a consolidated tax return is not subject to income tax in its separate financial statements and is a disregarded entity by the taxing authority; and providing guidance to evaluate whether a step-up in tax basis of goodwill relates to a business combination in which book goodwill was recognized or a separate transaction. The ASU also changes existing guidance in a number of areas, including: the method of making an intraperiod allocation of total income tax expense if there is a loss in continuing operations and gains outside of continuing operations; accounting for tax law changes and year-to-date losses in interim periods; and determining how to apply the income tax guidance to franchise taxes that are partially based on income. The amendments in ASU 2019-12 are effective for us beginning in the first quarter of 2021, with early adoption permitted. We expect to adopt this ASU in the first quarter of 2020 and we do not expect the adoption to have a material effect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Quarterly results of operations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892"/>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3"/>
              </w:rPr>
              <w:t>September 30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38"/>
        </w:trPr>
        <w:tc>
          <w:tcPr>
            <w:tcW w:w="452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2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28.4</w:t>
            </w: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86"/>
        </w:trPr>
        <w:tc>
          <w:tcPr>
            <w:tcW w:w="4520" w:type="dxa"/>
            <w:vAlign w:val="bottom"/>
          </w:tcPr>
          <w:p>
            <w:pPr>
              <w:ind w:left="500"/>
              <w:spacing w:after="0"/>
              <w:rPr>
                <w:sz w:val="20"/>
                <w:szCs w:val="20"/>
                <w:color w:val="auto"/>
              </w:rPr>
            </w:pPr>
            <w:r>
              <w:rPr>
                <w:rFonts w:ascii="Arial" w:cs="Arial" w:eastAsia="Arial" w:hAnsi="Arial"/>
                <w:sz w:val="18"/>
                <w:szCs w:val="18"/>
                <w:color w:val="auto"/>
              </w:rPr>
              <w:t>Basic and diluted earnings per share</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2019:</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86"/>
        </w:trPr>
        <w:tc>
          <w:tcPr>
            <w:tcW w:w="4520" w:type="dxa"/>
            <w:vAlign w:val="bottom"/>
          </w:tcPr>
          <w:p>
            <w:pPr>
              <w:ind w:left="500"/>
              <w:spacing w:after="0"/>
              <w:rPr>
                <w:sz w:val="20"/>
                <w:szCs w:val="20"/>
                <w:color w:val="auto"/>
              </w:rPr>
            </w:pPr>
            <w:r>
              <w:rPr>
                <w:rFonts w:ascii="Arial" w:cs="Arial" w:eastAsia="Arial" w:hAnsi="Arial"/>
                <w:sz w:val="18"/>
                <w:szCs w:val="18"/>
                <w:color w:val="auto"/>
              </w:rPr>
              <w:t>Basic and diluted earnings per share</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sum of the quarterly per share amounts may not equal the annual per share amounts due to relative changes in the weighted-average number of shares used in the per share computations.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Our authorized capital stock consists of 20,000,000 shares of Class A Common Stock, par value $.01 per share (the “Common Stock”), and 1,000 shares of Preferred stock, par value $.01 per share (the “Preferred Stock”). As used below, the term “Charter” refers to our Second Amended and Restated Certificate of Incorporation, as amended by the Certificate of Retirement of Class B Common Stock filed with the Delaware Secretary of State on November 5, 2018, which had the effect of amending our Second Amended and Restated Certificate of Incorporation to eliminate all references to Class B Common Stock.</w:t>
      </w:r>
    </w:p>
    <w:p>
      <w:pPr>
        <w:spacing w:after="0" w:line="107" w:lineRule="exact"/>
        <w:rPr>
          <w:sz w:val="20"/>
          <w:szCs w:val="20"/>
          <w:color w:val="auto"/>
        </w:rPr>
      </w:pPr>
    </w:p>
    <w:p>
      <w:pPr>
        <w:ind w:right="40" w:firstLine="877"/>
        <w:spacing w:after="0" w:line="342" w:lineRule="auto"/>
        <w:rPr>
          <w:sz w:val="20"/>
          <w:szCs w:val="20"/>
          <w:color w:val="auto"/>
        </w:rPr>
      </w:pPr>
      <w:r>
        <w:rPr>
          <w:rFonts w:ascii="Arial" w:cs="Arial" w:eastAsia="Arial" w:hAnsi="Arial"/>
          <w:sz w:val="16"/>
          <w:szCs w:val="16"/>
          <w:color w:val="auto"/>
        </w:rPr>
        <w:t>The following summary does not purport to be complete and is subject to the detailed provisions of, and qualified in its entirety by reference to, our Charter and amended and restated bylaws and to the applicable provisions of the Delaware General Corporation Law of the State of Delaware (“DGCL”).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Common Stock are entitled to one vote per share. The Common Stock does not have cumulative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means that holders of the shares of Common Stock with a majority of the votes to be cast for the election of directors can elect all directors then being elected.</w:t>
      </w:r>
    </w:p>
    <w:p>
      <w:pPr>
        <w:spacing w:after="0" w:line="100" w:lineRule="exact"/>
        <w:rPr>
          <w:sz w:val="20"/>
          <w:szCs w:val="20"/>
          <w:color w:val="auto"/>
        </w:rPr>
      </w:pPr>
    </w:p>
    <w:p>
      <w:pPr>
        <w:ind w:right="160" w:firstLine="877"/>
        <w:spacing w:after="0" w:line="264"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Each share of Common Stock has an equal and ratable right to receive dividends to be paid from our assets legally available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when, as and if declared by our Board of Directors. Delaware law generally requires that dividends be paid only out of our surplus or current net profits in accordance with the DGCL.</w:t>
      </w:r>
    </w:p>
    <w:p>
      <w:pPr>
        <w:spacing w:after="0" w:line="114" w:lineRule="exact"/>
        <w:rPr>
          <w:sz w:val="20"/>
          <w:szCs w:val="20"/>
          <w:color w:val="auto"/>
        </w:rPr>
      </w:pPr>
    </w:p>
    <w:p>
      <w:pPr>
        <w:ind w:right="160" w:firstLine="877"/>
        <w:spacing w:after="0" w:line="264"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we are dissolved, liquidated or wound up, the holders of Common Stock are entitled to share equally and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after payments are made to our creditors and to the holders of any of our Preferred Stock that may be outstanding at the time.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The holders of shares of Common Stock have no preemptive, subscription or redemption rights and are not liable for further call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assessment.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140" w:firstLine="877"/>
        <w:spacing w:after="0" w:line="279" w:lineRule="auto"/>
        <w:rPr>
          <w:sz w:val="20"/>
          <w:szCs w:val="20"/>
          <w:color w:val="auto"/>
        </w:rPr>
      </w:pPr>
      <w:r>
        <w:rPr>
          <w:rFonts w:ascii="Arial" w:cs="Arial" w:eastAsia="Arial" w:hAnsi="Arial"/>
          <w:sz w:val="17"/>
          <w:szCs w:val="17"/>
          <w:color w:val="auto"/>
        </w:rPr>
        <w:t>Our Board of Directors is authorized, without further stockholder action, to divide any or all shares of authorized Preferred Stock into series and to fix and determine the designations, preferences and relative participating, optional or other special rights, and qualifications, limitations or restrictions thereon, of any series so established, including voting powers, dividend rights, liquidation preferences, redemption rights and conversion or exchange privileges. As of February 26, 2020, our Board of Directors has not authorized any series of Preferred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144" w:lineRule="exact"/>
        <w:rPr>
          <w:sz w:val="20"/>
          <w:szCs w:val="20"/>
          <w:color w:val="auto"/>
        </w:rPr>
      </w:pPr>
    </w:p>
    <w:p>
      <w:pPr>
        <w:ind w:right="200" w:firstLine="877"/>
        <w:spacing w:after="0" w:line="291" w:lineRule="auto"/>
        <w:rPr>
          <w:sz w:val="20"/>
          <w:szCs w:val="20"/>
          <w:color w:val="auto"/>
        </w:rPr>
      </w:pPr>
      <w:r>
        <w:rPr>
          <w:rFonts w:ascii="Arial" w:cs="Arial" w:eastAsia="Arial" w:hAnsi="Arial"/>
          <w:sz w:val="16"/>
          <w:szCs w:val="16"/>
          <w:color w:val="auto"/>
        </w:rPr>
        <w:t>Section 203 of the DGCL provides, in general, that a stockholder acquiring more than 15% of the outstanding voting stock of a corporation subject to the statute (an “Interested Stockholder”) but less than 85% of such stock may not engage in certain Business Combinations (as defined in Section</w:t>
      </w:r>
    </w:p>
    <w:p>
      <w:pPr>
        <w:ind w:right="20" w:firstLine="8"/>
        <w:spacing w:after="0" w:line="273" w:lineRule="auto"/>
        <w:tabs>
          <w:tab w:leader="none" w:pos="3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the corporation for a period of three years subsequent to the date on which the stockholder became an Interested Stockholder unless (i) prior to such date the corporation’s board of directors approved either the Business Combination or the transaction in which the stockholder became an Interested Stockholder or (ii) the Business Combination is approved by the corporation’s board of directors and authorized by a vote of at least 66 2/3% of the outstanding voting stock of the corporation not owned by the Interested Stockholder. The provisions of Section 203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color w:val="auto"/>
        </w:rPr>
        <w:t>do not apply to us. Such provisions, if they were to apply to us, would restrict our ability to enter into business combinations with certain of our stockholders and would render an unsolicited takeover attempt of us more difficult.</w:t>
      </w:r>
    </w:p>
    <w:p>
      <w:pPr>
        <w:spacing w:after="0" w:line="103" w:lineRule="exact"/>
        <w:rPr>
          <w:sz w:val="20"/>
          <w:szCs w:val="20"/>
          <w:color w:val="auto"/>
        </w:rPr>
      </w:pPr>
    </w:p>
    <w:p>
      <w:pPr>
        <w:ind w:right="220" w:firstLine="877"/>
        <w:spacing w:after="0" w:line="277" w:lineRule="auto"/>
        <w:rPr>
          <w:sz w:val="20"/>
          <w:szCs w:val="20"/>
          <w:color w:val="auto"/>
        </w:rPr>
      </w:pPr>
      <w:r>
        <w:rPr>
          <w:rFonts w:ascii="Arial" w:cs="Arial" w:eastAsia="Arial" w:hAnsi="Arial"/>
          <w:sz w:val="18"/>
          <w:szCs w:val="18"/>
          <w:color w:val="auto"/>
        </w:rPr>
        <w:t>Any action required to be taken at any annual or special meeting of our stockholders may be taken without a meeting, without prior notice and without a vote, upon the written consent of the minimum number of stockholders necessary to authorize such 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Directors’ Liability</w:t>
      </w:r>
    </w:p>
    <w:p>
      <w:pPr>
        <w:spacing w:after="0" w:line="158" w:lineRule="exact"/>
        <w:rPr>
          <w:sz w:val="20"/>
          <w:szCs w:val="20"/>
          <w:color w:val="auto"/>
        </w:rPr>
      </w:pPr>
    </w:p>
    <w:p>
      <w:pPr>
        <w:ind w:firstLine="877"/>
        <w:spacing w:after="0" w:line="291" w:lineRule="auto"/>
        <w:rPr>
          <w:sz w:val="20"/>
          <w:szCs w:val="20"/>
          <w:color w:val="auto"/>
        </w:rPr>
      </w:pPr>
      <w:r>
        <w:rPr>
          <w:rFonts w:ascii="Arial" w:cs="Arial" w:eastAsia="Arial" w:hAnsi="Arial"/>
          <w:sz w:val="16"/>
          <w:szCs w:val="16"/>
          <w:color w:val="auto"/>
        </w:rPr>
        <w:t>Our Charter provides that our directors are not personally liable to the us or our stockholders for monetary damages for any breach of fiduciary duty as a director, except for liability (i) for any breach of the director’s duty of loyalty to us or our stockholders, (ii) for acts or omissions not in good faith or which involve intentional misconduct or a knowing violation of law, (iii) in respect of certain unlawful dividend payments or stock purchases or redemptions, or (iv) for any transaction from which the director derived an improper personal benefit. The effect of these provisions is to eliminate the rights of us and our stockholders to recover monetary damages against a director for breach of fiduciary duty as a director (including breaches resulting from grossly negligent behavior), except in the situations described above. These provisions do not limit the liability of directors under federal securities laws and do not affect the availability of equitable remedies such as an injunction or rescission based upon a director’s breach of his duty of care.</w:t>
      </w:r>
    </w:p>
    <w:p>
      <w:pPr>
        <w:sectPr>
          <w:pgSz w:w="11900" w:h="16838" w:orient="portrait"/>
          <w:cols w:equalWidth="0" w:num="1">
            <w:col w:w="11360"/>
          </w:cols>
          <w:pgMar w:left="240" w:top="125" w:right="299" w:bottom="1440" w:gutter="0" w:footer="0" w:header="0"/>
        </w:sectPr>
      </w:pPr>
    </w:p>
    <w:bookmarkStart w:id="46" w:name="page47"/>
    <w:bookmarkEnd w:id="46"/>
    <w:p>
      <w:pPr>
        <w:ind w:left="10300"/>
        <w:spacing w:after="0"/>
        <w:rPr>
          <w:sz w:val="20"/>
          <w:szCs w:val="20"/>
          <w:color w:val="auto"/>
        </w:rPr>
      </w:pPr>
      <w:r>
        <w:rPr>
          <w:rFonts w:ascii="Arial" w:cs="Arial" w:eastAsia="Arial" w:hAnsi="Arial"/>
          <w:sz w:val="19"/>
          <w:szCs w:val="19"/>
          <w:b w:val="1"/>
          <w:bCs w:val="1"/>
          <w:color w:val="auto"/>
        </w:rPr>
        <w:t>Exhibit 10.3</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AGREEMENT</w:t>
      </w:r>
    </w:p>
    <w:p>
      <w:pPr>
        <w:jc w:val="center"/>
        <w:spacing w:after="0" w:line="230" w:lineRule="auto"/>
        <w:rPr>
          <w:sz w:val="20"/>
          <w:szCs w:val="20"/>
          <w:color w:val="auto"/>
        </w:rPr>
      </w:pPr>
      <w:r>
        <w:rPr>
          <w:rFonts w:ascii="Arial" w:cs="Arial" w:eastAsia="Arial" w:hAnsi="Arial"/>
          <w:sz w:val="22"/>
          <w:szCs w:val="22"/>
          <w:b w:val="1"/>
          <w:bCs w:val="1"/>
          <w:color w:val="auto"/>
        </w:rPr>
        <w:t>Between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NL I</w:t>
      </w:r>
      <w:r>
        <w:rPr>
          <w:rFonts w:ascii="Arial" w:cs="Arial" w:eastAsia="Arial" w:hAnsi="Arial"/>
          <w:sz w:val="14"/>
          <w:szCs w:val="14"/>
          <w:b w:val="1"/>
          <w:bCs w:val="1"/>
          <w:color w:val="auto"/>
        </w:rPr>
        <w:t>NDUSTRIES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59"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 xml:space="preserve">TAX AGREEMENT </w:t>
      </w:r>
      <w:r>
        <w:rPr>
          <w:rFonts w:ascii="Arial" w:cs="Arial" w:eastAsia="Arial" w:hAnsi="Arial"/>
          <w:sz w:val="19"/>
          <w:szCs w:val="19"/>
          <w:color w:val="auto"/>
        </w:rPr>
        <w:t>(the “Agreement”) dated as of January 1, 2020 by and among NL Industries, Inc. (“</w:t>
      </w:r>
      <w:r>
        <w:rPr>
          <w:rFonts w:ascii="Arial" w:cs="Arial" w:eastAsia="Arial" w:hAnsi="Arial"/>
          <w:sz w:val="19"/>
          <w:szCs w:val="19"/>
          <w:i w:val="1"/>
          <w:iCs w:val="1"/>
          <w:color w:val="auto"/>
        </w:rPr>
        <w:t>NL</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corporation having its principal executive offices at Three Lincoln Centre, 5430 LBJ Freeway, Suite 1700, Dallas, Texas 75240, Contran Corporation (“</w:t>
      </w:r>
      <w:r>
        <w:rPr>
          <w:rFonts w:ascii="Arial" w:cs="Arial" w:eastAsia="Arial" w:hAnsi="Arial"/>
          <w:sz w:val="19"/>
          <w:szCs w:val="19"/>
          <w:i w:val="1"/>
          <w:iCs w:val="1"/>
          <w:color w:val="auto"/>
        </w:rPr>
        <w:t>Contran</w:t>
      </w:r>
      <w:r>
        <w:rPr>
          <w:rFonts w:ascii="Arial" w:cs="Arial" w:eastAsia="Arial" w:hAnsi="Arial"/>
          <w:sz w:val="19"/>
          <w:szCs w:val="19"/>
          <w:color w:val="auto"/>
        </w:rPr>
        <w:t>”), a Delaware corporation having its principal executive offices at Three Lincoln Centre, 5430 LBJ Freeway, Suite 1700, Dallas, Texas 75240 and CompX International Inc. (“</w:t>
      </w:r>
      <w:r>
        <w:rPr>
          <w:rFonts w:ascii="Arial" w:cs="Arial" w:eastAsia="Arial" w:hAnsi="Arial"/>
          <w:sz w:val="19"/>
          <w:szCs w:val="19"/>
          <w:i w:val="1"/>
          <w:iCs w:val="1"/>
          <w:color w:val="auto"/>
        </w:rPr>
        <w:t>CompX</w:t>
      </w:r>
      <w:r>
        <w:rPr>
          <w:rFonts w:ascii="Arial" w:cs="Arial" w:eastAsia="Arial" w:hAnsi="Arial"/>
          <w:sz w:val="19"/>
          <w:szCs w:val="19"/>
          <w:color w:val="auto"/>
        </w:rPr>
        <w:t>”), a Delaware corporation having its principal executive offices at Three Lincoln Centre, 5430 LBJ Freeway, Suite 1700, Dallas, Texas 75240.</w:t>
      </w:r>
    </w:p>
    <w:p>
      <w:pPr>
        <w:spacing w:after="0" w:line="16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NL and CompX file consolidated returns of federal income taxes and, subject to certain jurisdictional</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are subject to combined state and local tax reporting;</w:t>
      </w:r>
    </w:p>
    <w:p>
      <w:pPr>
        <w:spacing w:after="0" w:line="190"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Agreement supersedes and amends and restates the Amended and Restated Tax Agreement dated</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1, 2012, previously entered into among NL, Contran and CompX;</w:t>
      </w:r>
    </w:p>
    <w:p>
      <w:pPr>
        <w:spacing w:after="0" w:line="190"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NL and CompX wish to provide for the allocation of liabilities, and procedures to be followed,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federal income taxes of CompX and any subsidiaries of CompX and with respect to certain combined state and local taxes on the terms of this Agreement.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promises and agreements herein contained, the parties hereto agree as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15"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have the meanings set forth below:</w:t>
      </w:r>
    </w:p>
    <w:p>
      <w:pPr>
        <w:spacing w:after="0" w:line="233" w:lineRule="exact"/>
        <w:rPr>
          <w:rFonts w:ascii="Arial" w:cs="Arial" w:eastAsia="Arial" w:hAnsi="Arial"/>
          <w:sz w:val="22"/>
          <w:szCs w:val="22"/>
          <w:color w:val="auto"/>
        </w:rPr>
      </w:pPr>
    </w:p>
    <w:p>
      <w:pPr>
        <w:ind w:left="880" w:firstLine="816"/>
        <w:spacing w:after="0" w:line="251" w:lineRule="auto"/>
        <w:tabs>
          <w:tab w:leader="none" w:pos="2578" w:val="left"/>
        </w:tabs>
        <w:numPr>
          <w:ilvl w:val="1"/>
          <w:numId w:val="19"/>
        </w:numPr>
        <w:rPr>
          <w:rFonts w:ascii="Arial" w:cs="Arial" w:eastAsia="Arial" w:hAnsi="Arial"/>
          <w:sz w:val="22"/>
          <w:szCs w:val="22"/>
          <w:color w:val="auto"/>
        </w:rPr>
      </w:pPr>
      <w:r>
        <w:rPr>
          <w:rFonts w:ascii="Arial" w:cs="Arial" w:eastAsia="Arial" w:hAnsi="Arial"/>
          <w:sz w:val="22"/>
          <w:szCs w:val="22"/>
          <w:color w:val="auto"/>
        </w:rPr>
        <w:t>Code: The Internal Revenue Code of 1986, as amended, and with respect to any section thereof any successor provisions under such Code or any successor Code.</w:t>
      </w:r>
    </w:p>
    <w:p>
      <w:pPr>
        <w:spacing w:after="0" w:line="200" w:lineRule="exact"/>
        <w:rPr>
          <w:rFonts w:ascii="Arial" w:cs="Arial" w:eastAsia="Arial" w:hAnsi="Arial"/>
          <w:sz w:val="22"/>
          <w:szCs w:val="22"/>
          <w:color w:val="auto"/>
        </w:rPr>
      </w:pPr>
    </w:p>
    <w:p>
      <w:pPr>
        <w:jc w:val="both"/>
        <w:ind w:left="880" w:firstLine="816"/>
        <w:spacing w:after="0" w:line="297" w:lineRule="auto"/>
        <w:tabs>
          <w:tab w:leader="none" w:pos="2590" w:val="left"/>
        </w:tabs>
        <w:numPr>
          <w:ilvl w:val="1"/>
          <w:numId w:val="19"/>
        </w:numPr>
        <w:rPr>
          <w:rFonts w:ascii="Arial" w:cs="Arial" w:eastAsia="Arial" w:hAnsi="Arial"/>
          <w:sz w:val="19"/>
          <w:szCs w:val="19"/>
          <w:color w:val="auto"/>
        </w:rPr>
      </w:pPr>
      <w:r>
        <w:rPr>
          <w:rFonts w:ascii="Arial" w:cs="Arial" w:eastAsia="Arial" w:hAnsi="Arial"/>
          <w:sz w:val="19"/>
          <w:szCs w:val="19"/>
          <w:color w:val="auto"/>
        </w:rPr>
        <w:t>Combined Foreign, State and Local Taxes: For a taxable period, and with respect to a specified group of entities, the amount of all Foreign, State and Local Taxes, for which liability is computed on the basis of a combined, unitary or consolidated return (whether at the initiative of the tax authority or of the taxpayer).</w:t>
      </w:r>
    </w:p>
    <w:p>
      <w:pPr>
        <w:spacing w:after="0" w:line="161" w:lineRule="exact"/>
        <w:rPr>
          <w:rFonts w:ascii="Arial" w:cs="Arial" w:eastAsia="Arial" w:hAnsi="Arial"/>
          <w:sz w:val="19"/>
          <w:szCs w:val="19"/>
          <w:color w:val="auto"/>
        </w:rPr>
      </w:pPr>
    </w:p>
    <w:p>
      <w:pPr>
        <w:jc w:val="both"/>
        <w:ind w:left="880" w:firstLine="816"/>
        <w:spacing w:after="0"/>
        <w:tabs>
          <w:tab w:leader="none" w:pos="2578" w:val="left"/>
        </w:tabs>
        <w:numPr>
          <w:ilvl w:val="1"/>
          <w:numId w:val="19"/>
        </w:numPr>
        <w:rPr>
          <w:rFonts w:ascii="Arial" w:cs="Arial" w:eastAsia="Arial" w:hAnsi="Arial"/>
          <w:sz w:val="22"/>
          <w:szCs w:val="22"/>
          <w:color w:val="auto"/>
        </w:rPr>
      </w:pPr>
      <w:r>
        <w:rPr>
          <w:rFonts w:ascii="Arial" w:cs="Arial" w:eastAsia="Arial" w:hAnsi="Arial"/>
          <w:sz w:val="22"/>
          <w:szCs w:val="22"/>
          <w:color w:val="auto"/>
        </w:rPr>
        <w:t>Contran Corporation: A Delaware corporation that is the common parent of a group of corporations, which group of corporations includes the CompX Group and NL Group, electing to file a consolidated federal income 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p>
      <w:pPr>
        <w:ind w:left="1400" w:hanging="904"/>
        <w:spacing w:after="0"/>
        <w:tabs>
          <w:tab w:leader="none" w:pos="14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Federal Taxes: All federal income taxes, together with all interest and penalties with respect thereto.</w:t>
      </w:r>
    </w:p>
    <w:p>
      <w:pPr>
        <w:spacing w:after="0" w:line="268" w:lineRule="exact"/>
        <w:rPr>
          <w:rFonts w:ascii="Arial" w:cs="Arial" w:eastAsia="Arial" w:hAnsi="Arial"/>
          <w:sz w:val="19"/>
          <w:szCs w:val="19"/>
          <w:color w:val="auto"/>
        </w:rPr>
      </w:pPr>
    </w:p>
    <w:p>
      <w:pPr>
        <w:ind w:left="-320" w:right="20" w:firstLine="816"/>
        <w:spacing w:after="0" w:line="251" w:lineRule="auto"/>
        <w:tabs>
          <w:tab w:leader="none" w:pos="1378" w:val="left"/>
        </w:tabs>
        <w:numPr>
          <w:ilvl w:val="0"/>
          <w:numId w:val="20"/>
        </w:numPr>
        <w:rPr>
          <w:rFonts w:ascii="Arial" w:cs="Arial" w:eastAsia="Arial" w:hAnsi="Arial"/>
          <w:sz w:val="22"/>
          <w:szCs w:val="22"/>
          <w:color w:val="auto"/>
        </w:rPr>
      </w:pPr>
      <w:r>
        <w:rPr>
          <w:rFonts w:ascii="Arial" w:cs="Arial" w:eastAsia="Arial" w:hAnsi="Arial"/>
          <w:sz w:val="22"/>
          <w:szCs w:val="22"/>
          <w:color w:val="auto"/>
        </w:rPr>
        <w:t>Foreign, State and Local Taxes: All foreign, state and local taxes, including franchise and similar taxes, together with all interest and penalties with respect thereto.</w:t>
      </w:r>
    </w:p>
    <w:p>
      <w:pPr>
        <w:spacing w:after="0" w:line="200" w:lineRule="exact"/>
        <w:rPr>
          <w:rFonts w:ascii="Arial" w:cs="Arial" w:eastAsia="Arial" w:hAnsi="Arial"/>
          <w:sz w:val="22"/>
          <w:szCs w:val="22"/>
          <w:color w:val="auto"/>
        </w:rPr>
      </w:pPr>
    </w:p>
    <w:p>
      <w:pPr>
        <w:jc w:val="both"/>
        <w:ind w:left="-320" w:firstLine="816"/>
        <w:spacing w:after="0" w:line="248" w:lineRule="auto"/>
        <w:tabs>
          <w:tab w:leader="none" w:pos="1354" w:val="left"/>
        </w:tabs>
        <w:numPr>
          <w:ilvl w:val="0"/>
          <w:numId w:val="20"/>
        </w:numPr>
        <w:rPr>
          <w:rFonts w:ascii="Arial" w:cs="Arial" w:eastAsia="Arial" w:hAnsi="Arial"/>
          <w:sz w:val="21"/>
          <w:szCs w:val="21"/>
          <w:color w:val="auto"/>
        </w:rPr>
      </w:pPr>
      <w:r>
        <w:rPr>
          <w:rFonts w:ascii="Arial" w:cs="Arial" w:eastAsia="Arial" w:hAnsi="Arial"/>
          <w:sz w:val="21"/>
          <w:szCs w:val="21"/>
          <w:color w:val="auto"/>
        </w:rPr>
        <w:t>NL Group: NL and each of its direct and indirect subsidiaries which would be a member of an affiliated group, within the meaning of section 1504(a) of the Code, and eligible to file a combined, unitary or consolidated return of which Contran was the common parent (the “Contran Tax Group”), as such NL Group is constituted from time to time. For purposes of this Agreement (to the extent related to the determination of Combined Foreign, State and Local Taxes for the NL Group), the term “NL Group” shall include all direct and indirect subsidiaries of NL with reference to which Combined Foreign, State and Local Taxes are determined.</w:t>
      </w:r>
    </w:p>
    <w:p>
      <w:pPr>
        <w:spacing w:after="0" w:line="204" w:lineRule="exact"/>
        <w:rPr>
          <w:rFonts w:ascii="Arial" w:cs="Arial" w:eastAsia="Arial" w:hAnsi="Arial"/>
          <w:sz w:val="21"/>
          <w:szCs w:val="21"/>
          <w:color w:val="auto"/>
        </w:rPr>
      </w:pPr>
    </w:p>
    <w:p>
      <w:pPr>
        <w:jc w:val="both"/>
        <w:ind w:left="-320" w:firstLine="816"/>
        <w:spacing w:after="0" w:line="248" w:lineRule="auto"/>
        <w:tabs>
          <w:tab w:leader="none" w:pos="1390" w:val="left"/>
        </w:tabs>
        <w:numPr>
          <w:ilvl w:val="0"/>
          <w:numId w:val="20"/>
        </w:numPr>
        <w:rPr>
          <w:rFonts w:ascii="Arial" w:cs="Arial" w:eastAsia="Arial" w:hAnsi="Arial"/>
          <w:sz w:val="21"/>
          <w:szCs w:val="21"/>
          <w:color w:val="auto"/>
        </w:rPr>
      </w:pPr>
      <w:r>
        <w:rPr>
          <w:rFonts w:ascii="Arial" w:cs="Arial" w:eastAsia="Arial" w:hAnsi="Arial"/>
          <w:sz w:val="21"/>
          <w:szCs w:val="21"/>
          <w:color w:val="auto"/>
        </w:rPr>
        <w:t>CompX Group: CompX and each of its direct or indirect subsidiaries which would be a member of an affiliated group, within the meaning of section 1504(a) of the Code, and eligible to file a combined, unitary or consolidated return of which CompX was the common parent, as such CompX Group is constituted from time to time. For purposes of this Agreement (to the extent related to the determination of Combined Foreign, State and Local Taxes for the CompX Group), the term “CompX Group” shall include all direct and indirect subsidiaries of CompX with reference to which Combined, Foreign, State and Local taxes are determined.</w:t>
      </w:r>
    </w:p>
    <w:p>
      <w:pPr>
        <w:spacing w:after="0" w:line="204" w:lineRule="exact"/>
        <w:rPr>
          <w:rFonts w:ascii="Arial" w:cs="Arial" w:eastAsia="Arial" w:hAnsi="Arial"/>
          <w:sz w:val="21"/>
          <w:szCs w:val="21"/>
          <w:color w:val="auto"/>
        </w:rPr>
      </w:pPr>
    </w:p>
    <w:p>
      <w:pPr>
        <w:jc w:val="both"/>
        <w:ind w:left="-320" w:firstLine="816"/>
        <w:spacing w:after="0" w:line="272" w:lineRule="auto"/>
        <w:tabs>
          <w:tab w:leader="none" w:pos="139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CompX Group Tax Liability: For a taxable period, the liability for Federal Taxes and Combined Foreign, State and Local taxes, as applicable, that the CompX Group would have had if it were not a member of the NL Group or Contran Tax Group during such taxable period (or during any taxable period prior thereto), and instead filed a separate consolidated or combined return, as applicable, for such taxable period; provided, however, that for purposes of determining such liability for a taxable period all tax elections shall be consistent with the tax elections made by Contran for such period. In making such tax elections it is understood Contran will make those tax elections which are beneficial to the Contran Tax Group on a consolidated basis. Nevertheless, Contran will use its best efforts in the case of those elections which affect the computation of the CompX Group Tax Liability, to make elections in a reasonable manner so as to minimize the CompX Group Tax Liability. For purposes of this Agreement, in determining the Combined Foreign, State and Local Taxes for the CompX Group, such determination shall be made based on a separate Foreign, State and Local Tax Calculation as if the CompX Group were a separate unitary filer with respect to states and other jurisdictions in which Contran is required to file on a unitary or combined basis.</w:t>
      </w:r>
    </w:p>
    <w:p>
      <w:pPr>
        <w:spacing w:after="0" w:line="188" w:lineRule="exact"/>
        <w:rPr>
          <w:rFonts w:ascii="Arial" w:cs="Arial" w:eastAsia="Arial" w:hAnsi="Arial"/>
          <w:sz w:val="19"/>
          <w:szCs w:val="19"/>
          <w:color w:val="auto"/>
        </w:rPr>
      </w:pPr>
    </w:p>
    <w:p>
      <w:pPr>
        <w:jc w:val="both"/>
        <w:ind w:left="-320" w:firstLine="816"/>
        <w:spacing w:after="0" w:line="252" w:lineRule="auto"/>
        <w:tabs>
          <w:tab w:leader="none" w:pos="1342" w:val="left"/>
        </w:tabs>
        <w:numPr>
          <w:ilvl w:val="0"/>
          <w:numId w:val="20"/>
        </w:numPr>
        <w:rPr>
          <w:rFonts w:ascii="Arial" w:cs="Arial" w:eastAsia="Arial" w:hAnsi="Arial"/>
          <w:sz w:val="21"/>
          <w:szCs w:val="21"/>
          <w:color w:val="auto"/>
        </w:rPr>
      </w:pPr>
      <w:r>
        <w:rPr>
          <w:rFonts w:ascii="Arial" w:cs="Arial" w:eastAsia="Arial" w:hAnsi="Arial"/>
          <w:sz w:val="21"/>
          <w:szCs w:val="21"/>
          <w:color w:val="auto"/>
        </w:rPr>
        <w:t>Foreign, State and Local Tax Calculation: For each reporting period, the Tax Calculation will be based on the estimated taxable income of the CompX Group for the taxable period that includes such reporting period, applied to current year tax rates and using the CompX Group’s applicable apportionment factors and state, local or other applicable adjustments, in each case based on the applicable combined or unitary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43180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48" w:name="page49"/>
    <w:bookmarkEnd w:id="48"/>
    <w:p>
      <w:pPr>
        <w:jc w:val="both"/>
        <w:spacing w:after="0" w:line="241" w:lineRule="auto"/>
        <w:rPr>
          <w:sz w:val="20"/>
          <w:szCs w:val="20"/>
          <w:color w:val="auto"/>
        </w:rPr>
      </w:pPr>
      <w:r>
        <w:rPr>
          <w:rFonts w:ascii="Arial" w:cs="Arial" w:eastAsia="Arial" w:hAnsi="Arial"/>
          <w:sz w:val="22"/>
          <w:szCs w:val="22"/>
          <w:color w:val="auto"/>
        </w:rPr>
        <w:t>most recently-filed as of each reporting period by the Contran Tax Group for each applicable tax jurisdiction (as modified for extraordinary, one-time event adjustments or tax law changes, if any, impacting the unitary calculation for the CompX Group).</w:t>
      </w:r>
    </w:p>
    <w:p>
      <w:pPr>
        <w:spacing w:after="0" w:line="211" w:lineRule="exact"/>
        <w:rPr>
          <w:sz w:val="20"/>
          <w:szCs w:val="20"/>
          <w:color w:val="auto"/>
        </w:rPr>
      </w:pPr>
    </w:p>
    <w:p>
      <w:pPr>
        <w:jc w:val="both"/>
        <w:ind w:left="-880" w:firstLine="885"/>
        <w:spacing w:after="0" w:line="245" w:lineRule="auto"/>
        <w:tabs>
          <w:tab w:leader="none" w:pos="80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Contran as Agent</w:t>
      </w:r>
      <w:r>
        <w:rPr>
          <w:rFonts w:ascii="Arial" w:cs="Arial" w:eastAsia="Arial" w:hAnsi="Arial"/>
          <w:sz w:val="21"/>
          <w:szCs w:val="21"/>
          <w:color w:val="auto"/>
        </w:rPr>
        <w:t>. Contran shall be the sole agent for the CompX Group in all matters relating to the CompX Group Tax Liability. The CompX Group shall not (a) terminate such agency or (b) without the consent of Contran, participate, or attempt to participate, in any matters related to the CompX Group Tax Liability, including, but not limited to, preparation or filing of, or resolution of disputes, protests or audits with the Internal Revenue Service, state or local taxing authorities concerning, the Contran Tax Group’s consolidated returns of Federal Taxes, returns of Combined Foreign, State and Local Taxes or the CompX Group Tax Liability with respect thereto. The CompX Group shall cooperate fully in providing Contran with all information and documents necessary or desirable to enable Contran to perform its obligations under this Section, including completion of Internal Revenue Service and state or local tax audits in connection with such CompX Group Tax Liability and determination of the proper liability for such CompX Group Tax Liability.</w:t>
      </w:r>
    </w:p>
    <w:p>
      <w:pPr>
        <w:spacing w:after="0" w:line="212" w:lineRule="exact"/>
        <w:rPr>
          <w:rFonts w:ascii="Arial" w:cs="Arial" w:eastAsia="Arial" w:hAnsi="Arial"/>
          <w:sz w:val="21"/>
          <w:szCs w:val="21"/>
          <w:color w:val="auto"/>
        </w:rPr>
      </w:pPr>
    </w:p>
    <w:p>
      <w:pPr>
        <w:ind w:left="820" w:hanging="815"/>
        <w:spacing w:after="0"/>
        <w:tabs>
          <w:tab w:leader="none" w:pos="8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Liability for Taxes; Refunds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816"/>
        <w:spacing w:after="0" w:line="238" w:lineRule="auto"/>
        <w:tabs>
          <w:tab w:leader="none" w:pos="1698" w:val="left"/>
        </w:tabs>
        <w:numPr>
          <w:ilvl w:val="1"/>
          <w:numId w:val="21"/>
        </w:numPr>
        <w:rPr>
          <w:rFonts w:ascii="Arial" w:cs="Arial" w:eastAsia="Arial" w:hAnsi="Arial"/>
          <w:sz w:val="22"/>
          <w:szCs w:val="22"/>
          <w:color w:val="auto"/>
        </w:rPr>
      </w:pPr>
      <w:r>
        <w:rPr>
          <w:rFonts w:ascii="Arial" w:cs="Arial" w:eastAsia="Arial" w:hAnsi="Arial"/>
          <w:sz w:val="22"/>
          <w:szCs w:val="22"/>
          <w:color w:val="auto"/>
        </w:rPr>
        <w:t>NL, as the common parent of the CompX Group, shall be responsible for, and shall pay to Contran or a taxing authority, as applicable, the consolidated tax liability for Federal Taxes and Combined Foreign, State and Local Taxes for the NL Group and has the sole right to any refunds received from Contran or a taxing authority, as applicable, subject to the provisions of Sections 5 and 6 of this Agreement.</w:t>
      </w:r>
    </w:p>
    <w:p>
      <w:pPr>
        <w:spacing w:after="0" w:line="212" w:lineRule="exact"/>
        <w:rPr>
          <w:rFonts w:ascii="Arial" w:cs="Arial" w:eastAsia="Arial" w:hAnsi="Arial"/>
          <w:sz w:val="22"/>
          <w:szCs w:val="22"/>
          <w:color w:val="auto"/>
        </w:rPr>
      </w:pPr>
    </w:p>
    <w:p>
      <w:pPr>
        <w:ind w:right="20" w:firstLine="816"/>
        <w:spacing w:after="0" w:line="274" w:lineRule="auto"/>
        <w:tabs>
          <w:tab w:leader="none" w:pos="1710" w:val="left"/>
        </w:tabs>
        <w:numPr>
          <w:ilvl w:val="1"/>
          <w:numId w:val="21"/>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CompX and each subsidiary of CompX which is a member of the CompX Group shall be severally liable to NL for the CompX Group Tax Liability.</w:t>
      </w:r>
    </w:p>
    <w:p>
      <w:pPr>
        <w:spacing w:after="0" w:line="177" w:lineRule="exact"/>
        <w:rPr>
          <w:rFonts w:ascii="Arial" w:cs="Arial" w:eastAsia="Arial" w:hAnsi="Arial"/>
          <w:sz w:val="21"/>
          <w:szCs w:val="21"/>
          <w:color w:val="auto"/>
        </w:rPr>
      </w:pPr>
    </w:p>
    <w:p>
      <w:pPr>
        <w:ind w:firstLine="816"/>
        <w:spacing w:after="0" w:line="251" w:lineRule="auto"/>
        <w:tabs>
          <w:tab w:leader="none" w:pos="1698" w:val="left"/>
        </w:tabs>
        <w:numPr>
          <w:ilvl w:val="1"/>
          <w:numId w:val="21"/>
        </w:numPr>
        <w:rPr>
          <w:rFonts w:ascii="Arial" w:cs="Arial" w:eastAsia="Arial" w:hAnsi="Arial"/>
          <w:sz w:val="22"/>
          <w:szCs w:val="22"/>
          <w:color w:val="auto"/>
        </w:rPr>
      </w:pPr>
      <w:r>
        <w:rPr>
          <w:rFonts w:ascii="Arial" w:cs="Arial" w:eastAsia="Arial" w:hAnsi="Arial"/>
          <w:sz w:val="22"/>
          <w:szCs w:val="22"/>
          <w:color w:val="auto"/>
        </w:rPr>
        <w:t>CompX shall indemnify NL and hold it and the NL Group other than the CompX Group, harmless from and against any deficiency in the CompX Group Tax Liability that may be due to NL.</w:t>
      </w:r>
    </w:p>
    <w:p>
      <w:pPr>
        <w:spacing w:after="0" w:line="200" w:lineRule="exact"/>
        <w:rPr>
          <w:rFonts w:ascii="Arial" w:cs="Arial" w:eastAsia="Arial" w:hAnsi="Arial"/>
          <w:sz w:val="22"/>
          <w:szCs w:val="22"/>
          <w:color w:val="auto"/>
        </w:rPr>
      </w:pPr>
    </w:p>
    <w:p>
      <w:pPr>
        <w:jc w:val="both"/>
        <w:ind w:firstLine="816"/>
        <w:spacing w:after="0" w:line="238" w:lineRule="auto"/>
        <w:tabs>
          <w:tab w:leader="none" w:pos="1710" w:val="left"/>
        </w:tabs>
        <w:numPr>
          <w:ilvl w:val="1"/>
          <w:numId w:val="21"/>
        </w:numPr>
        <w:rPr>
          <w:rFonts w:ascii="Arial" w:cs="Arial" w:eastAsia="Arial" w:hAnsi="Arial"/>
          <w:sz w:val="22"/>
          <w:szCs w:val="22"/>
          <w:color w:val="auto"/>
        </w:rPr>
      </w:pPr>
      <w:r>
        <w:rPr>
          <w:rFonts w:ascii="Arial" w:cs="Arial" w:eastAsia="Arial" w:hAnsi="Arial"/>
          <w:sz w:val="22"/>
          <w:szCs w:val="22"/>
          <w:color w:val="auto"/>
        </w:rPr>
        <w:t>NL shall indemnify CompX and hold it and the CompX Group harmless from and against any Federal Taxes and Combined Foreign, State and Local Taxes attributable to the NL Group or any other member of the Contran Tax Group, other than the CompX Group, as such taxes are determined under this and other tax sharing agreements.</w:t>
      </w:r>
    </w:p>
    <w:p>
      <w:pPr>
        <w:spacing w:after="0" w:line="212" w:lineRule="exact"/>
        <w:rPr>
          <w:rFonts w:ascii="Arial" w:cs="Arial" w:eastAsia="Arial" w:hAnsi="Arial"/>
          <w:sz w:val="22"/>
          <w:szCs w:val="22"/>
          <w:color w:val="auto"/>
        </w:rPr>
      </w:pPr>
    </w:p>
    <w:p>
      <w:pPr>
        <w:jc w:val="both"/>
        <w:ind w:left="-880" w:firstLine="885"/>
        <w:spacing w:after="0" w:line="235" w:lineRule="auto"/>
        <w:tabs>
          <w:tab w:leader="none" w:pos="80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 Contran shall file on behalf of the CompX Group any and all federal, foreign, state and local tax returns that are required as they pertain to the CompX Group Tax Liability. The CompX Group, at Contran’s request, shall join in any applicable consolidated returns of Federal Taxes and any returns of Combined Foreign, State and Local Taxes (for which returns have not been theretofore filed) and execute its consent, if such consent has not previously been executed, to each such filing on any form as may be prescribed for such consent if such consent is required. The decision of Contran’s Chief Tax Officer (or any other officer so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52070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9"/>
          <w:szCs w:val="19"/>
          <w:color w:val="auto"/>
        </w:rPr>
        <w:t>by Contran) with responsibility for tax matters shall, subject to the provisions of this Agreement, be binding in any dispute between Contran, NL and the CompX Group as to what tax position should be taken with respect to any item or transaction of the CompX Group. The preceding sentence is limited to the tax positions that affect the CompX Group Tax Liability and the combined NL Group and Contran Tax Group. In addition, NL and members of the NL Group, including CompX and members of the CompX Group, shall provide each other with such cooperation, assistance and information as each of them may request of the other with respect to the filing of any tax return, amended return, claim for refund or other document with any taxing authority. CompX shall be solely responsible for all taxes due for the CompX Group with respect to tax returns filed by CompX or a member of the CompX Group that are required to be filed on a separate company basis, independent of Contran or NL.</w:t>
      </w:r>
    </w:p>
    <w:p>
      <w:pPr>
        <w:spacing w:after="0" w:line="186" w:lineRule="exact"/>
        <w:rPr>
          <w:sz w:val="20"/>
          <w:szCs w:val="20"/>
          <w:color w:val="auto"/>
        </w:rPr>
      </w:pPr>
    </w:p>
    <w:p>
      <w:pPr>
        <w:jc w:val="both"/>
        <w:ind w:firstLine="885"/>
        <w:spacing w:after="0" w:line="270" w:lineRule="auto"/>
        <w:tabs>
          <w:tab w:leader="none" w:pos="168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Payment of</w:t>
      </w:r>
      <w:r>
        <w:rPr>
          <w:rFonts w:ascii="Arial" w:cs="Arial" w:eastAsia="Arial" w:hAnsi="Arial"/>
          <w:sz w:val="19"/>
          <w:szCs w:val="19"/>
          <w:color w:val="auto"/>
        </w:rPr>
        <w:t xml:space="preserve"> CompX </w:t>
      </w:r>
      <w:r>
        <w:rPr>
          <w:rFonts w:ascii="Arial" w:cs="Arial" w:eastAsia="Arial" w:hAnsi="Arial"/>
          <w:sz w:val="19"/>
          <w:szCs w:val="19"/>
          <w:u w:val="single" w:color="auto"/>
          <w:color w:val="auto"/>
        </w:rPr>
        <w:t>Group Tax Liability for Federal Taxes and Foreign, State and Local Taxes</w:t>
      </w:r>
      <w:r>
        <w:rPr>
          <w:rFonts w:ascii="Arial" w:cs="Arial" w:eastAsia="Arial" w:hAnsi="Arial"/>
          <w:sz w:val="19"/>
          <w:szCs w:val="19"/>
          <w:color w:val="auto"/>
        </w:rPr>
        <w:t>. On or before each date, as determined under section 6655 of the Code (with respect to Federal Taxes) and the applicable tax provisions with respect to any Foreign, State and Local Taxes due pursuant to this Agreement, for payment of an installment of estimated Federal Taxes or any Foreign, State and Local Taxes, CompX shall pay to NL an amount equal to the installment which the CompX Group would have been required to pay as an estimated payment of Federal Taxes to the Internal Revenue Service or any Foreign, State and Local Taxes to the applicable taxing authority if it were filing a separate consolidated, combined or unitary return in respect of the CompX Group Tax Liability. Any balance owed with respect to the CompX Group Tax Liability for such taxable period shall be paid to NL on or before the 15th day of the third month after the close of such taxable period. If it is not possible to determine the amount of such balance on or before such day, (a) a reasonable estimate thereof shall be paid on or before such day, (b) the amount of such balance shall be finally determined on or before the earlier of; (i) the 15th day of the ninth month after the close of such taxable period (or the applicable due date for the Contran foreign, state or local combined or unitary return) and (ii) the date on which the Contran Tax Group consolidated tax return for such period is filed with the Internal Revenue Service or the applicable tax authority, and (c) any difference between the amount so determined and the estimated amount paid shall; (i) in the case of an underpayment, be promptly paid to NL and (ii) in the case of an overpayment, be promptly refunded or applied against the estimated CompX Group Tax Liability for the immediately following tax period, at the option of NL. If the overpayment is not applied to the immediately following tax period, such overpayment shall be promptly refunded to the CompX Group. As between the parties to this Agreement, the CompX Group shall be solely responsible for the CompX Group Tax Liability and shall have no responsibility for Federal Taxes of the NL Group or the Contran Tax Group other than payment of the CompX Group Tax Liability in accordance with the terms of this Agreement. Notwithstanding the foregoing, NL at its option may extend the payment due date for any of the payments referenced above.</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885"/>
        <w:spacing w:after="0" w:line="235" w:lineRule="auto"/>
        <w:tabs>
          <w:tab w:leader="none" w:pos="168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Refunds for</w:t>
      </w:r>
      <w:r>
        <w:rPr>
          <w:rFonts w:ascii="Arial" w:cs="Arial" w:eastAsia="Arial" w:hAnsi="Arial"/>
          <w:sz w:val="22"/>
          <w:szCs w:val="22"/>
          <w:color w:val="auto"/>
        </w:rPr>
        <w:t xml:space="preserve"> CompX </w:t>
      </w:r>
      <w:r>
        <w:rPr>
          <w:rFonts w:ascii="Arial" w:cs="Arial" w:eastAsia="Arial" w:hAnsi="Arial"/>
          <w:sz w:val="22"/>
          <w:szCs w:val="22"/>
          <w:u w:val="single" w:color="auto"/>
          <w:color w:val="auto"/>
        </w:rPr>
        <w:t>Group Losses and Credits for Federal Taxes</w:t>
      </w:r>
      <w:r>
        <w:rPr>
          <w:rFonts w:ascii="Arial" w:cs="Arial" w:eastAsia="Arial" w:hAnsi="Arial"/>
          <w:sz w:val="22"/>
          <w:szCs w:val="22"/>
          <w:color w:val="auto"/>
        </w:rPr>
        <w:t>. If the calculation with respect to the CompX Group Tax Liability for Federal Taxes results in a net operating loss (“NOL”) for the current tax period that, in the absence of a Code Section 172(b)(3) election made by Contran, is carried back under Code Sections 172 and 1502 to a prior taxable period or periods of the CompX Group with respect to which the CompX Group previously made payments to NL, then, in that event, NL shall pay (or credit) CompX an amount equal to the tax refund to which the CompX Group would have been entitled had the CompX Group filed a separate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jc w:val="both"/>
        <w:spacing w:after="0" w:line="244" w:lineRule="auto"/>
        <w:rPr>
          <w:sz w:val="20"/>
          <w:szCs w:val="20"/>
          <w:color w:val="auto"/>
        </w:rPr>
      </w:pPr>
      <w:r>
        <w:rPr>
          <w:rFonts w:ascii="Arial" w:cs="Arial" w:eastAsia="Arial" w:hAnsi="Arial"/>
          <w:sz w:val="21"/>
          <w:szCs w:val="21"/>
          <w:color w:val="auto"/>
        </w:rPr>
        <w:t>federal income tax return for such year (but not in excess of the net aggregate amount of the CompX Group Tax Liability paid to NL with respect to the preceding two taxable periods). If the calculation with respect to the CompX Group Tax Liability results in an NOL for the current tax period, that subject to the Code Section 172(b)(3) election made by Contran, is not carried back under Code Sections 172 and 1502 to a prior taxable period or periods of the CompX Group with respect to which CompX made payments to NL or is not carried back because the Contran Tax Group does not have a consolidated net operating loss for the current tax period, then, in that event such NOL shall be an NOL carryover to be used in computing the CompX Group Tax Liability for future taxable periods, under the law applicable to NOL carryovers in general, as such law applies to the relevant taxable period. Payments made pursuant to this Section 6 shall be made on the date that Contran (or any successor common parent of a tax group to which the NL Group is a member) files its consolidated federal income tax return for the taxable period involved. Principles similar to those discussed in this Section 6 shall apply in the case of the utilization of all CompX Group loss and credit carrybacks and carryovers.</w:t>
      </w:r>
    </w:p>
    <w:p>
      <w:pPr>
        <w:spacing w:after="0" w:line="217" w:lineRule="exact"/>
        <w:rPr>
          <w:sz w:val="20"/>
          <w:szCs w:val="20"/>
          <w:color w:val="auto"/>
        </w:rPr>
      </w:pPr>
    </w:p>
    <w:p>
      <w:pPr>
        <w:jc w:val="both"/>
        <w:ind w:firstLine="885"/>
        <w:spacing w:after="0" w:line="238" w:lineRule="auto"/>
        <w:tabs>
          <w:tab w:leader="none" w:pos="168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Refunds for CompX Group Combined or Unitary Foreign, State and Local Losses and Credits</w:t>
      </w:r>
      <w:r>
        <w:rPr>
          <w:rFonts w:ascii="Arial" w:cs="Arial" w:eastAsia="Arial" w:hAnsi="Arial"/>
          <w:sz w:val="22"/>
          <w:szCs w:val="22"/>
          <w:color w:val="auto"/>
        </w:rPr>
        <w:t>. The foregoing principles contained in Section 6 shall apply in similar fashion to any consolidated, unitary or combined foreign, state or other local income tax returns, containing any member of the CompX Group, which may be filed based on the CompX Group Tax Liability for Foreign, State and Local Taxes.</w:t>
      </w:r>
    </w:p>
    <w:p>
      <w:pPr>
        <w:spacing w:after="0" w:line="212" w:lineRule="exact"/>
        <w:rPr>
          <w:rFonts w:ascii="Arial" w:cs="Arial" w:eastAsia="Arial" w:hAnsi="Arial"/>
          <w:sz w:val="22"/>
          <w:szCs w:val="22"/>
          <w:color w:val="auto"/>
        </w:rPr>
      </w:pPr>
    </w:p>
    <w:p>
      <w:pPr>
        <w:jc w:val="both"/>
        <w:ind w:firstLine="885"/>
        <w:spacing w:after="0" w:line="234" w:lineRule="auto"/>
        <w:tabs>
          <w:tab w:leader="none" w:pos="168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Subsequent Adjustments</w:t>
      </w:r>
      <w:r>
        <w:rPr>
          <w:rFonts w:ascii="Arial" w:cs="Arial" w:eastAsia="Arial" w:hAnsi="Arial"/>
          <w:sz w:val="22"/>
          <w:szCs w:val="22"/>
          <w:color w:val="auto"/>
        </w:rPr>
        <w:t>. If any settlement with the Internal Revenue Service, foreign, state or local tax authority or court decision which has become final results in any adjustment to any item of income, deduction, loss or credit to the Contran Tax Group in respect of any taxable period subject to this Agreement, which, in any such case, affects or relates to any member of the CompX Group as constituted during such taxable period, the CompX Tax Group Liability shall be redetermined to give effect to such adjustment as if it had been made as part of or reflected in the original computation of the CompX Tax Group Liability and proper adjustment of amounts paid or owing hereunder in respect of such liability and allocation shall be promptly made in light thereof.</w:t>
      </w:r>
    </w:p>
    <w:p>
      <w:pPr>
        <w:spacing w:after="0" w:line="218" w:lineRule="exact"/>
        <w:rPr>
          <w:rFonts w:ascii="Arial" w:cs="Arial" w:eastAsia="Arial" w:hAnsi="Arial"/>
          <w:sz w:val="22"/>
          <w:szCs w:val="22"/>
          <w:color w:val="auto"/>
        </w:rPr>
      </w:pPr>
    </w:p>
    <w:p>
      <w:pPr>
        <w:ind w:left="1700" w:hanging="815"/>
        <w:spacing w:after="0"/>
        <w:tabs>
          <w:tab w:leader="none" w:pos="17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Term; Amendments</w:t>
      </w:r>
      <w:r>
        <w:rPr>
          <w:rFonts w:ascii="Arial" w:cs="Arial" w:eastAsia="Arial" w:hAnsi="Arial"/>
          <w:sz w:val="22"/>
          <w:szCs w:val="22"/>
          <w:color w:val="auto"/>
        </w:rPr>
        <w:t>.</w:t>
      </w:r>
    </w:p>
    <w:p>
      <w:pPr>
        <w:spacing w:after="0" w:line="233" w:lineRule="exact"/>
        <w:rPr>
          <w:sz w:val="20"/>
          <w:szCs w:val="20"/>
          <w:color w:val="auto"/>
        </w:rPr>
      </w:pPr>
    </w:p>
    <w:p>
      <w:pPr>
        <w:jc w:val="both"/>
        <w:ind w:firstLine="885"/>
        <w:spacing w:after="0" w:line="238" w:lineRule="auto"/>
        <w:tabs>
          <w:tab w:leader="none" w:pos="1676" w:val="left"/>
        </w:tabs>
        <w:numPr>
          <w:ilvl w:val="0"/>
          <w:numId w:val="24"/>
        </w:numPr>
        <w:rPr>
          <w:rFonts w:ascii="Arial" w:cs="Arial" w:eastAsia="Arial" w:hAnsi="Arial"/>
          <w:sz w:val="22"/>
          <w:szCs w:val="22"/>
          <w:color w:val="auto"/>
        </w:rPr>
      </w:pPr>
      <w:r>
        <w:rPr>
          <w:rFonts w:ascii="Arial" w:cs="Arial" w:eastAsia="Arial" w:hAnsi="Arial"/>
          <w:sz w:val="22"/>
          <w:szCs w:val="22"/>
          <w:color w:val="auto"/>
        </w:rPr>
        <w:t>a.The term of this Agreement shall end on December 31, 2024 and will automatically be renewed for successive five-year periods unless terminated by any party by giving the other two parties written notice of termination at least ninety (90) days prior to the expiration of the then-current term; provided, however, that this Agreement shall automatically terminate at such time as CompX is no longer a member of the Contran Tax Group.</w:t>
      </w:r>
    </w:p>
    <w:p>
      <w:pPr>
        <w:spacing w:after="0" w:line="212" w:lineRule="exact"/>
        <w:rPr>
          <w:rFonts w:ascii="Arial" w:cs="Arial" w:eastAsia="Arial" w:hAnsi="Arial"/>
          <w:sz w:val="22"/>
          <w:szCs w:val="22"/>
          <w:color w:val="auto"/>
        </w:rPr>
      </w:pPr>
    </w:p>
    <w:p>
      <w:pPr>
        <w:jc w:val="both"/>
        <w:ind w:firstLine="885"/>
        <w:spacing w:after="0" w:line="235" w:lineRule="auto"/>
        <w:tabs>
          <w:tab w:leader="none" w:pos="1688"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This Agreement may be amended, modified, superseded or cancelled, and any of the terms, covenants, or conditions hereof may be waived, only by a written instrument specifically referring to this Agreement and executed by all parties (or, in the case of a waiver, by or on behalf of the party waiving compliance). The failure of any party at any time or times to require performance of any provision of this Agreement shall in no manner affect the right at a later time to enforce the same. No waiver by any party of any condition, or of any breach of any term or covenant, contained in this Agreement, in any one or more instances, shall be deemed to be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ind w:right="20"/>
        <w:spacing w:after="0" w:line="251" w:lineRule="auto"/>
        <w:rPr>
          <w:sz w:val="20"/>
          <w:szCs w:val="20"/>
          <w:color w:val="auto"/>
        </w:rPr>
      </w:pPr>
      <w:r>
        <w:rPr>
          <w:rFonts w:ascii="Arial" w:cs="Arial" w:eastAsia="Arial" w:hAnsi="Arial"/>
          <w:sz w:val="22"/>
          <w:szCs w:val="22"/>
          <w:color w:val="auto"/>
        </w:rPr>
        <w:t>construed as a further or continuing waiver of any such condition or breach, or a waiver of any other condition or of any breach of any other term or covenant.</w:t>
      </w:r>
    </w:p>
    <w:p>
      <w:pPr>
        <w:spacing w:after="0" w:line="201" w:lineRule="exact"/>
        <w:rPr>
          <w:sz w:val="20"/>
          <w:szCs w:val="20"/>
          <w:color w:val="auto"/>
        </w:rPr>
      </w:pPr>
    </w:p>
    <w:p>
      <w:pPr>
        <w:jc w:val="both"/>
        <w:ind w:firstLine="885"/>
        <w:spacing w:after="0" w:line="287" w:lineRule="auto"/>
        <w:tabs>
          <w:tab w:leader="none" w:pos="179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Retention of Records</w:t>
      </w:r>
      <w:r>
        <w:rPr>
          <w:rFonts w:ascii="Arial" w:cs="Arial" w:eastAsia="Arial" w:hAnsi="Arial"/>
          <w:sz w:val="19"/>
          <w:szCs w:val="19"/>
          <w:color w:val="auto"/>
        </w:rPr>
        <w:t>. Contran shall retain all tax returns, tax reports, related workpapers and all schedules (along with all documents that pertain to any such tax returns, reports or workpapers) that relate to a taxable period in which the CompX Group is included in a consolidated or combined tax return with NL and Contran. Contran shall make such documents available to CompX at CompX’s request. Contran shall not dispose of such documents without the permission of CompX.</w:t>
      </w:r>
    </w:p>
    <w:p>
      <w:pPr>
        <w:spacing w:after="0" w:line="170" w:lineRule="exact"/>
        <w:rPr>
          <w:rFonts w:ascii="Arial" w:cs="Arial" w:eastAsia="Arial" w:hAnsi="Arial"/>
          <w:sz w:val="19"/>
          <w:szCs w:val="19"/>
          <w:color w:val="auto"/>
        </w:rPr>
      </w:pPr>
    </w:p>
    <w:p>
      <w:pPr>
        <w:ind w:firstLine="885"/>
        <w:spacing w:after="0" w:line="251" w:lineRule="auto"/>
        <w:tabs>
          <w:tab w:leader="none" w:pos="178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this Agreement are for convenience of reference only, and shall not in any way affect the meaning or interpretation of this Agreement.</w:t>
      </w:r>
    </w:p>
    <w:p>
      <w:pPr>
        <w:spacing w:after="0" w:line="200" w:lineRule="exact"/>
        <w:rPr>
          <w:rFonts w:ascii="Arial" w:cs="Arial" w:eastAsia="Arial" w:hAnsi="Arial"/>
          <w:sz w:val="22"/>
          <w:szCs w:val="22"/>
          <w:color w:val="auto"/>
        </w:rPr>
      </w:pPr>
    </w:p>
    <w:p>
      <w:pPr>
        <w:ind w:firstLine="885"/>
        <w:spacing w:after="0" w:line="251" w:lineRule="auto"/>
        <w:tabs>
          <w:tab w:leader="none" w:pos="179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laws of the State of Delaware without regard to conflicts of laws provisions.</w:t>
      </w:r>
    </w:p>
    <w:p>
      <w:pPr>
        <w:spacing w:after="0" w:line="200" w:lineRule="exact"/>
        <w:rPr>
          <w:rFonts w:ascii="Arial" w:cs="Arial" w:eastAsia="Arial" w:hAnsi="Arial"/>
          <w:sz w:val="22"/>
          <w:szCs w:val="22"/>
          <w:color w:val="auto"/>
        </w:rPr>
      </w:pPr>
    </w:p>
    <w:p>
      <w:pPr>
        <w:ind w:firstLine="885"/>
        <w:spacing w:after="0" w:line="251" w:lineRule="auto"/>
        <w:tabs>
          <w:tab w:leader="none" w:pos="179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an original, but all of which shall constitute but one agreement.</w:t>
      </w:r>
    </w:p>
    <w:p>
      <w:pPr>
        <w:spacing w:after="0" w:line="200" w:lineRule="exact"/>
        <w:rPr>
          <w:rFonts w:ascii="Arial" w:cs="Arial" w:eastAsia="Arial" w:hAnsi="Arial"/>
          <w:sz w:val="22"/>
          <w:szCs w:val="22"/>
          <w:color w:val="auto"/>
        </w:rPr>
      </w:pPr>
    </w:p>
    <w:p>
      <w:pPr>
        <w:ind w:right="20" w:firstLine="885"/>
        <w:spacing w:after="0" w:line="251" w:lineRule="auto"/>
        <w:tabs>
          <w:tab w:leader="none" w:pos="179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and inure to the benefit of the parties hereto and their respective subsidiaries, and their respective successors and assigns.</w:t>
      </w:r>
    </w:p>
    <w:p>
      <w:pPr>
        <w:spacing w:after="0" w:line="200" w:lineRule="exact"/>
        <w:rPr>
          <w:rFonts w:ascii="Arial" w:cs="Arial" w:eastAsia="Arial" w:hAnsi="Arial"/>
          <w:sz w:val="22"/>
          <w:szCs w:val="22"/>
          <w:color w:val="auto"/>
        </w:rPr>
      </w:pPr>
    </w:p>
    <w:p>
      <w:pPr>
        <w:jc w:val="both"/>
        <w:ind w:firstLine="885"/>
        <w:spacing w:after="0"/>
        <w:tabs>
          <w:tab w:leader="none" w:pos="179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Amendment and Restatement</w:t>
      </w:r>
      <w:r>
        <w:rPr>
          <w:rFonts w:ascii="Arial" w:cs="Arial" w:eastAsia="Arial" w:hAnsi="Arial"/>
          <w:sz w:val="22"/>
          <w:szCs w:val="22"/>
          <w:color w:val="auto"/>
        </w:rPr>
        <w:t>. Effective as of January 1, 2020, this Agreement supersedes and amends and restates the Amended and Restated Tax Agreement dated as of December 1, 2012, previously entered into among NL, Contran and CompX.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on the date first above written.</w:t>
      </w:r>
    </w:p>
    <w:p>
      <w:pPr>
        <w:spacing w:after="0" w:line="234" w:lineRule="exact"/>
        <w:rPr>
          <w:sz w:val="20"/>
          <w:szCs w:val="20"/>
          <w:color w:val="auto"/>
        </w:rPr>
      </w:pPr>
    </w:p>
    <w:p>
      <w:pPr>
        <w:ind w:left="6160"/>
        <w:spacing w:after="0"/>
        <w:rPr>
          <w:sz w:val="20"/>
          <w:szCs w:val="20"/>
          <w:color w:val="auto"/>
        </w:rPr>
      </w:pPr>
      <w:r>
        <w:rPr>
          <w:rFonts w:ascii="Arial" w:cs="Arial" w:eastAsia="Arial" w:hAnsi="Arial"/>
          <w:sz w:val="22"/>
          <w:szCs w:val="22"/>
          <w:b w:val="1"/>
          <w:bCs w:val="1"/>
          <w:color w:val="auto"/>
        </w:rPr>
        <w:t>NL INDUSTRIES, INC.</w:t>
      </w:r>
    </w:p>
    <w:p>
      <w:pPr>
        <w:spacing w:after="0" w:line="210" w:lineRule="exact"/>
        <w:rPr>
          <w:sz w:val="20"/>
          <w:szCs w:val="20"/>
          <w:color w:val="auto"/>
        </w:rPr>
      </w:pPr>
    </w:p>
    <w:tbl>
      <w:tblPr>
        <w:tblLayout w:type="fixed"/>
        <w:tblInd w:w="616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600" w:type="dxa"/>
            <w:vAlign w:val="bottom"/>
          </w:tcPr>
          <w:p>
            <w:pPr>
              <w:spacing w:after="0"/>
              <w:rPr>
                <w:sz w:val="21"/>
                <w:szCs w:val="21"/>
                <w:color w:val="auto"/>
              </w:rPr>
            </w:pPr>
          </w:p>
        </w:tc>
        <w:tc>
          <w:tcPr>
            <w:tcW w:w="326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/s/ Amy A. Samford</w:t>
            </w:r>
          </w:p>
        </w:tc>
        <w:tc>
          <w:tcPr>
            <w:tcW w:w="340" w:type="dxa"/>
            <w:vAlign w:val="bottom"/>
          </w:tcPr>
          <w:p>
            <w:pPr>
              <w:spacing w:after="0"/>
              <w:rPr>
                <w:sz w:val="21"/>
                <w:szCs w:val="21"/>
                <w:color w:val="auto"/>
              </w:rPr>
            </w:pPr>
          </w:p>
        </w:tc>
      </w:tr>
      <w:tr>
        <w:trPr>
          <w:trHeight w:val="242"/>
        </w:trPr>
        <w:tc>
          <w:tcPr>
            <w:tcW w:w="360" w:type="dxa"/>
            <w:vAlign w:val="bottom"/>
          </w:tcPr>
          <w:p>
            <w:pPr>
              <w:spacing w:after="0"/>
              <w:rPr>
                <w:sz w:val="21"/>
                <w:szCs w:val="21"/>
                <w:color w:val="auto"/>
              </w:rPr>
            </w:pPr>
          </w:p>
        </w:tc>
        <w:tc>
          <w:tcPr>
            <w:tcW w:w="4200" w:type="dxa"/>
            <w:vAlign w:val="bottom"/>
            <w:gridSpan w:val="3"/>
          </w:tcPr>
          <w:p>
            <w:pPr>
              <w:ind w:left="40"/>
              <w:spacing w:after="0" w:line="242" w:lineRule="exact"/>
              <w:rPr>
                <w:sz w:val="20"/>
                <w:szCs w:val="20"/>
                <w:color w:val="auto"/>
              </w:rPr>
            </w:pPr>
            <w:r>
              <w:rPr>
                <w:rFonts w:ascii="Arial" w:cs="Arial" w:eastAsia="Arial" w:hAnsi="Arial"/>
                <w:sz w:val="22"/>
                <w:szCs w:val="22"/>
                <w:color w:val="auto"/>
              </w:rPr>
              <w:t>Amy A. Samford</w:t>
            </w:r>
          </w:p>
        </w:tc>
      </w:tr>
      <w:tr>
        <w:trPr>
          <w:trHeight w:val="275"/>
        </w:trPr>
        <w:tc>
          <w:tcPr>
            <w:tcW w:w="360" w:type="dxa"/>
            <w:vAlign w:val="bottom"/>
          </w:tcPr>
          <w:p>
            <w:pPr>
              <w:spacing w:after="0"/>
              <w:rPr>
                <w:sz w:val="23"/>
                <w:szCs w:val="23"/>
                <w:color w:val="auto"/>
              </w:rPr>
            </w:pPr>
          </w:p>
        </w:tc>
        <w:tc>
          <w:tcPr>
            <w:tcW w:w="4200" w:type="dxa"/>
            <w:vAlign w:val="bottom"/>
            <w:gridSpan w:val="3"/>
          </w:tcPr>
          <w:p>
            <w:pPr>
              <w:ind w:left="520"/>
              <w:spacing w:after="0"/>
              <w:rPr>
                <w:sz w:val="20"/>
                <w:szCs w:val="20"/>
                <w:color w:val="auto"/>
              </w:rPr>
            </w:pPr>
            <w:r>
              <w:rPr>
                <w:rFonts w:ascii="Arial" w:cs="Arial" w:eastAsia="Arial" w:hAnsi="Arial"/>
                <w:sz w:val="22"/>
                <w:szCs w:val="22"/>
                <w:color w:val="auto"/>
                <w:w w:val="89"/>
              </w:rPr>
              <w:t>Vice President and Chief Financial Officer</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6160"/>
        <w:spacing w:after="0"/>
        <w:rPr>
          <w:sz w:val="20"/>
          <w:szCs w:val="20"/>
          <w:color w:val="auto"/>
        </w:rPr>
      </w:pPr>
      <w:r>
        <w:rPr>
          <w:rFonts w:ascii="Arial" w:cs="Arial" w:eastAsia="Arial" w:hAnsi="Arial"/>
          <w:sz w:val="22"/>
          <w:szCs w:val="22"/>
          <w:b w:val="1"/>
          <w:bCs w:val="1"/>
          <w:color w:val="auto"/>
        </w:rPr>
        <w:t>CONTRAN CORPORATION</w:t>
      </w:r>
    </w:p>
    <w:p>
      <w:pPr>
        <w:spacing w:after="0" w:line="186" w:lineRule="exact"/>
        <w:rPr>
          <w:sz w:val="20"/>
          <w:szCs w:val="20"/>
          <w:color w:val="auto"/>
        </w:rPr>
      </w:pPr>
    </w:p>
    <w:tbl>
      <w:tblPr>
        <w:tblLayout w:type="fixed"/>
        <w:tblInd w:w="616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600" w:type="dxa"/>
            <w:vAlign w:val="bottom"/>
          </w:tcPr>
          <w:p>
            <w:pPr>
              <w:spacing w:after="0"/>
              <w:rPr>
                <w:sz w:val="21"/>
                <w:szCs w:val="21"/>
                <w:color w:val="auto"/>
              </w:rPr>
            </w:pPr>
          </w:p>
        </w:tc>
        <w:tc>
          <w:tcPr>
            <w:tcW w:w="32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/s/ Gregory M. Swalwell</w:t>
            </w:r>
          </w:p>
        </w:tc>
        <w:tc>
          <w:tcPr>
            <w:tcW w:w="1080" w:type="dxa"/>
            <w:vAlign w:val="bottom"/>
          </w:tcPr>
          <w:p>
            <w:pPr>
              <w:spacing w:after="0"/>
              <w:rPr>
                <w:sz w:val="21"/>
                <w:szCs w:val="21"/>
                <w:color w:val="auto"/>
              </w:rPr>
            </w:pPr>
          </w:p>
        </w:tc>
      </w:tr>
      <w:tr>
        <w:trPr>
          <w:trHeight w:val="242"/>
        </w:trPr>
        <w:tc>
          <w:tcPr>
            <w:tcW w:w="360" w:type="dxa"/>
            <w:vAlign w:val="bottom"/>
          </w:tcPr>
          <w:p>
            <w:pPr>
              <w:spacing w:after="0"/>
              <w:rPr>
                <w:sz w:val="21"/>
                <w:szCs w:val="21"/>
                <w:color w:val="auto"/>
              </w:rPr>
            </w:pPr>
          </w:p>
        </w:tc>
        <w:tc>
          <w:tcPr>
            <w:tcW w:w="4900" w:type="dxa"/>
            <w:vAlign w:val="bottom"/>
            <w:gridSpan w:val="4"/>
          </w:tcPr>
          <w:p>
            <w:pPr>
              <w:ind w:left="280"/>
              <w:spacing w:after="0" w:line="242" w:lineRule="exact"/>
              <w:rPr>
                <w:sz w:val="20"/>
                <w:szCs w:val="20"/>
                <w:color w:val="auto"/>
              </w:rPr>
            </w:pPr>
            <w:r>
              <w:rPr>
                <w:rFonts w:ascii="Arial" w:cs="Arial" w:eastAsia="Arial" w:hAnsi="Arial"/>
                <w:sz w:val="22"/>
                <w:szCs w:val="22"/>
                <w:color w:val="auto"/>
              </w:rPr>
              <w:t>Gregory M. Swalwell</w:t>
            </w:r>
          </w:p>
        </w:tc>
      </w:tr>
      <w:tr>
        <w:trPr>
          <w:trHeight w:val="243"/>
        </w:trPr>
        <w:tc>
          <w:tcPr>
            <w:tcW w:w="360" w:type="dxa"/>
            <w:vAlign w:val="bottom"/>
          </w:tcPr>
          <w:p>
            <w:pPr>
              <w:spacing w:after="0"/>
              <w:rPr>
                <w:sz w:val="21"/>
                <w:szCs w:val="21"/>
                <w:color w:val="auto"/>
              </w:rPr>
            </w:pPr>
          </w:p>
        </w:tc>
        <w:tc>
          <w:tcPr>
            <w:tcW w:w="4900" w:type="dxa"/>
            <w:vAlign w:val="bottom"/>
            <w:gridSpan w:val="4"/>
          </w:tcPr>
          <w:p>
            <w:pPr>
              <w:ind w:left="520"/>
              <w:spacing w:after="0" w:line="243" w:lineRule="exact"/>
              <w:rPr>
                <w:sz w:val="20"/>
                <w:szCs w:val="20"/>
                <w:color w:val="auto"/>
              </w:rPr>
            </w:pPr>
            <w:r>
              <w:rPr>
                <w:rFonts w:ascii="Arial" w:cs="Arial" w:eastAsia="Arial" w:hAnsi="Arial"/>
                <w:sz w:val="22"/>
                <w:szCs w:val="22"/>
                <w:color w:val="auto"/>
              </w:rPr>
              <w:t>Executive Vice President,</w:t>
            </w:r>
          </w:p>
        </w:tc>
      </w:tr>
      <w:tr>
        <w:trPr>
          <w:trHeight w:val="243"/>
        </w:trPr>
        <w:tc>
          <w:tcPr>
            <w:tcW w:w="360" w:type="dxa"/>
            <w:vAlign w:val="bottom"/>
          </w:tcPr>
          <w:p>
            <w:pPr>
              <w:spacing w:after="0"/>
              <w:rPr>
                <w:sz w:val="21"/>
                <w:szCs w:val="21"/>
                <w:color w:val="auto"/>
              </w:rPr>
            </w:pPr>
          </w:p>
        </w:tc>
        <w:tc>
          <w:tcPr>
            <w:tcW w:w="4900" w:type="dxa"/>
            <w:vAlign w:val="bottom"/>
            <w:gridSpan w:val="4"/>
          </w:tcPr>
          <w:p>
            <w:pPr>
              <w:ind w:left="520"/>
              <w:spacing w:after="0" w:line="243" w:lineRule="exact"/>
              <w:rPr>
                <w:sz w:val="20"/>
                <w:szCs w:val="20"/>
                <w:color w:val="auto"/>
              </w:rPr>
            </w:pPr>
            <w:r>
              <w:rPr>
                <w:rFonts w:ascii="Arial" w:cs="Arial" w:eastAsia="Arial" w:hAnsi="Arial"/>
                <w:sz w:val="22"/>
                <w:szCs w:val="22"/>
                <w:color w:val="auto"/>
              </w:rPr>
              <w:t>Chief Financial Officer and Chief Accounting</w:t>
            </w:r>
          </w:p>
        </w:tc>
      </w:tr>
      <w:tr>
        <w:trPr>
          <w:trHeight w:val="275"/>
        </w:trPr>
        <w:tc>
          <w:tcPr>
            <w:tcW w:w="360" w:type="dxa"/>
            <w:vAlign w:val="bottom"/>
          </w:tcPr>
          <w:p>
            <w:pPr>
              <w:spacing w:after="0"/>
              <w:rPr>
                <w:sz w:val="23"/>
                <w:szCs w:val="23"/>
                <w:color w:val="auto"/>
              </w:rPr>
            </w:pPr>
          </w:p>
        </w:tc>
        <w:tc>
          <w:tcPr>
            <w:tcW w:w="4900" w:type="dxa"/>
            <w:vAlign w:val="bottom"/>
            <w:gridSpan w:val="4"/>
          </w:tcPr>
          <w:p>
            <w:pPr>
              <w:ind w:left="520"/>
              <w:spacing w:after="0"/>
              <w:rPr>
                <w:sz w:val="20"/>
                <w:szCs w:val="20"/>
                <w:color w:val="auto"/>
              </w:rPr>
            </w:pPr>
            <w:r>
              <w:rPr>
                <w:rFonts w:ascii="Arial" w:cs="Arial" w:eastAsia="Arial" w:hAnsi="Arial"/>
                <w:sz w:val="22"/>
                <w:szCs w:val="22"/>
                <w:color w:val="auto"/>
              </w:rPr>
              <w:t>Officer</w:t>
            </w:r>
          </w:p>
        </w:tc>
      </w:tr>
      <w:tr>
        <w:trPr>
          <w:trHeight w:val="729"/>
        </w:trPr>
        <w:tc>
          <w:tcPr>
            <w:tcW w:w="5260" w:type="dxa"/>
            <w:vAlign w:val="bottom"/>
            <w:gridSpan w:val="5"/>
          </w:tcPr>
          <w:p>
            <w:pPr>
              <w:spacing w:after="0"/>
              <w:rPr>
                <w:sz w:val="20"/>
                <w:szCs w:val="20"/>
                <w:color w:val="auto"/>
              </w:rPr>
            </w:pPr>
            <w:r>
              <w:rPr>
                <w:rFonts w:ascii="Arial" w:cs="Arial" w:eastAsia="Arial" w:hAnsi="Arial"/>
                <w:sz w:val="22"/>
                <w:szCs w:val="22"/>
                <w:b w:val="1"/>
                <w:bCs w:val="1"/>
                <w:color w:val="auto"/>
              </w:rPr>
              <w:t>COMPX INTERNATIONAL INC.</w:t>
            </w:r>
          </w:p>
        </w:tc>
      </w:tr>
      <w:tr>
        <w:trPr>
          <w:trHeight w:val="436"/>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600" w:type="dxa"/>
            <w:vAlign w:val="bottom"/>
          </w:tcPr>
          <w:p>
            <w:pPr>
              <w:spacing w:after="0"/>
              <w:rPr>
                <w:sz w:val="24"/>
                <w:szCs w:val="24"/>
                <w:color w:val="auto"/>
              </w:rPr>
            </w:pPr>
          </w:p>
        </w:tc>
        <w:tc>
          <w:tcPr>
            <w:tcW w:w="320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Kelly D. Luttmer</w:t>
            </w:r>
          </w:p>
        </w:tc>
        <w:tc>
          <w:tcPr>
            <w:tcW w:w="1100" w:type="dxa"/>
            <w:vAlign w:val="bottom"/>
            <w:gridSpan w:val="2"/>
          </w:tcPr>
          <w:p>
            <w:pPr>
              <w:spacing w:after="0"/>
              <w:rPr>
                <w:sz w:val="24"/>
                <w:szCs w:val="24"/>
                <w:color w:val="auto"/>
              </w:rPr>
            </w:pPr>
          </w:p>
        </w:tc>
      </w:tr>
      <w:tr>
        <w:trPr>
          <w:trHeight w:val="260"/>
        </w:trPr>
        <w:tc>
          <w:tcPr>
            <w:tcW w:w="360" w:type="dxa"/>
            <w:vAlign w:val="bottom"/>
          </w:tcPr>
          <w:p>
            <w:pPr>
              <w:spacing w:after="0"/>
              <w:rPr>
                <w:sz w:val="22"/>
                <w:szCs w:val="22"/>
                <w:color w:val="auto"/>
              </w:rPr>
            </w:pPr>
          </w:p>
        </w:tc>
        <w:tc>
          <w:tcPr>
            <w:tcW w:w="4900" w:type="dxa"/>
            <w:vAlign w:val="bottom"/>
            <w:gridSpan w:val="4"/>
          </w:tcPr>
          <w:p>
            <w:pPr>
              <w:ind w:left="40"/>
              <w:spacing w:after="0"/>
              <w:rPr>
                <w:sz w:val="20"/>
                <w:szCs w:val="20"/>
                <w:color w:val="auto"/>
              </w:rPr>
            </w:pPr>
            <w:r>
              <w:rPr>
                <w:rFonts w:ascii="Arial" w:cs="Arial" w:eastAsia="Arial" w:hAnsi="Arial"/>
                <w:sz w:val="22"/>
                <w:szCs w:val="22"/>
                <w:color w:val="auto"/>
              </w:rPr>
              <w:t>Kelly D. Luttmer</w:t>
            </w:r>
          </w:p>
        </w:tc>
      </w:tr>
    </w:tbl>
    <w:p>
      <w:pPr>
        <w:ind w:left="7040"/>
        <w:spacing w:after="0" w:line="230"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Chief Tax Officer</w:t>
      </w:r>
    </w:p>
    <w:p>
      <w:pPr>
        <w:sectPr>
          <w:pgSz w:w="11900" w:h="16838" w:orient="portrait"/>
          <w:cols w:equalWidth="0" w:num="1">
            <w:col w:w="11420"/>
          </w:cols>
          <w:pgMar w:left="240" w:top="11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UNSECURED REVOLVING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DEMAND PROMISSORY NOTE</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$40,000,000.00</w:t>
      </w:r>
      <w:r>
        <w:rPr>
          <w:sz w:val="20"/>
          <w:szCs w:val="20"/>
          <w:color w:val="auto"/>
        </w:rPr>
        <w:tab/>
      </w:r>
      <w:r>
        <w:rPr>
          <w:rFonts w:ascii="Arial" w:cs="Arial" w:eastAsia="Arial" w:hAnsi="Arial"/>
          <w:sz w:val="16"/>
          <w:szCs w:val="16"/>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Promise to Pay</w:t>
      </w:r>
      <w:r>
        <w:rPr>
          <w:rFonts w:ascii="Arial" w:cs="Arial" w:eastAsia="Arial" w:hAnsi="Arial"/>
          <w:sz w:val="18"/>
          <w:szCs w:val="18"/>
          <w:color w:val="auto"/>
        </w:rPr>
        <w:t>. For and in consideration of value received, the undersigned, V</w:t>
      </w:r>
      <w:r>
        <w:rPr>
          <w:rFonts w:ascii="Arial" w:cs="Arial" w:eastAsia="Arial" w:hAnsi="Arial"/>
          <w:sz w:val="12"/>
          <w:szCs w:val="12"/>
          <w:color w:val="auto"/>
        </w:rPr>
        <w:t>ALHI</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a corporation duly organized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Delaware (“</w:t>
      </w:r>
      <w:r>
        <w:rPr>
          <w:rFonts w:ascii="Arial" w:cs="Arial" w:eastAsia="Arial" w:hAnsi="Arial"/>
          <w:sz w:val="18"/>
          <w:szCs w:val="18"/>
          <w:i w:val="1"/>
          <w:iCs w:val="1"/>
          <w:color w:val="auto"/>
        </w:rPr>
        <w:t>Borrower</w:t>
      </w:r>
      <w:r>
        <w:rPr>
          <w:rFonts w:ascii="Arial" w:cs="Arial" w:eastAsia="Arial" w:hAnsi="Arial"/>
          <w:sz w:val="18"/>
          <w:szCs w:val="18"/>
          <w:color w:val="auto"/>
        </w:rPr>
        <w:t>”), promises to pay, in lawful money of the United States of America, to the order of COMPX INTERNATIONAL INC., a corporation duly organized under the laws of the state of Delaware (“</w:t>
      </w:r>
      <w:r>
        <w:rPr>
          <w:rFonts w:ascii="Arial" w:cs="Arial" w:eastAsia="Arial" w:hAnsi="Arial"/>
          <w:sz w:val="18"/>
          <w:szCs w:val="18"/>
          <w:i w:val="1"/>
          <w:iCs w:val="1"/>
          <w:color w:val="auto"/>
        </w:rPr>
        <w:t>CompX</w:t>
      </w:r>
      <w:r>
        <w:rPr>
          <w:rFonts w:ascii="Arial" w:cs="Arial" w:eastAsia="Arial" w:hAnsi="Arial"/>
          <w:sz w:val="18"/>
          <w:szCs w:val="18"/>
          <w:color w:val="auto"/>
        </w:rPr>
        <w:t>”), or the holder hereof (as applicable, CompX or such holder shall be referred to as the “</w:t>
      </w:r>
      <w:r>
        <w:rPr>
          <w:rFonts w:ascii="Arial" w:cs="Arial" w:eastAsia="Arial" w:hAnsi="Arial"/>
          <w:sz w:val="18"/>
          <w:szCs w:val="18"/>
          <w:i w:val="1"/>
          <w:iCs w:val="1"/>
          <w:color w:val="auto"/>
        </w:rPr>
        <w:t>Noteholder</w:t>
      </w:r>
      <w:r>
        <w:rPr>
          <w:rFonts w:ascii="Arial" w:cs="Arial" w:eastAsia="Arial" w:hAnsi="Arial"/>
          <w:sz w:val="18"/>
          <w:szCs w:val="18"/>
          <w:color w:val="auto"/>
        </w:rPr>
        <w:t>”), the principal sum of FORTY MILLION and NO/100ths United States Dollars ($40,000,000.00)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Arial" w:cs="Arial" w:eastAsia="Arial" w:hAnsi="Arial"/>
          <w:sz w:val="18"/>
          <w:szCs w:val="18"/>
          <w:i w:val="1"/>
          <w:iCs w:val="1"/>
          <w:color w:val="auto"/>
        </w:rPr>
        <w:t>Note</w:t>
      </w:r>
      <w:r>
        <w:rPr>
          <w:rFonts w:ascii="Arial" w:cs="Arial" w:eastAsia="Arial" w:hAnsi="Arial"/>
          <w:sz w:val="18"/>
          <w:szCs w:val="18"/>
          <w:color w:val="auto"/>
        </w:rPr>
        <w:t xml:space="preserve">”). This Note shall be unsecured and will bear interest on the terms set forth in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below. Capitalized terms not otherwise defined shall have the meanings given to such terms in </w:t>
      </w:r>
      <w:r>
        <w:rPr>
          <w:rFonts w:ascii="Arial" w:cs="Arial" w:eastAsia="Arial" w:hAnsi="Arial"/>
          <w:sz w:val="18"/>
          <w:szCs w:val="18"/>
          <w:b w:val="1"/>
          <w:bCs w:val="1"/>
          <w:color w:val="auto"/>
        </w:rPr>
        <w:t>Section 18</w:t>
      </w:r>
      <w:r>
        <w:rPr>
          <w:rFonts w:ascii="Arial" w:cs="Arial" w:eastAsia="Arial" w:hAnsi="Arial"/>
          <w:sz w:val="18"/>
          <w:szCs w:val="18"/>
          <w:color w:val="auto"/>
        </w:rPr>
        <w:t xml:space="preserve"> of this Note.</w:t>
      </w:r>
    </w:p>
    <w:p>
      <w:pPr>
        <w:spacing w:after="0" w:line="176" w:lineRule="exact"/>
        <w:rPr>
          <w:sz w:val="20"/>
          <w:szCs w:val="20"/>
          <w:color w:val="auto"/>
        </w:rPr>
      </w:pPr>
    </w:p>
    <w:p>
      <w:pPr>
        <w:jc w:val="both"/>
        <w:ind w:firstLine="877"/>
        <w:spacing w:after="0" w:line="290" w:lineRule="auto"/>
        <w:rPr>
          <w:sz w:val="20"/>
          <w:szCs w:val="20"/>
          <w:color w:val="auto"/>
        </w:rPr>
      </w:pPr>
      <w:r>
        <w:rPr>
          <w:rFonts w:ascii="Arial" w:cs="Arial" w:eastAsia="Arial" w:hAnsi="Arial"/>
          <w:sz w:val="16"/>
          <w:szCs w:val="16"/>
          <w:b w:val="1"/>
          <w:bCs w:val="1"/>
          <w:color w:val="auto"/>
        </w:rPr>
        <w:t xml:space="preserve">Section </w:t>
      </w:r>
      <w:r>
        <w:rPr>
          <w:rFonts w:ascii="Arial" w:cs="Arial" w:eastAsia="Arial" w:hAnsi="Arial"/>
          <w:sz w:val="19"/>
          <w:szCs w:val="19"/>
          <w:b w:val="1"/>
          <w:bCs w:val="1"/>
          <w:color w:val="auto"/>
        </w:rPr>
        <w:t>2.</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Amendment and Restatement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renews, replaces, amends and restates in its entirety the Unsecured Revolving Demand</w:t>
      </w:r>
      <w:r>
        <w:rPr>
          <w:rFonts w:ascii="Arial" w:cs="Arial" w:eastAsia="Arial" w:hAnsi="Arial"/>
          <w:sz w:val="16"/>
          <w:szCs w:val="16"/>
          <w:b w:val="1"/>
          <w:bCs w:val="1"/>
          <w:color w:val="auto"/>
        </w:rPr>
        <w:t xml:space="preserve"> </w:t>
      </w:r>
      <w:r>
        <w:rPr>
          <w:rFonts w:ascii="Arial" w:cs="Arial" w:eastAsia="Arial" w:hAnsi="Arial"/>
          <w:sz w:val="16"/>
          <w:szCs w:val="16"/>
          <w:color w:val="auto"/>
        </w:rPr>
        <w:t>Promissory Note dated December 31, 2018 in the original principal amount of $40,000,000.00 payable to the order of the Noteholder and executed by the Borrower (the “</w:t>
      </w:r>
      <w:r>
        <w:rPr>
          <w:rFonts w:ascii="Arial" w:cs="Arial" w:eastAsia="Arial" w:hAnsi="Arial"/>
          <w:sz w:val="16"/>
          <w:szCs w:val="16"/>
          <w:i w:val="1"/>
          <w:iCs w:val="1"/>
          <w:color w:val="auto"/>
        </w:rPr>
        <w:t>Prior Note”</w:t>
      </w:r>
      <w:r>
        <w:rPr>
          <w:rFonts w:ascii="Arial" w:cs="Arial" w:eastAsia="Arial" w:hAnsi="Arial"/>
          <w:sz w:val="16"/>
          <w:szCs w:val="16"/>
          <w:color w:val="auto"/>
        </w:rPr>
        <w:t>). As of the close of business on December 31, 2019, the unpaid principal balance of the Prior Note was $33,800,000.00,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Arial" w:cs="Arial" w:eastAsia="Arial" w:hAnsi="Arial"/>
          <w:sz w:val="19"/>
          <w:szCs w:val="19"/>
          <w:color w:val="auto"/>
        </w:rPr>
        <w:t>.</w:t>
      </w:r>
    </w:p>
    <w:p>
      <w:pPr>
        <w:spacing w:after="0" w:line="143" w:lineRule="exact"/>
        <w:rPr>
          <w:sz w:val="20"/>
          <w:szCs w:val="20"/>
          <w:color w:val="auto"/>
        </w:rPr>
      </w:pPr>
    </w:p>
    <w:p>
      <w:pPr>
        <w:jc w:val="both"/>
        <w:ind w:right="20" w:firstLine="877"/>
        <w:spacing w:after="0" w:line="284" w:lineRule="auto"/>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21"/>
          <w:szCs w:val="21"/>
          <w:b w:val="1"/>
          <w:bCs w:val="1"/>
          <w:color w:val="auto"/>
        </w:rPr>
        <w:t>3.</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Place of Payment</w:t>
      </w:r>
      <w:r>
        <w:rPr>
          <w:rFonts w:ascii="Arial" w:cs="Arial" w:eastAsia="Arial" w:hAnsi="Arial"/>
          <w:sz w:val="18"/>
          <w:szCs w:val="18"/>
          <w:color w:val="auto"/>
        </w:rPr>
        <w:t>. All payments will be made at Noteholder’s address at Three Lincoln Centre, 5430 LBJ Freeway, Suite 1700,</w:t>
      </w:r>
      <w:r>
        <w:rPr>
          <w:rFonts w:ascii="Arial" w:cs="Arial" w:eastAsia="Arial" w:hAnsi="Arial"/>
          <w:sz w:val="18"/>
          <w:szCs w:val="18"/>
          <w:b w:val="1"/>
          <w:bCs w:val="1"/>
          <w:color w:val="auto"/>
        </w:rPr>
        <w:t xml:space="preserve"> </w:t>
      </w:r>
      <w:r>
        <w:rPr>
          <w:rFonts w:ascii="Arial" w:cs="Arial" w:eastAsia="Arial" w:hAnsi="Arial"/>
          <w:sz w:val="18"/>
          <w:szCs w:val="18"/>
          <w:color w:val="auto"/>
        </w:rPr>
        <w:t>Dallas, Texas 75240-2620, Attention: Treasurer, or such other place as the Noteholder may from time to time appoint in writing.</w:t>
      </w:r>
    </w:p>
    <w:p>
      <w:pPr>
        <w:spacing w:after="0" w:line="154"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Payments</w:t>
      </w:r>
      <w:r>
        <w:rPr>
          <w:rFonts w:ascii="Arial" w:cs="Arial" w:eastAsia="Arial" w:hAnsi="Arial"/>
          <w:sz w:val="18"/>
          <w:szCs w:val="18"/>
          <w:color w:val="auto"/>
        </w:rPr>
        <w:t>. The unpaid principal balance of this Note and any accrued and unpaid interest thereon shall be due and 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Final Payment Date. Prior to the Final Payment Date, any accrued and unpaid interest on an unpaid principal balance shall be paid in arrears quarterly on the last day of each March, June, September and December, commencing March 31, 2020.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Prepayments</w:t>
      </w:r>
      <w:r>
        <w:rPr>
          <w:rFonts w:ascii="Arial" w:cs="Arial" w:eastAsia="Arial" w:hAnsi="Arial"/>
          <w:sz w:val="18"/>
          <w:szCs w:val="18"/>
          <w:color w:val="auto"/>
        </w:rPr>
        <w:t>. This Note may be prepaid in part or in full at any time without penalty.</w:t>
      </w:r>
    </w:p>
    <w:p>
      <w:pPr>
        <w:spacing w:after="0" w:line="225"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Borrowings</w:t>
      </w:r>
      <w:r>
        <w:rPr>
          <w:rFonts w:ascii="Arial" w:cs="Arial" w:eastAsia="Arial" w:hAnsi="Arial"/>
          <w:sz w:val="18"/>
          <w:szCs w:val="18"/>
          <w:color w:val="auto"/>
        </w:rPr>
        <w:t>. Prior to the Final Payment Date, Noteholder expressly authorizes Borrower to borrow, repay and re-borrow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Note in increments of $100,000 on a daily basis so long as:</w:t>
      </w:r>
    </w:p>
    <w:p>
      <w:pPr>
        <w:spacing w:after="0" w:line="143" w:lineRule="exact"/>
        <w:rPr>
          <w:sz w:val="20"/>
          <w:szCs w:val="20"/>
          <w:color w:val="auto"/>
        </w:rPr>
      </w:pPr>
    </w:p>
    <w:p>
      <w:pPr>
        <w:ind w:left="1740" w:hanging="868"/>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aggregate outstanding principal balance does not exceed $40,000,000.00; and</w:t>
      </w:r>
    </w:p>
    <w:p>
      <w:pPr>
        <w:spacing w:after="0" w:line="28" w:lineRule="exact"/>
        <w:rPr>
          <w:rFonts w:ascii="Arial" w:cs="Arial" w:eastAsia="Arial" w:hAnsi="Arial"/>
          <w:sz w:val="22"/>
          <w:szCs w:val="22"/>
          <w:color w:val="auto"/>
        </w:rPr>
      </w:pPr>
    </w:p>
    <w:p>
      <w:pPr>
        <w:ind w:left="1740" w:hanging="868"/>
        <w:spacing w:after="0" w:line="203" w:lineRule="auto"/>
        <w:tabs>
          <w:tab w:leader="none" w:pos="1740" w:val="left"/>
        </w:tabs>
        <w:numPr>
          <w:ilvl w:val="0"/>
          <w:numId w:val="26"/>
        </w:numPr>
        <w:rPr>
          <w:rFonts w:ascii="Arial" w:cs="Arial" w:eastAsia="Arial" w:hAnsi="Arial"/>
          <w:sz w:val="22"/>
          <w:szCs w:val="22"/>
          <w:color w:val="auto"/>
        </w:rPr>
      </w:pPr>
      <w:r>
        <w:rPr>
          <w:rFonts w:ascii="Arial" w:cs="Arial" w:eastAsia="Arial" w:hAnsi="Arial"/>
          <w:sz w:val="18"/>
          <w:szCs w:val="18"/>
          <w:color w:val="auto"/>
        </w:rPr>
        <w:t>no Event of Default has occurred and is continuing.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6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i w:val="1"/>
          <w:iCs w:val="1"/>
          <w:color w:val="auto"/>
        </w:rPr>
        <w:t>Interest</w:t>
      </w:r>
      <w:r>
        <w:rPr>
          <w:rFonts w:ascii="Arial" w:cs="Arial" w:eastAsia="Arial" w:hAnsi="Arial"/>
          <w:sz w:val="17"/>
          <w:szCs w:val="17"/>
          <w:color w:val="auto"/>
        </w:rPr>
        <w:t>. The unpaid principal balance of this Note shall bear interest at the rate per annum of the Prime Rate plus one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6"/>
          <w:szCs w:val="16"/>
          <w:color w:val="auto"/>
        </w:rPr>
        <w:t>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7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Section 7. Fees and Expenses</w:t>
      </w:r>
      <w:r>
        <w:rPr>
          <w:rFonts w:ascii="Arial" w:cs="Arial" w:eastAsia="Arial" w:hAnsi="Arial"/>
          <w:sz w:val="18"/>
          <w:szCs w:val="18"/>
          <w:color w:val="auto"/>
        </w:rPr>
        <w:t>. On the last day of each March, June, September and December, commencing March 31, 2020, and on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Date, Borrower shall pay to Noteholder the Unused Commitment Fee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88"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Remedy</w:t>
      </w:r>
      <w:r>
        <w:rPr>
          <w:rFonts w:ascii="Arial" w:cs="Arial" w:eastAsia="Arial" w:hAnsi="Arial"/>
          <w:sz w:val="18"/>
          <w:szCs w:val="18"/>
          <w:color w:val="auto"/>
        </w:rPr>
        <w:t>. Upon the occurrence and during the continuation of an Event of Default, the Noteholder shall have all of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88"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Right of Offset</w:t>
      </w:r>
      <w:r>
        <w:rPr>
          <w:rFonts w:ascii="Arial" w:cs="Arial" w:eastAsia="Arial" w:hAnsi="Arial"/>
          <w:sz w:val="18"/>
          <w:szCs w:val="18"/>
          <w:color w:val="auto"/>
        </w:rPr>
        <w:t>. The Noteholder shall have the right of offset against amounts that may be due by the Noteholder now or in the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Borrower against amounts due under this Note.</w:t>
      </w:r>
    </w:p>
    <w:p>
      <w:pPr>
        <w:spacing w:after="0" w:line="16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i w:val="1"/>
          <w:iCs w:val="1"/>
          <w:color w:val="auto"/>
        </w:rPr>
        <w:t>Record of Outstanding Indebtedness</w:t>
      </w:r>
      <w:r>
        <w:rPr>
          <w:rFonts w:ascii="Arial" w:cs="Arial" w:eastAsia="Arial" w:hAnsi="Arial"/>
          <w:sz w:val="17"/>
          <w:szCs w:val="17"/>
          <w:color w:val="auto"/>
        </w:rPr>
        <w:t>. The date and amount of each repayment of principal outstanding under this Note or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failure of Noteholder to so record or any error in so recording or computing any such amount owed shall not limit or otherwise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of the Borrower under this Note to repay the principal balance outstanding and all accrued or accruing interest.</w:t>
      </w:r>
    </w:p>
    <w:p>
      <w:pPr>
        <w:spacing w:after="0" w:line="16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Borrower and each surety, endorser, guarantor, and other party now or subsequently liable for payment of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184"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Costs and Attorneys’ Fees</w:t>
      </w:r>
      <w:r>
        <w:rPr>
          <w:rFonts w:ascii="Arial" w:cs="Arial" w:eastAsia="Arial" w:hAnsi="Arial"/>
          <w:sz w:val="18"/>
          <w:szCs w:val="18"/>
          <w:color w:val="auto"/>
        </w:rPr>
        <w:t>. In addition to any other amounts payable to Noteholder pursuant to the terms of this Note,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Noteholder incurs costs in collecting on this Note, this Note is placed in the hands of any attorney for collection, suit is filed on this Note or if proceedings are had in bankruptcy, receivership,</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Time of Essence</w:t>
      </w:r>
      <w:r>
        <w:rPr>
          <w:rFonts w:ascii="Arial" w:cs="Arial" w:eastAsia="Arial" w:hAnsi="Arial"/>
          <w:sz w:val="18"/>
          <w:szCs w:val="18"/>
          <w:color w:val="auto"/>
        </w:rPr>
        <w:t>. Time is of the essence with respect to all of Borrower’s obligations and agreements under this Note.</w:t>
      </w:r>
    </w:p>
    <w:p>
      <w:pPr>
        <w:spacing w:after="0" w:line="225"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Jurisdiction and Venue</w:t>
      </w:r>
      <w:r>
        <w:rPr>
          <w:rFonts w:ascii="Arial" w:cs="Arial" w:eastAsia="Arial" w:hAnsi="Arial"/>
          <w:sz w:val="18"/>
          <w:szCs w:val="18"/>
          <w:color w:val="auto"/>
        </w:rPr>
        <w:t>. THIS NOTE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84"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Any notice or demand required by this Note shall be deemed to have been given and received on the earlier of</w:t>
      </w:r>
      <w:r>
        <w:rPr>
          <w:rFonts w:ascii="Arial" w:cs="Arial" w:eastAsia="Arial" w:hAnsi="Arial"/>
          <w:sz w:val="17"/>
          <w:szCs w:val="17"/>
          <w:b w:val="1"/>
          <w:bCs w:val="1"/>
          <w:color w:val="auto"/>
        </w:rPr>
        <w:t xml:space="preserve"> (i) </w:t>
      </w:r>
      <w:r>
        <w:rPr>
          <w:rFonts w:ascii="Arial" w:cs="Arial" w:eastAsia="Arial" w:hAnsi="Arial"/>
          <w:sz w:val="17"/>
          <w:szCs w:val="17"/>
          <w:color w:val="auto"/>
        </w:rPr>
        <w:t>when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or demand is actually received by the recipient or </w:t>
      </w:r>
      <w:r>
        <w:rPr>
          <w:rFonts w:ascii="Arial" w:cs="Arial" w:eastAsia="Arial" w:hAnsi="Arial"/>
          <w:sz w:val="17"/>
          <w:szCs w:val="17"/>
          <w:b w:val="1"/>
          <w:bCs w:val="1"/>
          <w:color w:val="auto"/>
        </w:rPr>
        <w:t>(ii)</w:t>
      </w:r>
      <w:r>
        <w:rPr>
          <w:rFonts w:ascii="Arial" w:cs="Arial" w:eastAsia="Arial" w:hAnsi="Arial"/>
          <w:sz w:val="17"/>
          <w:szCs w:val="17"/>
          <w:color w:val="auto"/>
        </w:rPr>
        <w:t xml:space="preserve"> 72 hours after the notice is deposited in the United States mail, certified or registered, with postage prepaid, and addressed to the recipient. The address for giving notice or demand under this Note </w:t>
      </w:r>
      <w:r>
        <w:rPr>
          <w:rFonts w:ascii="Arial" w:cs="Arial" w:eastAsia="Arial" w:hAnsi="Arial"/>
          <w:sz w:val="17"/>
          <w:szCs w:val="17"/>
          <w:b w:val="1"/>
          <w:bCs w:val="1"/>
          <w:color w:val="auto"/>
        </w:rPr>
        <w:t>(i)</w:t>
      </w:r>
      <w:r>
        <w:rPr>
          <w:rFonts w:ascii="Arial" w:cs="Arial" w:eastAsia="Arial" w:hAnsi="Arial"/>
          <w:sz w:val="17"/>
          <w:szCs w:val="17"/>
          <w:color w:val="auto"/>
        </w:rPr>
        <w:t xml:space="preserve"> to the Noteholder shall be the place of payment specified in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or such other place as the Noteholder may specify in writing to the Borrower and </w:t>
      </w:r>
      <w:r>
        <w:rPr>
          <w:rFonts w:ascii="Arial" w:cs="Arial" w:eastAsia="Arial" w:hAnsi="Arial"/>
          <w:sz w:val="17"/>
          <w:szCs w:val="17"/>
          <w:b w:val="1"/>
          <w:bCs w:val="1"/>
          <w:color w:val="auto"/>
        </w:rPr>
        <w:t>(ii)</w:t>
      </w:r>
      <w:r>
        <w:rPr>
          <w:rFonts w:ascii="Arial" w:cs="Arial" w:eastAsia="Arial" w:hAnsi="Arial"/>
          <w:sz w:val="17"/>
          <w:szCs w:val="17"/>
          <w:color w:val="auto"/>
        </w:rPr>
        <w:t xml:space="preserve"> to Borrower shall be the address below the Borrower’s signature or such other place as the Borrower may specify in writing to the Noteholder.</w:t>
      </w:r>
    </w:p>
    <w:p>
      <w:pPr>
        <w:spacing w:after="0" w:line="168" w:lineRule="exact"/>
        <w:rPr>
          <w:sz w:val="20"/>
          <w:szCs w:val="20"/>
          <w:color w:val="auto"/>
        </w:rPr>
      </w:pPr>
    </w:p>
    <w:p>
      <w:pPr>
        <w:jc w:val="both"/>
        <w:ind w:firstLine="877"/>
        <w:spacing w:after="0" w:line="281"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i w:val="1"/>
          <w:iCs w:val="1"/>
          <w:color w:val="auto"/>
        </w:rPr>
        <w:t>Amendment or Waiver of Provisions of this Note</w:t>
      </w:r>
      <w:r>
        <w:rPr>
          <w:rFonts w:ascii="Arial" w:cs="Arial" w:eastAsia="Arial" w:hAnsi="Arial"/>
          <w:sz w:val="17"/>
          <w:szCs w:val="17"/>
          <w:color w:val="auto"/>
        </w:rPr>
        <w:t>. No amendment or waiver of any provision of this Note shall in any event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65"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i w:val="1"/>
          <w:iCs w:val="1"/>
          <w:color w:val="auto"/>
        </w:rPr>
        <w:t>Successors and Assigns</w:t>
      </w:r>
      <w:r>
        <w:rPr>
          <w:rFonts w:ascii="Arial" w:cs="Arial" w:eastAsia="Arial" w:hAnsi="Arial"/>
          <w:sz w:val="16"/>
          <w:szCs w:val="16"/>
          <w:color w:val="auto"/>
        </w:rPr>
        <w:t>. All of the covenants, obligations, promises and agreements contained in this Note made by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Note, the following terms shall have the following meanings: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Basis Point</w:t>
      </w:r>
      <w:r>
        <w:rPr>
          <w:rFonts w:ascii="Arial" w:cs="Arial" w:eastAsia="Arial" w:hAnsi="Arial"/>
          <w:sz w:val="16"/>
          <w:szCs w:val="16"/>
          <w:color w:val="auto"/>
        </w:rPr>
        <w:t>” shall mean 1/100</w:t>
      </w:r>
      <w:r>
        <w:rPr>
          <w:rFonts w:ascii="Arial" w:cs="Arial" w:eastAsia="Arial" w:hAnsi="Arial"/>
          <w:sz w:val="13"/>
          <w:szCs w:val="13"/>
          <w:color w:val="auto"/>
        </w:rPr>
        <w:t>th</w:t>
      </w:r>
      <w:r>
        <w:rPr>
          <w:rFonts w:ascii="Arial" w:cs="Arial" w:eastAsia="Arial" w:hAnsi="Arial"/>
          <w:sz w:val="16"/>
          <w:szCs w:val="16"/>
          <w:color w:val="auto"/>
        </w:rPr>
        <w:t xml:space="preserve"> of 1 percent.</w:t>
      </w:r>
    </w:p>
    <w:p>
      <w:pPr>
        <w:spacing w:after="0" w:line="200"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spacing w:after="0" w:line="4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shall mean any day banks are open in the state of Texas.</w:t>
      </w:r>
    </w:p>
    <w:p>
      <w:pPr>
        <w:spacing w:after="0" w:line="218"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spacing w:after="0" w:line="37" w:lineRule="exact"/>
        <w:rPr>
          <w:sz w:val="20"/>
          <w:szCs w:val="20"/>
          <w:color w:val="auto"/>
        </w:rPr>
      </w:pPr>
    </w:p>
    <w:p>
      <w:pPr>
        <w:ind w:left="880" w:hanging="797"/>
        <w:spacing w:after="0" w:line="277" w:lineRule="auto"/>
        <w:tabs>
          <w:tab w:leader="none" w:pos="8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Contract Rate</w:t>
      </w:r>
      <w:r>
        <w:rPr>
          <w:rFonts w:ascii="Arial" w:cs="Arial" w:eastAsia="Arial" w:hAnsi="Arial"/>
          <w:sz w:val="18"/>
          <w:szCs w:val="18"/>
          <w:color w:val="auto"/>
        </w:rPr>
        <w:t>” means the amount of any interest (including fees, charges or expenses or any other amounts that, under applicable law, are deemed interest) contracted for, charged or received by or for the account of Noteholder.</w:t>
      </w:r>
    </w:p>
    <w:p>
      <w:pPr>
        <w:sectPr>
          <w:pgSz w:w="11900" w:h="16838" w:orient="portrait"/>
          <w:cols w:equalWidth="0" w:num="1">
            <w:col w:w="11420"/>
          </w:cols>
          <w:pgMar w:left="240" w:top="341" w:right="239" w:bottom="1440" w:gutter="0" w:footer="0" w:header="0"/>
          <w:type w:val="continuous"/>
        </w:sectPr>
      </w:pPr>
    </w:p>
    <w:p>
      <w:pPr>
        <w:spacing w:after="0" w:line="17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wherever used herein, means any one of the following events:</w:t>
      </w:r>
    </w:p>
    <w:p>
      <w:pPr>
        <w:spacing w:after="0" w:line="207" w:lineRule="exact"/>
        <w:rPr>
          <w:sz w:val="20"/>
          <w:szCs w:val="20"/>
          <w:color w:val="auto"/>
        </w:rPr>
      </w:pPr>
    </w:p>
    <w:p>
      <w:pPr>
        <w:sectPr>
          <w:pgSz w:w="11900" w:h="16838" w:orient="portrait"/>
          <w:cols w:equalWidth="0" w:num="2">
            <w:col w:w="960" w:space="720"/>
            <w:col w:w="9740"/>
          </w:cols>
          <w:pgMar w:left="240" w:top="341" w:right="239" w:bottom="1440" w:gutter="0" w:footer="0" w:header="0"/>
          <w:type w:val="continuous"/>
        </w:sectPr>
      </w:pPr>
    </w:p>
    <w:p>
      <w:pPr>
        <w:spacing w:after="0" w:line="3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firstLine="744"/>
        <w:spacing w:after="0" w:line="308" w:lineRule="auto"/>
        <w:rPr>
          <w:sz w:val="20"/>
          <w:szCs w:val="20"/>
          <w:color w:val="auto"/>
        </w:rPr>
      </w:pPr>
      <w:r>
        <w:rPr>
          <w:rFonts w:ascii="Arial" w:cs="Arial" w:eastAsia="Arial" w:hAnsi="Arial"/>
          <w:sz w:val="17"/>
          <w:szCs w:val="17"/>
          <w:color w:val="auto"/>
        </w:rPr>
        <w:t>the Borrower fails to pay any amount due on this Note and/or any fees or sums due under or in connection with this Note after any such payment otherwise becomes due and payable and three Business Days after demand for such payment;</w:t>
      </w:r>
    </w:p>
    <w:p>
      <w:pPr>
        <w:spacing w:after="0" w:line="143" w:lineRule="exact"/>
        <w:rPr>
          <w:sz w:val="20"/>
          <w:szCs w:val="20"/>
          <w:color w:val="auto"/>
        </w:rPr>
      </w:pPr>
    </w:p>
    <w:p>
      <w:pPr>
        <w:sectPr>
          <w:pgSz w:w="11900" w:h="16838" w:orient="portrait"/>
          <w:cols w:equalWidth="0" w:num="2">
            <w:col w:w="1100" w:space="640"/>
            <w:col w:w="9680"/>
          </w:cols>
          <w:pgMar w:left="240" w:top="341" w:right="239" w:bottom="1440" w:gutter="0" w:footer="0" w:header="0"/>
          <w:type w:val="continuous"/>
        </w:sectPr>
      </w:pPr>
    </w:p>
    <w:p>
      <w:pPr>
        <w:ind w:left="1740" w:hanging="797"/>
        <w:spacing w:after="0" w:line="308" w:lineRule="auto"/>
        <w:tabs>
          <w:tab w:leader="none" w:pos="17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color w:val="auto"/>
        </w:rPr>
        <w:t>the Borrower otherwise fails to perform or observe any other provision contained in this Note and such breach or failure to perform shall continue for a period of thirty days after notice thereof shall have been given to the Borrower by the Noteholder;</w:t>
      </w:r>
    </w:p>
    <w:p>
      <w:pPr>
        <w:sectPr>
          <w:pgSz w:w="11900" w:h="16838" w:orient="portrait"/>
          <w:cols w:equalWidth="0" w:num="1">
            <w:col w:w="11420"/>
          </w:cols>
          <w:pgMar w:left="240" w:top="341" w:right="239" w:bottom="1440" w:gutter="0" w:footer="0" w:header="0"/>
          <w:type w:val="continuous"/>
        </w:sectPr>
      </w:pPr>
    </w:p>
    <w:p>
      <w:pPr>
        <w:spacing w:after="0" w:line="151" w:lineRule="exact"/>
        <w:rPr>
          <w:sz w:val="20"/>
          <w:szCs w:val="20"/>
          <w:color w:val="auto"/>
        </w:rPr>
      </w:pPr>
    </w:p>
    <w:p>
      <w:pPr>
        <w:jc w:val="both"/>
        <w:ind w:left="1740" w:hanging="801"/>
        <w:spacing w:after="0" w:line="264" w:lineRule="auto"/>
        <w:tabs>
          <w:tab w:leader="none" w:pos="2484"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 case shall be commenced against Borrower, or Borrower shall file a petition commencing a case, under any provision of the Federal Bankruptcy Code of 1978, as amended, or shall seek relief under any provision of any other bankruptcy, reorganization, arrangement,</w:t>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6" w:name="page57"/>
    <w:bookmarkEnd w:id="56"/>
    <w:p>
      <w:pPr>
        <w:jc w:val="both"/>
        <w:ind w:left="1660" w:firstLine="744"/>
        <w:spacing w:after="0" w:line="259" w:lineRule="auto"/>
        <w:rPr>
          <w:sz w:val="20"/>
          <w:szCs w:val="20"/>
          <w:color w:val="auto"/>
        </w:rPr>
      </w:pPr>
      <w:r>
        <w:rPr>
          <w:rFonts w:ascii="Arial" w:cs="Arial" w:eastAsia="Arial" w:hAnsi="Arial"/>
          <w:sz w:val="18"/>
          <w:szCs w:val="18"/>
          <w:color w:val="auto"/>
        </w:rPr>
        <w:t>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87" w:lineRule="exact"/>
        <w:rPr>
          <w:sz w:val="20"/>
          <w:szCs w:val="20"/>
          <w:color w:val="auto"/>
        </w:rPr>
      </w:pPr>
    </w:p>
    <w:p>
      <w:pPr>
        <w:ind w:left="2400" w:hanging="1541"/>
        <w:spacing w:after="0"/>
        <w:tabs>
          <w:tab w:leader="none" w:pos="24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an event occurs that, with notice or lapse of time, or both, would become any of the foregoing Events of Default.</w:t>
      </w:r>
    </w:p>
    <w:p>
      <w:pPr>
        <w:spacing w:after="0" w:line="22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Final Payment Date</w:t>
      </w:r>
      <w:r>
        <w:rPr>
          <w:rFonts w:ascii="Arial" w:cs="Arial" w:eastAsia="Arial" w:hAnsi="Arial"/>
          <w:sz w:val="18"/>
          <w:szCs w:val="18"/>
          <w:color w:val="auto"/>
        </w:rPr>
        <w:t>” shall mean the earlier of:</w:t>
      </w:r>
    </w:p>
    <w:p>
      <w:pPr>
        <w:spacing w:after="0" w:line="229" w:lineRule="exact"/>
        <w:rPr>
          <w:sz w:val="20"/>
          <w:szCs w:val="20"/>
          <w:color w:val="auto"/>
        </w:rPr>
      </w:pPr>
    </w:p>
    <w:p>
      <w:pPr>
        <w:jc w:val="both"/>
        <w:ind w:left="3420" w:hanging="858"/>
        <w:spacing w:after="0" w:line="238" w:lineRule="auto"/>
        <w:tabs>
          <w:tab w:leader="none" w:pos="34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written demand by the Noteholder for payment of all or part of the unpaid principal, the accrued and unpaid interest thereon and the accrued and unpaid commitment fee thereon, but in any event no earlier than December 31, 2021; or</w:t>
      </w:r>
    </w:p>
    <w:p>
      <w:pPr>
        <w:spacing w:after="0" w:line="1" w:lineRule="exact"/>
        <w:rPr>
          <w:rFonts w:ascii="Arial" w:cs="Arial" w:eastAsia="Arial" w:hAnsi="Arial"/>
          <w:sz w:val="22"/>
          <w:szCs w:val="22"/>
          <w:color w:val="auto"/>
        </w:rPr>
      </w:pPr>
    </w:p>
    <w:p>
      <w:pPr>
        <w:ind w:left="3420" w:hanging="858"/>
        <w:spacing w:after="0" w:line="205" w:lineRule="auto"/>
        <w:tabs>
          <w:tab w:leader="none" w:pos="34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acceleration as provided herein.</w:t>
      </w:r>
    </w:p>
    <w:p>
      <w:pPr>
        <w:sectPr>
          <w:pgSz w:w="11900" w:h="16838" w:orient="portrait"/>
          <w:cols w:equalWidth="0" w:num="1">
            <w:col w:w="11340"/>
          </w:cols>
          <w:pgMar w:left="320" w:top="34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Maximum Rate</w:t>
      </w:r>
      <w:r>
        <w:rPr>
          <w:rFonts w:ascii="Arial" w:cs="Arial" w:eastAsia="Arial" w:hAnsi="Arial"/>
          <w:sz w:val="16"/>
          <w:szCs w:val="16"/>
          <w:color w:val="auto"/>
        </w:rPr>
        <w:t>” shall mean the highest lawful rate permissible under applicable law for the use, forbearance or detention of money.</w:t>
      </w:r>
    </w:p>
    <w:p>
      <w:pPr>
        <w:spacing w:after="0" w:line="218" w:lineRule="exact"/>
        <w:rPr>
          <w:sz w:val="20"/>
          <w:szCs w:val="20"/>
          <w:color w:val="auto"/>
        </w:rPr>
      </w:pPr>
    </w:p>
    <w:p>
      <w:pPr>
        <w:sectPr>
          <w:pgSz w:w="11900" w:h="16838" w:orient="portrait"/>
          <w:cols w:equalWidth="0" w:num="2">
            <w:col w:w="880" w:space="720"/>
            <w:col w:w="9740"/>
          </w:cols>
          <w:pgMar w:left="320" w:top="34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firstLine="81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shall mean the fluctuating interest rate per annum in effect from time to time equal to the base rate on corporate loans as reported as the Prime Rate in the Money Rates column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other reliable source.</w:t>
      </w:r>
    </w:p>
    <w:p>
      <w:pPr>
        <w:spacing w:after="0" w:line="166" w:lineRule="exact"/>
        <w:rPr>
          <w:sz w:val="20"/>
          <w:szCs w:val="20"/>
          <w:color w:val="auto"/>
        </w:rPr>
      </w:pPr>
    </w:p>
    <w:p>
      <w:pPr>
        <w:sectPr>
          <w:pgSz w:w="11900" w:h="16838" w:orient="portrait"/>
          <w:cols w:equalWidth="0" w:num="2">
            <w:col w:w="200" w:space="600"/>
            <w:col w:w="10540"/>
          </w:cols>
          <w:pgMar w:left="320" w:top="341" w:right="239" w:bottom="1440" w:gutter="0" w:footer="0" w:header="0"/>
          <w:type w:val="continuous"/>
        </w:sectPr>
      </w:pPr>
    </w:p>
    <w:p>
      <w:pPr>
        <w:ind w:left="800" w:hanging="797"/>
        <w:spacing w:after="0" w:line="277" w:lineRule="auto"/>
        <w:tabs>
          <w:tab w:leader="none" w:pos="78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Amount</w:t>
      </w:r>
      <w:r>
        <w:rPr>
          <w:rFonts w:ascii="Arial" w:cs="Arial" w:eastAsia="Arial" w:hAnsi="Arial"/>
          <w:sz w:val="18"/>
          <w:szCs w:val="18"/>
          <w:color w:val="auto"/>
        </w:rPr>
        <w:t>” for any period on after the date of this Note shall mean the average on each day of such period of the difference between (A) $40,000,000.00 and (B) the amount of the unpaid principal balance of this Note.</w:t>
      </w:r>
    </w:p>
    <w:p>
      <w:pPr>
        <w:spacing w:after="0" w:line="170" w:lineRule="exact"/>
        <w:rPr>
          <w:sz w:val="20"/>
          <w:szCs w:val="20"/>
          <w:color w:val="auto"/>
        </w:rPr>
      </w:pPr>
    </w:p>
    <w:p>
      <w:pPr>
        <w:ind w:left="800" w:hanging="797"/>
        <w:spacing w:after="0" w:line="277" w:lineRule="auto"/>
        <w:tabs>
          <w:tab w:leader="none" w:pos="78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Fee</w:t>
      </w:r>
      <w:r>
        <w:rPr>
          <w:rFonts w:ascii="Arial" w:cs="Arial" w:eastAsia="Arial" w:hAnsi="Arial"/>
          <w:sz w:val="18"/>
          <w:szCs w:val="18"/>
          <w:color w:val="auto"/>
        </w:rPr>
        <w:t>” shall mean the product of (A) 50 Basis Points per annum (pro rated to take into account that the fee is payable quarterly, or such shorter period if applicable) and (B) the Unused Commitment Amount.</w:t>
      </w:r>
    </w:p>
    <w:p>
      <w:pPr>
        <w:spacing w:after="0" w:line="17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ALHI</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ectPr>
          <w:pgSz w:w="11900" w:h="16838" w:orient="portrait"/>
          <w:cols w:equalWidth="0" w:num="1">
            <w:col w:w="11340"/>
          </w:cols>
          <w:pgMar w:left="32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gridSpan w:val="2"/>
          </w:tcPr>
          <w:p>
            <w:pPr>
              <w:spacing w:after="0"/>
              <w:rPr>
                <w:sz w:val="20"/>
                <w:szCs w:val="20"/>
                <w:color w:val="auto"/>
              </w:rPr>
            </w:pPr>
            <w:r>
              <w:rPr>
                <w:rFonts w:ascii="Arial" w:cs="Arial" w:eastAsia="Arial" w:hAnsi="Arial"/>
                <w:sz w:val="18"/>
                <w:szCs w:val="18"/>
                <w:color w:val="auto"/>
              </w:rPr>
              <w:t>/s/ James W. Brown</w:t>
            </w:r>
          </w:p>
        </w:tc>
      </w:tr>
      <w:tr>
        <w:trPr>
          <w:trHeight w:val="222"/>
        </w:trPr>
        <w:tc>
          <w:tcPr>
            <w:tcW w:w="660" w:type="dxa"/>
            <w:vAlign w:val="bottom"/>
          </w:tcPr>
          <w:p>
            <w:pPr>
              <w:spacing w:after="0"/>
              <w:rPr>
                <w:sz w:val="19"/>
                <w:szCs w:val="19"/>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James W. Brown</w:t>
            </w:r>
          </w:p>
        </w:tc>
        <w:tc>
          <w:tcPr>
            <w:tcW w:w="220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i w:val="1"/>
                <w:iCs w:val="1"/>
                <w:color w:val="auto"/>
                <w:w w:val="91"/>
              </w:rPr>
              <w:t>Senior Vice President and Chief Financial Officer</w:t>
            </w:r>
          </w:p>
        </w:tc>
      </w:tr>
      <w:tr>
        <w:trPr>
          <w:trHeight w:val="432"/>
        </w:trPr>
        <w:tc>
          <w:tcPr>
            <w:tcW w:w="660" w:type="dxa"/>
            <w:vAlign w:val="bottom"/>
          </w:tcPr>
          <w:p>
            <w:pPr>
              <w:ind w:left="20"/>
              <w:spacing w:after="0"/>
              <w:rPr>
                <w:sz w:val="20"/>
                <w:szCs w:val="20"/>
                <w:color w:val="auto"/>
              </w:rPr>
            </w:pPr>
            <w:r>
              <w:rPr>
                <w:rFonts w:ascii="Arial" w:cs="Arial" w:eastAsia="Arial" w:hAnsi="Arial"/>
                <w:sz w:val="18"/>
                <w:szCs w:val="18"/>
                <w:color w:val="auto"/>
                <w:w w:val="87"/>
              </w:rPr>
              <w:t>Address:</w:t>
            </w: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5430 LBJ Freeway, Suite 1700</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Dallas, Texas  75240-2620</w:t>
      </w:r>
    </w:p>
    <w:p>
      <w:pPr>
        <w:spacing w:after="0" w:line="200" w:lineRule="exact"/>
        <w:rPr>
          <w:sz w:val="20"/>
          <w:szCs w:val="20"/>
          <w:color w:val="auto"/>
        </w:rPr>
      </w:pPr>
    </w:p>
    <w:p>
      <w:pPr>
        <w:spacing w:after="0" w:line="3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type w:val="continuous"/>
        </w:sectPr>
      </w:pPr>
    </w:p>
    <w:bookmarkStart w:id="57" w:name="page58"/>
    <w:bookmarkEnd w:id="57"/>
    <w:p>
      <w:pPr>
        <w:jc w:val="both"/>
        <w:ind w:firstLine="877"/>
        <w:spacing w:after="0" w:line="257" w:lineRule="auto"/>
        <w:rPr>
          <w:sz w:val="20"/>
          <w:szCs w:val="20"/>
          <w:color w:val="auto"/>
        </w:rPr>
      </w:pPr>
      <w:r>
        <w:rPr>
          <w:rFonts w:ascii="Arial" w:cs="Arial" w:eastAsia="Arial" w:hAnsi="Arial"/>
          <w:sz w:val="18"/>
          <w:szCs w:val="18"/>
          <w:color w:val="auto"/>
        </w:rPr>
        <w:t>As of the date hereof, CompX International Inc., as the Noteholder, hereby agrees that this Note renews, replaces, amends and restates in its entirety the Prior Note, and that the unpaid principal of $33,800,000.00, the accrued and unpaid interest thereon of nil and the accrued and unpaid commitment fee thereon of nil that was owed under the Prior Note as of the close of business on December 31, 2019 are the unpaid principal, the accrued and unpaid interest thereon and the accrued and unpaid commitment fee thereon, respectively, owed under this Note as of the close of business on the date of this Note.</w:t>
      </w:r>
    </w:p>
    <w:p>
      <w:pPr>
        <w:spacing w:after="0" w:line="400"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7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/s/ Amy A. Samford</w:t>
            </w:r>
          </w:p>
        </w:tc>
      </w:tr>
      <w:tr>
        <w:trPr>
          <w:trHeight w:val="222"/>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Amy A. Samford</w:t>
            </w:r>
          </w:p>
        </w:tc>
        <w:tc>
          <w:tcPr>
            <w:tcW w:w="164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i w:val="1"/>
                <w:iCs w:val="1"/>
                <w:color w:val="auto"/>
                <w:w w:val="91"/>
              </w:rPr>
              <w:t>Vice President and Chief Financial Officer</w:t>
            </w:r>
          </w:p>
        </w:tc>
      </w:tr>
    </w:tbl>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Page 5 of 5.</w:t>
      </w:r>
    </w:p>
    <w:p>
      <w:pPr>
        <w:sectPr>
          <w:pgSz w:w="11900" w:h="16838" w:orient="portrait"/>
          <w:cols w:equalWidth="0" w:num="1">
            <w:col w:w="11420"/>
          </w:cols>
          <w:pgMar w:left="240" w:top="34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106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CompX Security Products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CompX Marine Inc.</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Custom Marine Inc.</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JZTB Realty LLC</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Livorsi Marine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Jurisdiction of</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Incorporation or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Held at December 31,</w:t>
            </w:r>
          </w:p>
        </w:tc>
      </w:tr>
      <w:tr>
        <w:trPr>
          <w:trHeight w:val="234"/>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358"/>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365"/>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Wisconsin</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100</w:t>
            </w:r>
          </w:p>
        </w:tc>
      </w:tr>
    </w:tbl>
    <w:p>
      <w:pPr>
        <w:sectPr>
          <w:pgSz w:w="11900" w:h="16838" w:orient="portrait"/>
          <w:cols w:equalWidth="0" w:num="2">
            <w:col w:w="6020" w:space="720"/>
            <w:col w:w="4680"/>
          </w:cols>
          <w:pgMar w:left="240" w:top="121" w:right="2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333-181794) of CompX International Inc. of our report dated February 26, 2020 relating to the consolidated financial statements,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80" w:hanging="372"/>
        <w:spacing w:after="0" w:line="342"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60" w:hanging="374"/>
        <w:spacing w:after="0" w:line="308" w:lineRule="auto"/>
        <w:tabs>
          <w:tab w:leader="none" w:pos="7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760" w:hanging="374"/>
        <w:spacing w:after="0" w:line="277"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117"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80" w:hanging="372"/>
        <w:spacing w:after="0" w:line="342"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60" w:hanging="374"/>
        <w:spacing w:after="0" w:line="308" w:lineRule="auto"/>
        <w:tabs>
          <w:tab w:leader="none" w:pos="7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320" w:hanging="374"/>
        <w:spacing w:after="0" w:line="277" w:lineRule="auto"/>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3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CompX International Inc. (the Company) on Form 10-K for the period ending December 31, 2019 as filed with the Securities and Exchange Commission on the date hereof (the Report), I, Scott C. James, President and Chief Executive Officer of the Company and I, Amy A. Samford, Vice President and Chief Financial Officer of the Company, certify, pursuant to 18 U.S.C. §1350, as adopted pursuant to §906 of the Sarbanes-Oxley Act of 2002, that:</w:t>
      </w:r>
    </w:p>
    <w:p>
      <w:pPr>
        <w:spacing w:after="0" w:line="79" w:lineRule="exact"/>
        <w:rPr>
          <w:sz w:val="20"/>
          <w:szCs w:val="20"/>
          <w:color w:val="auto"/>
        </w:rPr>
      </w:pPr>
    </w:p>
    <w:p>
      <w:pPr>
        <w:ind w:left="1880" w:hanging="859"/>
        <w:spacing w:after="0"/>
        <w:tabs>
          <w:tab w:leader="none" w:pos="1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880" w:hanging="859"/>
        <w:spacing w:after="0"/>
        <w:tabs>
          <w:tab w:leader="none" w:pos="1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w:t>
      </w:r>
    </w:p>
    <w:p>
      <w:pPr>
        <w:spacing w:after="0" w:line="4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873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873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lvl w:ilvl="1">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lvl w:ilvl="1">
      <w:lvlJc w:val="left"/>
      <w:lvlText w:val="-"/>
      <w:numFmt w:val="bullet"/>
      <w:start w:val="1"/>
    </w:lvl>
  </w:abstractNum>
  <w:abstractNum w:abstractNumId="11">
    <w:nsid w:val="721DA317"/>
    <w:multiLevelType w:val="hybridMultilevel"/>
    <w:lvl w:ilvl="0">
      <w:lvlJc w:val="left"/>
      <w:lvlText w:val="•"/>
      <w:numFmt w:val="bullet"/>
      <w:start w:val="1"/>
    </w:lvl>
    <w:lvl w:ilvl="1">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Letter"/>
      <w:start w:val="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203"/>
    </w:lvl>
  </w:abstractNum>
  <w:abstractNum w:abstractNumId="18">
    <w:nsid w:val="4353D0CD"/>
    <w:multiLevelType w:val="hybridMultilevel"/>
    <w:lvl w:ilvl="0">
      <w:lvlJc w:val="left"/>
      <w:lvlText w:val="%1."/>
      <w:numFmt w:val="decimal"/>
      <w:start w:val="1"/>
    </w:lvl>
    <w:lvl w:ilvl="1">
      <w:lvlJc w:val="left"/>
      <w:lvlText w:val="(%2)"/>
      <w:numFmt w:val="lowerLetter"/>
      <w:start w:val="1"/>
    </w:lvl>
  </w:abstractNum>
  <w:abstractNum w:abstractNumId="19">
    <w:nsid w:val="B03E0C6"/>
    <w:multiLevelType w:val="hybridMultilevel"/>
    <w:lvl w:ilvl="0">
      <w:lvlJc w:val="left"/>
      <w:lvlText w:val="(%1)"/>
      <w:numFmt w:val="lowerLetter"/>
      <w:start w:val="4"/>
    </w:lvl>
  </w:abstractNum>
  <w:abstractNum w:abstractNumId="20">
    <w:nsid w:val="189A769B"/>
    <w:multiLevelType w:val="hybridMultilevel"/>
    <w:lvl w:ilvl="0">
      <w:lvlJc w:val="left"/>
      <w:lvlText w:val="%1."/>
      <w:numFmt w:val="decimal"/>
      <w:start w:val="2"/>
    </w:lvl>
    <w:lvl w:ilvl="1">
      <w:lvlJc w:val="left"/>
      <w:lvlText w:val="(%2)"/>
      <w:numFmt w:val="lowerLetter"/>
      <w:start w:val="1"/>
    </w:lvl>
  </w:abstractNum>
  <w:abstractNum w:abstractNumId="21">
    <w:nsid w:val="54E49EB4"/>
    <w:multiLevelType w:val="hybridMultilevel"/>
    <w:lvl w:ilvl="0">
      <w:lvlJc w:val="left"/>
      <w:lvlText w:val="%1."/>
      <w:numFmt w:val="decimal"/>
      <w:start w:val="5"/>
    </w:lvl>
  </w:abstractNum>
  <w:abstractNum w:abstractNumId="22">
    <w:nsid w:val="71F32454"/>
    <w:multiLevelType w:val="hybridMultilevel"/>
    <w:lvl w:ilvl="0">
      <w:lvlJc w:val="left"/>
      <w:lvlText w:val="%1."/>
      <w:numFmt w:val="decimal"/>
      <w:start w:val="7"/>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10"/>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Roman"/>
      <w:start w:val="3"/>
    </w:lvl>
  </w:abstractNum>
  <w:abstractNum w:abstractNumId="27">
    <w:nsid w:val="8138641"/>
    <w:multiLevelType w:val="hybridMultilevel"/>
    <w:lvl w:ilvl="0">
      <w:lvlJc w:val="left"/>
      <w:lvlText w:val="(%1)"/>
      <w:numFmt w:val="lowerRoman"/>
      <w:start w:val="4"/>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43" Type="http://schemas.openxmlformats.org/officeDocument/2006/relationships/hyperlink" Target="http://www.sec.gov/Archives/edgar/data/1049606/000156459018019438/cix-ex31_101.htm" TargetMode="External"/><Relationship Id="rId44" Type="http://schemas.openxmlformats.org/officeDocument/2006/relationships/hyperlink" Target="http://www.sec.gov/Archives/edgar/data/0001049606/000002424018000016/exh31.htm" TargetMode="External"/><Relationship Id="rId45" Type="http://schemas.openxmlformats.org/officeDocument/2006/relationships/hyperlink" Target="http://www.sec.gov/Archives/edgar/data/1049606/000005925507000103/exhibit31.htm" TargetMode="External"/><Relationship Id="rId46" Type="http://schemas.openxmlformats.org/officeDocument/2006/relationships/hyperlink" Target="http://www.sec.gov/Archives/edgar/data/1049606/000104960604000011/ciiexh102.txt" TargetMode="External"/><Relationship Id="rId47" Type="http://schemas.openxmlformats.org/officeDocument/2006/relationships/hyperlink" Target="http://www.sec.gov/Archives/edgar/data/1049606/000119312513094118/d440599dex102.htm" TargetMode="External"/><Relationship Id="rId48" Type="http://schemas.openxmlformats.org/officeDocument/2006/relationships/hyperlink" Target="http://www.sec.gov/Archives/edgar/data/1049606/000156459019004906/cix-ex104_461.htm" TargetMode="External"/><Relationship Id="rId49" Type="http://schemas.openxmlformats.org/officeDocument/2006/relationships/hyperlink" Target="http://www.sec.gov/Archives/edgar/data/1049606/00000592551600019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2020-02-26T15:34:02Z</dcterms:created>
  <dcterms:modified xsi:type="dcterms:W3CDTF">2020-02-26T15:34:02Z</dcterms:modified>
</cp:coreProperties>
</file>