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r>
        <w:rPr>
          <w:rFonts w:ascii="Arial" w:cs="Arial" w:eastAsia="Arial" w:hAnsi="Arial"/>
          <w:sz w:val="30"/>
          <w:szCs w:val="30"/>
          <w:color w:val="auto"/>
          <w:vertAlign w:val="superscript"/>
        </w:rPr>
        <w:t>1</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COMPX INTERNATIONAL,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20563P101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July 17, 2018</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right="10200" w:firstLine="8"/>
        <w:spacing w:after="0" w:line="225" w:lineRule="exact"/>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29" w:lineRule="exact"/>
        <w:rPr>
          <w:sz w:val="24"/>
          <w:szCs w:val="24"/>
          <w:color w:val="auto"/>
        </w:rPr>
      </w:pPr>
    </w:p>
    <w:p>
      <w:pPr>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 Page 1 of 9 Pages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20563P101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6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Sessa Capital (Master), L.P.</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8"/>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Citizenship or Place of Organization</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6820" w:type="dxa"/>
            <w:vAlign w:val="bottom"/>
            <w:tcBorders>
              <w:right w:val="single" w:sz="8" w:color="auto"/>
            </w:tcBorders>
          </w:tcPr>
          <w:p>
            <w:pPr>
              <w:jc w:val="right"/>
              <w:ind w:right="6145"/>
              <w:spacing w:after="0"/>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by</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2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6820" w:type="dxa"/>
            <w:vAlign w:val="bottom"/>
            <w:tcBorders>
              <w:right w:val="single" w:sz="8" w:color="auto"/>
            </w:tcBorders>
          </w:tcPr>
          <w:p>
            <w:pPr>
              <w:jc w:val="right"/>
              <w:ind w:right="6145"/>
              <w:spacing w:after="0" w:line="182" w:lineRule="exact"/>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6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6"/>
                <w:szCs w:val="16"/>
                <w:color w:val="auto"/>
                <w:w w:val="73"/>
              </w:rPr>
              <w:t>Aggregate</w:t>
            </w:r>
          </w:p>
        </w:tc>
        <w:tc>
          <w:tcPr>
            <w:tcW w:w="2280" w:type="dxa"/>
            <w:vAlign w:val="bottom"/>
          </w:tcPr>
          <w:p>
            <w:pPr>
              <w:ind w:left="220"/>
              <w:spacing w:after="0"/>
              <w:rPr>
                <w:sz w:val="20"/>
                <w:szCs w:val="20"/>
                <w:color w:val="auto"/>
              </w:rPr>
            </w:pPr>
            <w:r>
              <w:rPr>
                <w:rFonts w:ascii="Arial" w:cs="Arial" w:eastAsia="Arial" w:hAnsi="Arial"/>
                <w:sz w:val="18"/>
                <w:szCs w:val="18"/>
                <w:color w:val="auto"/>
                <w:w w:val="91"/>
              </w:rPr>
              <w:t>Amount Beneficially Owned</w:t>
            </w:r>
          </w:p>
        </w:tc>
        <w:tc>
          <w:tcPr>
            <w:tcW w:w="6820" w:type="dxa"/>
            <w:vAlign w:val="bottom"/>
            <w:tcBorders>
              <w:right w:val="single" w:sz="8" w:color="auto"/>
            </w:tcBorders>
          </w:tcPr>
          <w:p>
            <w:pPr>
              <w:jc w:val="right"/>
              <w:ind w:right="4785"/>
              <w:spacing w:after="0"/>
              <w:rPr>
                <w:sz w:val="20"/>
                <w:szCs w:val="20"/>
                <w:color w:val="auto"/>
              </w:rPr>
            </w:pPr>
            <w:r>
              <w:rPr>
                <w:rFonts w:ascii="Arial" w:cs="Arial" w:eastAsia="Arial" w:hAnsi="Arial"/>
                <w:sz w:val="18"/>
                <w:szCs w:val="18"/>
                <w:color w:val="auto"/>
                <w:w w:val="91"/>
              </w:rPr>
              <w:t>by Each Reporting Person</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431,732</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68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4745"/>
              <w:spacing w:after="0"/>
              <w:rPr>
                <w:sz w:val="20"/>
                <w:szCs w:val="20"/>
                <w:color w:val="auto"/>
              </w:rPr>
            </w:pPr>
            <w:r>
              <w:rPr>
                <w:rFonts w:ascii="Arial" w:cs="Arial" w:eastAsia="Arial" w:hAnsi="Arial"/>
                <w:sz w:val="22"/>
                <w:szCs w:val="22"/>
                <w:color w:val="auto"/>
                <w:w w:val="94"/>
              </w:rPr>
              <w:t>- Page 2 of 9 Pages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20563P101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6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Sessa Capital GP, LLC</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8"/>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Citizenship or Place of Organization</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6820" w:type="dxa"/>
            <w:vAlign w:val="bottom"/>
            <w:tcBorders>
              <w:right w:val="single" w:sz="8" w:color="auto"/>
            </w:tcBorders>
          </w:tcPr>
          <w:p>
            <w:pPr>
              <w:jc w:val="right"/>
              <w:ind w:right="6145"/>
              <w:spacing w:after="0"/>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by</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2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6820" w:type="dxa"/>
            <w:vAlign w:val="bottom"/>
            <w:tcBorders>
              <w:right w:val="single" w:sz="8" w:color="auto"/>
            </w:tcBorders>
          </w:tcPr>
          <w:p>
            <w:pPr>
              <w:jc w:val="right"/>
              <w:ind w:right="6145"/>
              <w:spacing w:after="0" w:line="182" w:lineRule="exact"/>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6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6"/>
                <w:szCs w:val="16"/>
                <w:color w:val="auto"/>
                <w:w w:val="73"/>
              </w:rPr>
              <w:t>Aggregate</w:t>
            </w:r>
          </w:p>
        </w:tc>
        <w:tc>
          <w:tcPr>
            <w:tcW w:w="2280" w:type="dxa"/>
            <w:vAlign w:val="bottom"/>
          </w:tcPr>
          <w:p>
            <w:pPr>
              <w:ind w:left="220"/>
              <w:spacing w:after="0"/>
              <w:rPr>
                <w:sz w:val="20"/>
                <w:szCs w:val="20"/>
                <w:color w:val="auto"/>
              </w:rPr>
            </w:pPr>
            <w:r>
              <w:rPr>
                <w:rFonts w:ascii="Arial" w:cs="Arial" w:eastAsia="Arial" w:hAnsi="Arial"/>
                <w:sz w:val="18"/>
                <w:szCs w:val="18"/>
                <w:color w:val="auto"/>
                <w:w w:val="91"/>
              </w:rPr>
              <w:t>Amount Beneficially Owned</w:t>
            </w:r>
          </w:p>
        </w:tc>
        <w:tc>
          <w:tcPr>
            <w:tcW w:w="6820" w:type="dxa"/>
            <w:vAlign w:val="bottom"/>
            <w:tcBorders>
              <w:right w:val="single" w:sz="8" w:color="auto"/>
            </w:tcBorders>
          </w:tcPr>
          <w:p>
            <w:pPr>
              <w:jc w:val="right"/>
              <w:ind w:right="4785"/>
              <w:spacing w:after="0"/>
              <w:rPr>
                <w:sz w:val="20"/>
                <w:szCs w:val="20"/>
                <w:color w:val="auto"/>
              </w:rPr>
            </w:pPr>
            <w:r>
              <w:rPr>
                <w:rFonts w:ascii="Arial" w:cs="Arial" w:eastAsia="Arial" w:hAnsi="Arial"/>
                <w:sz w:val="18"/>
                <w:szCs w:val="18"/>
                <w:color w:val="auto"/>
                <w:w w:val="91"/>
              </w:rPr>
              <w:t>by Each Reporting Person</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431,732</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68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4745"/>
              <w:spacing w:after="0"/>
              <w:rPr>
                <w:sz w:val="20"/>
                <w:szCs w:val="20"/>
                <w:color w:val="auto"/>
              </w:rPr>
            </w:pPr>
            <w:r>
              <w:rPr>
                <w:rFonts w:ascii="Arial" w:cs="Arial" w:eastAsia="Arial" w:hAnsi="Arial"/>
                <w:sz w:val="22"/>
                <w:szCs w:val="22"/>
                <w:color w:val="auto"/>
                <w:w w:val="94"/>
              </w:rPr>
              <w:t>- Page 3 of 9 Pages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20563P101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6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Sessa Capital IM, L.P.</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8"/>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Citizenship or Place of Organization</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6820" w:type="dxa"/>
            <w:vAlign w:val="bottom"/>
            <w:tcBorders>
              <w:right w:val="single" w:sz="8" w:color="auto"/>
            </w:tcBorders>
          </w:tcPr>
          <w:p>
            <w:pPr>
              <w:jc w:val="right"/>
              <w:ind w:right="6145"/>
              <w:spacing w:after="0"/>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by</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2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6820" w:type="dxa"/>
            <w:vAlign w:val="bottom"/>
            <w:tcBorders>
              <w:right w:val="single" w:sz="8" w:color="auto"/>
            </w:tcBorders>
          </w:tcPr>
          <w:p>
            <w:pPr>
              <w:jc w:val="right"/>
              <w:ind w:right="6145"/>
              <w:spacing w:after="0" w:line="182" w:lineRule="exact"/>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6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6"/>
                <w:szCs w:val="16"/>
                <w:color w:val="auto"/>
                <w:w w:val="73"/>
              </w:rPr>
              <w:t>Aggregate</w:t>
            </w:r>
          </w:p>
        </w:tc>
        <w:tc>
          <w:tcPr>
            <w:tcW w:w="2280" w:type="dxa"/>
            <w:vAlign w:val="bottom"/>
          </w:tcPr>
          <w:p>
            <w:pPr>
              <w:ind w:left="220"/>
              <w:spacing w:after="0"/>
              <w:rPr>
                <w:sz w:val="20"/>
                <w:szCs w:val="20"/>
                <w:color w:val="auto"/>
              </w:rPr>
            </w:pPr>
            <w:r>
              <w:rPr>
                <w:rFonts w:ascii="Arial" w:cs="Arial" w:eastAsia="Arial" w:hAnsi="Arial"/>
                <w:sz w:val="18"/>
                <w:szCs w:val="18"/>
                <w:color w:val="auto"/>
                <w:w w:val="91"/>
              </w:rPr>
              <w:t>Amount Beneficially Owned</w:t>
            </w:r>
          </w:p>
        </w:tc>
        <w:tc>
          <w:tcPr>
            <w:tcW w:w="6820" w:type="dxa"/>
            <w:vAlign w:val="bottom"/>
            <w:tcBorders>
              <w:right w:val="single" w:sz="8" w:color="auto"/>
            </w:tcBorders>
          </w:tcPr>
          <w:p>
            <w:pPr>
              <w:jc w:val="right"/>
              <w:ind w:right="4785"/>
              <w:spacing w:after="0"/>
              <w:rPr>
                <w:sz w:val="20"/>
                <w:szCs w:val="20"/>
                <w:color w:val="auto"/>
              </w:rPr>
            </w:pPr>
            <w:r>
              <w:rPr>
                <w:rFonts w:ascii="Arial" w:cs="Arial" w:eastAsia="Arial" w:hAnsi="Arial"/>
                <w:sz w:val="18"/>
                <w:szCs w:val="18"/>
                <w:color w:val="auto"/>
                <w:w w:val="91"/>
              </w:rPr>
              <w:t>by Each Reporting Person</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431,732</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68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4745"/>
              <w:spacing w:after="0"/>
              <w:rPr>
                <w:sz w:val="20"/>
                <w:szCs w:val="20"/>
                <w:color w:val="auto"/>
              </w:rPr>
            </w:pPr>
            <w:r>
              <w:rPr>
                <w:rFonts w:ascii="Arial" w:cs="Arial" w:eastAsia="Arial" w:hAnsi="Arial"/>
                <w:sz w:val="22"/>
                <w:szCs w:val="22"/>
                <w:color w:val="auto"/>
                <w:w w:val="94"/>
              </w:rPr>
              <w:t>- Page 4 of 9 Pages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20563P101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6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Sessa Capital IM GP, LLC</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8"/>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Citizenship or Place of Organization</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6820" w:type="dxa"/>
            <w:vAlign w:val="bottom"/>
            <w:tcBorders>
              <w:right w:val="single" w:sz="8" w:color="auto"/>
            </w:tcBorders>
          </w:tcPr>
          <w:p>
            <w:pPr>
              <w:jc w:val="right"/>
              <w:ind w:right="6145"/>
              <w:spacing w:after="0"/>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by</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2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6820" w:type="dxa"/>
            <w:vAlign w:val="bottom"/>
            <w:tcBorders>
              <w:right w:val="single" w:sz="8" w:color="auto"/>
            </w:tcBorders>
          </w:tcPr>
          <w:p>
            <w:pPr>
              <w:jc w:val="right"/>
              <w:ind w:right="6145"/>
              <w:spacing w:after="0" w:line="182" w:lineRule="exact"/>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6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6"/>
                <w:szCs w:val="16"/>
                <w:color w:val="auto"/>
                <w:w w:val="73"/>
              </w:rPr>
              <w:t>Aggregate</w:t>
            </w:r>
          </w:p>
        </w:tc>
        <w:tc>
          <w:tcPr>
            <w:tcW w:w="2280" w:type="dxa"/>
            <w:vAlign w:val="bottom"/>
          </w:tcPr>
          <w:p>
            <w:pPr>
              <w:ind w:left="220"/>
              <w:spacing w:after="0"/>
              <w:rPr>
                <w:sz w:val="20"/>
                <w:szCs w:val="20"/>
                <w:color w:val="auto"/>
              </w:rPr>
            </w:pPr>
            <w:r>
              <w:rPr>
                <w:rFonts w:ascii="Arial" w:cs="Arial" w:eastAsia="Arial" w:hAnsi="Arial"/>
                <w:sz w:val="18"/>
                <w:szCs w:val="18"/>
                <w:color w:val="auto"/>
                <w:w w:val="91"/>
              </w:rPr>
              <w:t>Amount Beneficially Owned</w:t>
            </w:r>
          </w:p>
        </w:tc>
        <w:tc>
          <w:tcPr>
            <w:tcW w:w="6820" w:type="dxa"/>
            <w:vAlign w:val="bottom"/>
            <w:tcBorders>
              <w:right w:val="single" w:sz="8" w:color="auto"/>
            </w:tcBorders>
          </w:tcPr>
          <w:p>
            <w:pPr>
              <w:jc w:val="right"/>
              <w:ind w:right="4785"/>
              <w:spacing w:after="0"/>
              <w:rPr>
                <w:sz w:val="20"/>
                <w:szCs w:val="20"/>
                <w:color w:val="auto"/>
              </w:rPr>
            </w:pPr>
            <w:r>
              <w:rPr>
                <w:rFonts w:ascii="Arial" w:cs="Arial" w:eastAsia="Arial" w:hAnsi="Arial"/>
                <w:sz w:val="18"/>
                <w:szCs w:val="18"/>
                <w:color w:val="auto"/>
                <w:w w:val="91"/>
              </w:rPr>
              <w:t>by Each Reporting Person</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431,732</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68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4745"/>
              <w:spacing w:after="0"/>
              <w:rPr>
                <w:sz w:val="20"/>
                <w:szCs w:val="20"/>
                <w:color w:val="auto"/>
              </w:rPr>
            </w:pPr>
            <w:r>
              <w:rPr>
                <w:rFonts w:ascii="Arial" w:cs="Arial" w:eastAsia="Arial" w:hAnsi="Arial"/>
                <w:sz w:val="22"/>
                <w:szCs w:val="22"/>
                <w:color w:val="auto"/>
                <w:w w:val="94"/>
              </w:rPr>
              <w:t>- Page 5 of 9 Pages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20563P101</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7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2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68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John Petry</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8"/>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280" w:type="dxa"/>
            <w:vAlign w:val="bottom"/>
          </w:tcPr>
          <w:p>
            <w:pPr>
              <w:spacing w:after="0"/>
              <w:rPr>
                <w:sz w:val="24"/>
                <w:szCs w:val="24"/>
                <w:color w:val="auto"/>
              </w:rPr>
            </w:pP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8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2860" w:type="dxa"/>
            <w:vAlign w:val="bottom"/>
            <w:tcBorders>
              <w:bottom w:val="single" w:sz="8" w:color="auto"/>
            </w:tcBorders>
            <w:gridSpan w:val="2"/>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Citizenship or Place of Organization</w:t>
            </w:r>
          </w:p>
        </w:tc>
        <w:tc>
          <w:tcPr>
            <w:tcW w:w="6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6820" w:type="dxa"/>
            <w:vAlign w:val="bottom"/>
            <w:tcBorders>
              <w:right w:val="single" w:sz="8" w:color="auto"/>
            </w:tcBorders>
          </w:tcPr>
          <w:p>
            <w:pPr>
              <w:jc w:val="right"/>
              <w:ind w:right="6145"/>
              <w:spacing w:after="0"/>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Number of Shares</w:t>
            </w: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74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6.</w:t>
            </w: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Shared Voting Power:</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by</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22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6820" w:type="dxa"/>
            <w:vAlign w:val="bottom"/>
            <w:tcBorders>
              <w:right w:val="single" w:sz="8" w:color="auto"/>
            </w:tcBorders>
          </w:tcPr>
          <w:p>
            <w:pPr>
              <w:jc w:val="right"/>
              <w:ind w:right="6145"/>
              <w:spacing w:after="0" w:line="182" w:lineRule="exact"/>
              <w:rPr>
                <w:sz w:val="20"/>
                <w:szCs w:val="20"/>
                <w:color w:val="auto"/>
              </w:rPr>
            </w:pPr>
            <w:r>
              <w:rPr>
                <w:rFonts w:ascii="Arial" w:cs="Arial" w:eastAsia="Arial" w:hAnsi="Arial"/>
                <w:sz w:val="18"/>
                <w:szCs w:val="18"/>
                <w:color w:val="auto"/>
                <w:w w:val="86"/>
              </w:rPr>
              <w:t>431,732</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6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spacing w:after="0"/>
              <w:rPr>
                <w:sz w:val="17"/>
                <w:szCs w:val="17"/>
                <w:color w:val="auto"/>
              </w:rPr>
            </w:pPr>
          </w:p>
        </w:tc>
        <w:tc>
          <w:tcPr>
            <w:tcW w:w="6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6"/>
                <w:szCs w:val="16"/>
                <w:color w:val="auto"/>
                <w:w w:val="73"/>
              </w:rPr>
              <w:t>Aggregate</w:t>
            </w:r>
          </w:p>
        </w:tc>
        <w:tc>
          <w:tcPr>
            <w:tcW w:w="2280" w:type="dxa"/>
            <w:vAlign w:val="bottom"/>
          </w:tcPr>
          <w:p>
            <w:pPr>
              <w:ind w:left="220"/>
              <w:spacing w:after="0"/>
              <w:rPr>
                <w:sz w:val="20"/>
                <w:szCs w:val="20"/>
                <w:color w:val="auto"/>
              </w:rPr>
            </w:pPr>
            <w:r>
              <w:rPr>
                <w:rFonts w:ascii="Arial" w:cs="Arial" w:eastAsia="Arial" w:hAnsi="Arial"/>
                <w:sz w:val="18"/>
                <w:szCs w:val="18"/>
                <w:color w:val="auto"/>
                <w:w w:val="91"/>
              </w:rPr>
              <w:t>Amount Beneficially Owned</w:t>
            </w:r>
          </w:p>
        </w:tc>
        <w:tc>
          <w:tcPr>
            <w:tcW w:w="6820" w:type="dxa"/>
            <w:vAlign w:val="bottom"/>
            <w:tcBorders>
              <w:right w:val="single" w:sz="8" w:color="auto"/>
            </w:tcBorders>
          </w:tcPr>
          <w:p>
            <w:pPr>
              <w:jc w:val="right"/>
              <w:ind w:right="4785"/>
              <w:spacing w:after="0"/>
              <w:rPr>
                <w:sz w:val="20"/>
                <w:szCs w:val="20"/>
                <w:color w:val="auto"/>
              </w:rPr>
            </w:pPr>
            <w:r>
              <w:rPr>
                <w:rFonts w:ascii="Arial" w:cs="Arial" w:eastAsia="Arial" w:hAnsi="Arial"/>
                <w:sz w:val="18"/>
                <w:szCs w:val="18"/>
                <w:color w:val="auto"/>
                <w:w w:val="91"/>
              </w:rPr>
              <w:t>by Each Reporting Person</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right w:val="single" w:sz="8" w:color="auto"/>
            </w:tcBorders>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431,732</w:t>
            </w:r>
          </w:p>
        </w:tc>
        <w:tc>
          <w:tcPr>
            <w:tcW w:w="6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6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68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6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4745"/>
              <w:spacing w:after="0"/>
              <w:rPr>
                <w:sz w:val="20"/>
                <w:szCs w:val="20"/>
                <w:color w:val="auto"/>
              </w:rPr>
            </w:pPr>
            <w:r>
              <w:rPr>
                <w:rFonts w:ascii="Arial" w:cs="Arial" w:eastAsia="Arial" w:hAnsi="Arial"/>
                <w:sz w:val="22"/>
                <w:szCs w:val="22"/>
                <w:color w:val="auto"/>
                <w:w w:val="94"/>
              </w:rPr>
              <w:t>- Page 6 of 9 Pages -</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International,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5430 LBJ Freeway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1700, Three Lincoln Centre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75240-2620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29" w:lineRule="exact"/>
        <w:rPr>
          <w:sz w:val="20"/>
          <w:szCs w:val="20"/>
          <w:color w:val="auto"/>
        </w:rPr>
      </w:pPr>
    </w:p>
    <w:p>
      <w:pPr>
        <w:ind w:left="1100" w:hanging="518"/>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Sessa Capital (Master), L.P.</w:t>
      </w:r>
    </w:p>
    <w:p>
      <w:pPr>
        <w:spacing w:after="0" w:line="23" w:lineRule="exact"/>
        <w:rPr>
          <w:rFonts w:ascii="Arial" w:cs="Arial" w:eastAsia="Arial" w:hAnsi="Arial"/>
          <w:sz w:val="18"/>
          <w:szCs w:val="18"/>
          <w:color w:val="auto"/>
        </w:rPr>
      </w:pPr>
    </w:p>
    <w:p>
      <w:pPr>
        <w:ind w:left="1100" w:hanging="518"/>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Sessa Capital GP, LLC</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Sessa Capital IM, L.P.</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Sessa Capital IM GP, LLC</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Petry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888 Seventh Avenue, 30th Floor, NY, NY 10019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Sessa Capital (Master), L.P. is a Cayman Islands exempted limited partnership. Sessa Capital GP, LLC and Sessa Capital IM GP, LLC are Delaware limited liability companies. Sessa Capital IM, L.P. is a Delaware limited partnership. Mr. Petry is a citizen of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 $0.01 par value per share</w:t>
      </w:r>
    </w:p>
    <w:p>
      <w:pPr>
        <w:spacing w:after="0" w:line="221" w:lineRule="exact"/>
        <w:rPr>
          <w:sz w:val="20"/>
          <w:szCs w:val="20"/>
          <w:color w:val="auto"/>
        </w:rPr>
      </w:pPr>
    </w:p>
    <w:p>
      <w:pPr>
        <w:jc w:val="center"/>
        <w:ind w:right="9220"/>
        <w:spacing w:after="0"/>
        <w:rPr>
          <w:sz w:val="20"/>
          <w:szCs w:val="20"/>
          <w:color w:val="auto"/>
        </w:rPr>
      </w:pPr>
      <w:r>
        <w:rPr>
          <w:rFonts w:ascii="Arial" w:cs="Arial" w:eastAsia="Arial" w:hAnsi="Arial"/>
          <w:sz w:val="17"/>
          <w:szCs w:val="17"/>
          <w:b w:val="1"/>
          <w:bCs w:val="1"/>
          <w:color w:val="auto"/>
        </w:rPr>
        <w:t>Item 2(e). CUSIP Number:</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20563P101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 or dealer registered under section 15 of the Act (15 U.S.C. 78o);</w:t>
      </w:r>
    </w:p>
    <w:p>
      <w:pPr>
        <w:spacing w:after="0" w:line="23"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as defined in section 3(a)(6) of the Act (15 U.S.C. 78c);</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 company as defined in section 3(a)(19) of the Act (15 U.S.C. 78c);</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company registered under section 8 of the Investment Company Act, (15 U.S.C. 80a-8);</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 (b)(1)(ii)(G);</w:t>
      </w:r>
    </w:p>
    <w:p>
      <w:pPr>
        <w:spacing w:after="0" w:line="9" w:lineRule="exact"/>
        <w:rPr>
          <w:rFonts w:ascii="Arial" w:cs="Arial" w:eastAsia="Arial" w:hAnsi="Arial"/>
          <w:sz w:val="18"/>
          <w:szCs w:val="18"/>
          <w:color w:val="auto"/>
        </w:rPr>
      </w:pP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100" w:right="460" w:hanging="51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1100" w:hanging="51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Group, in accordance with §240.13d-1(b)(1)(ii)(J).</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Page 7 of 9 Pages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ind w:left="1100" w:right="5100" w:hanging="518"/>
        <w:spacing w:after="0" w:line="282"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Sessa Capital (Master), L.P. (the “Fund”)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beneficially owns 431,732 shares.</w:t>
      </w:r>
    </w:p>
    <w:p>
      <w:pPr>
        <w:spacing w:after="0" w:line="165" w:lineRule="exact"/>
        <w:rPr>
          <w:rFonts w:ascii="Arial" w:cs="Arial" w:eastAsia="Arial" w:hAnsi="Arial"/>
          <w:sz w:val="18"/>
          <w:szCs w:val="18"/>
          <w:color w:val="auto"/>
        </w:rPr>
      </w:pPr>
    </w:p>
    <w:p>
      <w:pPr>
        <w:ind w:left="1100" w:right="4660"/>
        <w:spacing w:after="0" w:line="277" w:lineRule="auto"/>
        <w:rPr>
          <w:rFonts w:ascii="Arial" w:cs="Arial" w:eastAsia="Arial" w:hAnsi="Arial"/>
          <w:sz w:val="18"/>
          <w:szCs w:val="18"/>
          <w:color w:val="auto"/>
        </w:rPr>
      </w:pPr>
      <w:r>
        <w:rPr>
          <w:rFonts w:ascii="Arial" w:cs="Arial" w:eastAsia="Arial" w:hAnsi="Arial"/>
          <w:sz w:val="18"/>
          <w:szCs w:val="18"/>
          <w:color w:val="auto"/>
        </w:rPr>
        <w:t>Sessa Capital GP, LLC is the general partner of the Fund and, as a result, may be deemed to beneficially own shares owned by the Fund.</w:t>
      </w:r>
    </w:p>
    <w:p>
      <w:pPr>
        <w:spacing w:after="0" w:line="156" w:lineRule="exact"/>
        <w:rPr>
          <w:rFonts w:ascii="Arial" w:cs="Arial" w:eastAsia="Arial" w:hAnsi="Arial"/>
          <w:sz w:val="18"/>
          <w:szCs w:val="18"/>
          <w:color w:val="auto"/>
        </w:rPr>
      </w:pPr>
    </w:p>
    <w:p>
      <w:pPr>
        <w:ind w:left="1100" w:right="4700"/>
        <w:spacing w:after="0" w:line="308" w:lineRule="auto"/>
        <w:rPr>
          <w:rFonts w:ascii="Arial" w:cs="Arial" w:eastAsia="Arial" w:hAnsi="Arial"/>
          <w:sz w:val="18"/>
          <w:szCs w:val="18"/>
          <w:color w:val="auto"/>
        </w:rPr>
      </w:pPr>
      <w:r>
        <w:rPr>
          <w:rFonts w:ascii="Arial" w:cs="Arial" w:eastAsia="Arial" w:hAnsi="Arial"/>
          <w:sz w:val="17"/>
          <w:szCs w:val="17"/>
          <w:color w:val="auto"/>
        </w:rPr>
        <w:t>Sessa Capital IM, L.P. is the investment manager of the Fund and, as a result, may be deemed to beneficially own shares owned by the Fund.</w:t>
      </w:r>
    </w:p>
    <w:p>
      <w:pPr>
        <w:spacing w:after="0" w:line="146" w:lineRule="exact"/>
        <w:rPr>
          <w:rFonts w:ascii="Arial" w:cs="Arial" w:eastAsia="Arial" w:hAnsi="Arial"/>
          <w:sz w:val="18"/>
          <w:szCs w:val="18"/>
          <w:color w:val="auto"/>
        </w:rPr>
      </w:pPr>
    </w:p>
    <w:p>
      <w:pPr>
        <w:jc w:val="both"/>
        <w:ind w:left="1100" w:right="4600"/>
        <w:spacing w:after="0" w:line="264" w:lineRule="auto"/>
        <w:rPr>
          <w:rFonts w:ascii="Arial" w:cs="Arial" w:eastAsia="Arial" w:hAnsi="Arial"/>
          <w:sz w:val="18"/>
          <w:szCs w:val="18"/>
          <w:color w:val="auto"/>
        </w:rPr>
      </w:pPr>
      <w:r>
        <w:rPr>
          <w:rFonts w:ascii="Arial" w:cs="Arial" w:eastAsia="Arial" w:hAnsi="Arial"/>
          <w:sz w:val="18"/>
          <w:szCs w:val="18"/>
          <w:color w:val="auto"/>
        </w:rPr>
        <w:t>Sessa Capital IM GP, LLC is the general partner of Sessa Capital IM, L.P. and, as a result, may be deemed to beneficially own shares deemed to be owned by Sessa Capital IM, L.P.</w:t>
      </w:r>
    </w:p>
    <w:p>
      <w:pPr>
        <w:spacing w:after="0" w:line="181" w:lineRule="exact"/>
        <w:rPr>
          <w:rFonts w:ascii="Arial" w:cs="Arial" w:eastAsia="Arial" w:hAnsi="Arial"/>
          <w:sz w:val="18"/>
          <w:szCs w:val="18"/>
          <w:color w:val="auto"/>
        </w:rPr>
      </w:pPr>
    </w:p>
    <w:p>
      <w:pPr>
        <w:ind w:left="1100" w:right="4640"/>
        <w:spacing w:after="0" w:line="264" w:lineRule="auto"/>
        <w:rPr>
          <w:rFonts w:ascii="Arial" w:cs="Arial" w:eastAsia="Arial" w:hAnsi="Arial"/>
          <w:sz w:val="18"/>
          <w:szCs w:val="18"/>
          <w:color w:val="auto"/>
        </w:rPr>
      </w:pPr>
      <w:r>
        <w:rPr>
          <w:rFonts w:ascii="Arial" w:cs="Arial" w:eastAsia="Arial" w:hAnsi="Arial"/>
          <w:sz w:val="18"/>
          <w:szCs w:val="18"/>
          <w:color w:val="auto"/>
        </w:rPr>
        <w:t>Mr. Petry is the manager of Sessa Capital GP, LLC and Sessa Capital IM GP, LLC and, as a result, may be deemed to beneficially own shares owned by the Fund.</w:t>
      </w:r>
    </w:p>
    <w:p>
      <w:pPr>
        <w:spacing w:after="0" w:line="177" w:lineRule="exact"/>
        <w:rPr>
          <w:rFonts w:ascii="Arial" w:cs="Arial" w:eastAsia="Arial" w:hAnsi="Arial"/>
          <w:sz w:val="18"/>
          <w:szCs w:val="18"/>
          <w:color w:val="auto"/>
        </w:rPr>
      </w:pPr>
    </w:p>
    <w:p>
      <w:pPr>
        <w:ind w:left="1100" w:right="540" w:hanging="518"/>
        <w:spacing w:after="0" w:line="26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3.5%, based on 2,426,107 Class A common shares outstanding as of May 2, 2018, according to the Issuer’s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period ended March 31, 2018, and giving effect to the conversion of 10,000,000 Class B common shares into Class A common shares on July 17, 2018.</w:t>
      </w:r>
    </w:p>
    <w:p>
      <w:pPr>
        <w:spacing w:after="0" w:line="176" w:lineRule="exact"/>
        <w:rPr>
          <w:rFonts w:ascii="Arial" w:cs="Arial" w:eastAsia="Arial" w:hAnsi="Arial"/>
          <w:sz w:val="18"/>
          <w:szCs w:val="18"/>
          <w:color w:val="auto"/>
        </w:rPr>
      </w:pPr>
    </w:p>
    <w:p>
      <w:pPr>
        <w:ind w:left="1100" w:hanging="51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color w:val="auto"/>
        </w:rPr>
      </w:pPr>
    </w:p>
    <w:p>
      <w:pPr>
        <w:ind w:left="2540" w:right="780" w:hanging="1134"/>
        <w:spacing w:after="0" w:line="258" w:lineRule="auto"/>
        <w:tabs>
          <w:tab w:leader="none" w:pos="254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Sole power to vote or to direct the vote: Each of the reporting persons may be deemed to have the sole power to vote or direct the vote of 431,732 shares.</w:t>
      </w:r>
    </w:p>
    <w:p>
      <w:pPr>
        <w:spacing w:after="0" w:line="1" w:lineRule="exact"/>
        <w:rPr>
          <w:rFonts w:ascii="Arial" w:cs="Arial" w:eastAsia="Arial" w:hAnsi="Arial"/>
          <w:sz w:val="18"/>
          <w:szCs w:val="18"/>
          <w:b w:val="1"/>
          <w:bCs w:val="1"/>
          <w:color w:val="auto"/>
        </w:rPr>
      </w:pPr>
    </w:p>
    <w:p>
      <w:pPr>
        <w:ind w:left="2540" w:hanging="1134"/>
        <w:spacing w:after="0"/>
        <w:tabs>
          <w:tab w:leader="none" w:pos="254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Shared power to vote or to direct the vote: Not applicable</w:t>
      </w:r>
    </w:p>
    <w:p>
      <w:pPr>
        <w:spacing w:after="0" w:line="9" w:lineRule="exact"/>
        <w:rPr>
          <w:rFonts w:ascii="Arial" w:cs="Arial" w:eastAsia="Arial" w:hAnsi="Arial"/>
          <w:sz w:val="18"/>
          <w:szCs w:val="18"/>
          <w:b w:val="1"/>
          <w:bCs w:val="1"/>
          <w:color w:val="auto"/>
        </w:rPr>
      </w:pPr>
    </w:p>
    <w:p>
      <w:pPr>
        <w:ind w:left="2540" w:right="920" w:hanging="1134"/>
        <w:spacing w:after="0" w:line="250" w:lineRule="auto"/>
        <w:tabs>
          <w:tab w:leader="none" w:pos="254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Sole power to dispose or direct the disposition: Each of the reporting persons may be deemed to have the sole power to dispose or direct the disposition of 431,732 shares.</w:t>
      </w:r>
    </w:p>
    <w:p>
      <w:pPr>
        <w:ind w:left="2540" w:hanging="1134"/>
        <w:spacing w:after="0"/>
        <w:tabs>
          <w:tab w:leader="none" w:pos="254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Shared power to dispose or direct the disposition: 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Page 8 of 9 Pages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July 24, 2018</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Petry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John Petry, individually, as manager of Sessa Capital GP, LLC, the</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general partner of Sessa Capital (Master), L.P., and as manager of</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Sessa Capital IM GP, LLC, the general partner of Sessa Capital IM,</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L.P.</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Page 9 of 9 Pages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60"/>
      </w:cols>
      <w:pgMar w:left="24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2019-12-06T10:30:36Z</dcterms:created>
  <dcterms:modified xsi:type="dcterms:W3CDTF">2019-12-06T10:30:36Z</dcterms:modified>
</cp:coreProperties>
</file>