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QUARTERLY REPORT UNDER SECTION 13 OR 15(d) OF THE SECURITIES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COMPX INTERNATIONAL INC.</w:t>
      </w:r>
    </w:p>
    <w:p>
      <w:pPr>
        <w:spacing w:after="0" w:line="35" w:lineRule="exact"/>
        <w:rPr>
          <w:sz w:val="24"/>
          <w:szCs w:val="24"/>
          <w:color w:val="auto"/>
        </w:rPr>
      </w:pPr>
    </w:p>
    <w:tbl>
      <w:tblPr>
        <w:tblLayout w:type="fixed"/>
        <w:tblInd w:w="1440" w:type="dxa"/>
        <w:tblCellMar>
          <w:top w:w="0" w:type="dxa"/>
          <w:left w:w="0" w:type="dxa"/>
          <w:bottom w:w="0" w:type="dxa"/>
          <w:right w:w="0" w:type="dxa"/>
        </w:tblCellMar>
      </w:tblPr>
      <w:tr>
        <w:trPr>
          <w:trHeight w:val="230"/>
        </w:trPr>
        <w:tc>
          <w:tcPr>
            <w:tcW w:w="6400" w:type="dxa"/>
            <w:vAlign w:val="bottom"/>
          </w:tcPr>
          <w:p>
            <w:pPr>
              <w:ind w:left="2380"/>
              <w:spacing w:after="0"/>
              <w:rPr>
                <w:sz w:val="20"/>
                <w:szCs w:val="20"/>
                <w:color w:val="auto"/>
              </w:rPr>
            </w:pPr>
            <w:r>
              <w:rPr>
                <w:rFonts w:ascii="Arial" w:cs="Arial" w:eastAsia="Arial" w:hAnsi="Arial"/>
                <w:sz w:val="18"/>
                <w:szCs w:val="18"/>
                <w:color w:val="auto"/>
                <w:w w:val="95"/>
              </w:rPr>
              <w:t>(Exact name of Registrant as specified in its charter)</w:t>
            </w:r>
          </w:p>
        </w:tc>
        <w:tc>
          <w:tcPr>
            <w:tcW w:w="1320" w:type="dxa"/>
            <w:vAlign w:val="bottom"/>
          </w:tcPr>
          <w:p>
            <w:pPr>
              <w:spacing w:after="0"/>
              <w:rPr>
                <w:sz w:val="20"/>
                <w:szCs w:val="20"/>
                <w:color w:val="auto"/>
              </w:rPr>
            </w:pPr>
          </w:p>
        </w:tc>
      </w:tr>
      <w:tr>
        <w:trPr>
          <w:trHeight w:val="424"/>
        </w:trPr>
        <w:tc>
          <w:tcPr>
            <w:tcW w:w="6400" w:type="dxa"/>
            <w:vAlign w:val="bottom"/>
          </w:tcPr>
          <w:p>
            <w:pPr>
              <w:jc w:val="center"/>
              <w:ind w:right="3578"/>
              <w:spacing w:after="0"/>
              <w:rPr>
                <w:sz w:val="20"/>
                <w:szCs w:val="20"/>
                <w:color w:val="auto"/>
              </w:rPr>
            </w:pPr>
            <w:r>
              <w:rPr>
                <w:rFonts w:ascii="Arial" w:cs="Arial" w:eastAsia="Arial" w:hAnsi="Arial"/>
                <w:sz w:val="18"/>
                <w:szCs w:val="18"/>
                <w:b w:val="1"/>
                <w:bCs w:val="1"/>
                <w:color w:val="auto"/>
                <w:w w:val="93"/>
              </w:rPr>
              <w:t>Delaware</w:t>
            </w:r>
          </w:p>
        </w:tc>
        <w:tc>
          <w:tcPr>
            <w:tcW w:w="1320" w:type="dxa"/>
            <w:vAlign w:val="bottom"/>
          </w:tcPr>
          <w:p>
            <w:pPr>
              <w:jc w:val="center"/>
              <w:ind w:left="161"/>
              <w:spacing w:after="0"/>
              <w:rPr>
                <w:sz w:val="20"/>
                <w:szCs w:val="20"/>
                <w:color w:val="auto"/>
              </w:rPr>
            </w:pPr>
            <w:r>
              <w:rPr>
                <w:rFonts w:ascii="Arial" w:cs="Arial" w:eastAsia="Arial" w:hAnsi="Arial"/>
                <w:sz w:val="18"/>
                <w:szCs w:val="18"/>
                <w:b w:val="1"/>
                <w:bCs w:val="1"/>
                <w:color w:val="auto"/>
                <w:w w:val="91"/>
              </w:rPr>
              <w:t>57-0981653</w:t>
            </w:r>
          </w:p>
        </w:tc>
      </w:tr>
      <w:tr>
        <w:trPr>
          <w:trHeight w:val="149"/>
        </w:trPr>
        <w:tc>
          <w:tcPr>
            <w:tcW w:w="6400" w:type="dxa"/>
            <w:vAlign w:val="bottom"/>
          </w:tcPr>
          <w:p>
            <w:pPr>
              <w:jc w:val="center"/>
              <w:ind w:right="3578"/>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20" w:type="dxa"/>
            <w:vAlign w:val="bottom"/>
          </w:tcPr>
          <w:p>
            <w:pPr>
              <w:jc w:val="center"/>
              <w:ind w:left="161"/>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6400" w:type="dxa"/>
            <w:vAlign w:val="bottom"/>
          </w:tcPr>
          <w:p>
            <w:pPr>
              <w:jc w:val="center"/>
              <w:ind w:right="3578"/>
              <w:spacing w:after="0"/>
              <w:rPr>
                <w:sz w:val="20"/>
                <w:szCs w:val="20"/>
                <w:color w:val="auto"/>
              </w:rPr>
            </w:pPr>
            <w:r>
              <w:rPr>
                <w:rFonts w:ascii="Arial" w:cs="Arial" w:eastAsia="Arial" w:hAnsi="Arial"/>
                <w:sz w:val="14"/>
                <w:szCs w:val="14"/>
                <w:color w:val="auto"/>
                <w:w w:val="95"/>
              </w:rPr>
              <w:t>Incorporation or organization)</w:t>
            </w:r>
          </w:p>
        </w:tc>
        <w:tc>
          <w:tcPr>
            <w:tcW w:w="1320" w:type="dxa"/>
            <w:vAlign w:val="bottom"/>
          </w:tcPr>
          <w:p>
            <w:pPr>
              <w:jc w:val="center"/>
              <w:ind w:left="161"/>
              <w:spacing w:after="0"/>
              <w:rPr>
                <w:sz w:val="20"/>
                <w:szCs w:val="20"/>
                <w:color w:val="auto"/>
              </w:rPr>
            </w:pPr>
            <w:r>
              <w:rPr>
                <w:rFonts w:ascii="Arial" w:cs="Arial" w:eastAsia="Arial" w:hAnsi="Arial"/>
                <w:sz w:val="14"/>
                <w:szCs w:val="14"/>
                <w:color w:val="auto"/>
                <w:w w:val="99"/>
              </w:rPr>
              <w:t>Identification No.)</w:t>
            </w:r>
          </w:p>
        </w:tc>
      </w:tr>
      <w:tr>
        <w:trPr>
          <w:trHeight w:val="439"/>
        </w:trPr>
        <w:tc>
          <w:tcPr>
            <w:tcW w:w="6400" w:type="dxa"/>
            <w:vAlign w:val="bottom"/>
          </w:tcPr>
          <w:p>
            <w:pPr>
              <w:jc w:val="center"/>
              <w:ind w:right="3578"/>
              <w:spacing w:after="0"/>
              <w:rPr>
                <w:sz w:val="20"/>
                <w:szCs w:val="20"/>
                <w:color w:val="auto"/>
              </w:rPr>
            </w:pPr>
            <w:r>
              <w:rPr>
                <w:rFonts w:ascii="Arial" w:cs="Arial" w:eastAsia="Arial" w:hAnsi="Arial"/>
                <w:sz w:val="18"/>
                <w:szCs w:val="18"/>
                <w:b w:val="1"/>
                <w:bCs w:val="1"/>
                <w:color w:val="auto"/>
                <w:w w:val="89"/>
              </w:rPr>
              <w:t>5430 LBJ Freeway, Suite 1700,</w:t>
            </w:r>
          </w:p>
        </w:tc>
        <w:tc>
          <w:tcPr>
            <w:tcW w:w="1320" w:type="dxa"/>
            <w:vAlign w:val="bottom"/>
          </w:tcPr>
          <w:p>
            <w:pPr>
              <w:spacing w:after="0"/>
              <w:rPr>
                <w:sz w:val="24"/>
                <w:szCs w:val="24"/>
                <w:color w:val="auto"/>
              </w:rPr>
            </w:pPr>
          </w:p>
        </w:tc>
      </w:tr>
      <w:tr>
        <w:trPr>
          <w:trHeight w:val="229"/>
        </w:trPr>
        <w:tc>
          <w:tcPr>
            <w:tcW w:w="6400" w:type="dxa"/>
            <w:vAlign w:val="bottom"/>
          </w:tcPr>
          <w:p>
            <w:pPr>
              <w:jc w:val="center"/>
              <w:ind w:right="3578"/>
              <w:spacing w:after="0"/>
              <w:rPr>
                <w:sz w:val="20"/>
                <w:szCs w:val="20"/>
                <w:color w:val="auto"/>
              </w:rPr>
            </w:pPr>
            <w:r>
              <w:rPr>
                <w:rFonts w:ascii="Arial" w:cs="Arial" w:eastAsia="Arial" w:hAnsi="Arial"/>
                <w:sz w:val="18"/>
                <w:szCs w:val="18"/>
                <w:b w:val="1"/>
                <w:bCs w:val="1"/>
                <w:color w:val="auto"/>
                <w:w w:val="90"/>
              </w:rPr>
              <w:t>Three Lincoln Centre, Dallas, Texas</w:t>
            </w:r>
          </w:p>
        </w:tc>
        <w:tc>
          <w:tcPr>
            <w:tcW w:w="1320" w:type="dxa"/>
            <w:vAlign w:val="bottom"/>
          </w:tcPr>
          <w:p>
            <w:pPr>
              <w:jc w:val="center"/>
              <w:ind w:left="161"/>
              <w:spacing w:after="0"/>
              <w:rPr>
                <w:sz w:val="20"/>
                <w:szCs w:val="20"/>
                <w:color w:val="auto"/>
              </w:rPr>
            </w:pPr>
            <w:r>
              <w:rPr>
                <w:rFonts w:ascii="Arial" w:cs="Arial" w:eastAsia="Arial" w:hAnsi="Arial"/>
                <w:sz w:val="18"/>
                <w:szCs w:val="18"/>
                <w:b w:val="1"/>
                <w:bCs w:val="1"/>
                <w:color w:val="auto"/>
                <w:w w:val="91"/>
              </w:rPr>
              <w:t>75240-2620</w:t>
            </w:r>
          </w:p>
        </w:tc>
      </w:tr>
      <w:tr>
        <w:trPr>
          <w:trHeight w:val="182"/>
        </w:trPr>
        <w:tc>
          <w:tcPr>
            <w:tcW w:w="6400" w:type="dxa"/>
            <w:vAlign w:val="bottom"/>
          </w:tcPr>
          <w:p>
            <w:pPr>
              <w:jc w:val="center"/>
              <w:ind w:right="3578"/>
              <w:spacing w:after="0"/>
              <w:rPr>
                <w:sz w:val="20"/>
                <w:szCs w:val="20"/>
                <w:color w:val="auto"/>
              </w:rPr>
            </w:pPr>
            <w:r>
              <w:rPr>
                <w:rFonts w:ascii="Arial" w:cs="Arial" w:eastAsia="Arial" w:hAnsi="Arial"/>
                <w:sz w:val="14"/>
                <w:szCs w:val="14"/>
                <w:color w:val="auto"/>
                <w:w w:val="95"/>
              </w:rPr>
              <w:t>(Address of principal executive offices)</w:t>
            </w:r>
          </w:p>
        </w:tc>
        <w:tc>
          <w:tcPr>
            <w:tcW w:w="1320" w:type="dxa"/>
            <w:vAlign w:val="bottom"/>
          </w:tcPr>
          <w:p>
            <w:pPr>
              <w:jc w:val="center"/>
              <w:ind w:left="161"/>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99" w:lineRule="exact"/>
        <w:rPr>
          <w:sz w:val="24"/>
          <w:szCs w:val="24"/>
          <w:color w:val="auto"/>
        </w:rPr>
      </w:pPr>
    </w:p>
    <w:p>
      <w:pPr>
        <w:ind w:left="6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Class A common stock</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CIX</w:t>
            </w:r>
          </w:p>
        </w:tc>
        <w:tc>
          <w:tcPr>
            <w:tcW w:w="100" w:type="dxa"/>
            <w:vAlign w:val="bottom"/>
          </w:tcPr>
          <w:p>
            <w:pPr>
              <w:spacing w:after="0"/>
              <w:rPr>
                <w:sz w:val="17"/>
                <w:szCs w:val="17"/>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NYSE American</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checkmark:</w:t>
      </w:r>
    </w:p>
    <w:p>
      <w:pPr>
        <w:spacing w:after="0" w:line="235" w:lineRule="exact"/>
        <w:rPr>
          <w:sz w:val="24"/>
          <w:szCs w:val="24"/>
          <w:color w:val="auto"/>
        </w:rPr>
      </w:pPr>
    </w:p>
    <w:p>
      <w:pPr>
        <w:jc w:val="both"/>
        <w:spacing w:after="0" w:line="211" w:lineRule="exact"/>
        <w:rPr>
          <w:sz w:val="20"/>
          <w:szCs w:val="20"/>
          <w:color w:val="auto"/>
        </w:rPr>
      </w:pPr>
      <w:r>
        <w:rPr>
          <w:rFonts w:ascii="Arial" w:cs="Arial" w:eastAsia="Arial" w:hAnsi="Arial"/>
          <w:sz w:val="16"/>
          <w:szCs w:val="16"/>
          <w:b w:val="1"/>
          <w:bCs w:val="1"/>
          <w:color w:val="auto"/>
        </w:rPr>
        <w:t xml:space="preserve">Whether the Registrant (1) has filed all reports required to be filed by Section 13 or 15(d) of the Securities Exchange Act of 1934 during the preceding 12 months (or for such a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91"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b w:val="1"/>
          <w:bCs w:val="1"/>
          <w:color w:val="auto"/>
        </w:rPr>
        <w:t xml:space="preserve">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jc w:val="both"/>
        <w:spacing w:after="0" w:line="334" w:lineRule="auto"/>
        <w:rPr>
          <w:sz w:val="20"/>
          <w:szCs w:val="20"/>
          <w:color w:val="auto"/>
        </w:rPr>
      </w:pPr>
      <w:r>
        <w:rPr>
          <w:rFonts w:ascii="Arial" w:cs="Arial" w:eastAsia="Arial" w:hAnsi="Arial"/>
          <w:sz w:val="15"/>
          <w:szCs w:val="15"/>
          <w:b w:val="1"/>
          <w:bCs w:val="1"/>
          <w:color w:val="auto"/>
        </w:rPr>
        <w:t>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15" w:lineRule="exact"/>
        <w:rPr>
          <w:sz w:val="24"/>
          <w:szCs w:val="24"/>
          <w:color w:val="auto"/>
        </w:rPr>
      </w:pPr>
    </w:p>
    <w:p>
      <w:pPr>
        <w:spacing w:after="0" w:line="184" w:lineRule="exact"/>
        <w:tabs>
          <w:tab w:leader="none" w:pos="1880" w:val="left"/>
          <w:tab w:leader="none" w:pos="3380" w:val="left"/>
        </w:tabs>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Smaller reporting company </w:t>
      </w:r>
      <w:r>
        <w:rPr>
          <w:rFonts w:ascii="MS PGothic" w:cs="MS PGothic" w:eastAsia="MS PGothic" w:hAnsi="MS PGothic"/>
          <w:sz w:val="14"/>
          <w:szCs w:val="14"/>
          <w:color w:val="auto"/>
        </w:rPr>
        <w:t>☐</w:t>
      </w:r>
    </w:p>
    <w:p>
      <w:pPr>
        <w:spacing w:after="0" w:line="235"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61"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4" w:lineRule="exact"/>
        <w:rPr>
          <w:sz w:val="24"/>
          <w:szCs w:val="24"/>
          <w:color w:val="auto"/>
        </w:rPr>
      </w:pPr>
    </w:p>
    <w:p>
      <w:pPr>
        <w:spacing w:after="0" w:line="184" w:lineRule="exact"/>
        <w:tabs>
          <w:tab w:leader="none" w:pos="6360" w:val="left"/>
          <w:tab w:leader="none" w:pos="7000" w:val="left"/>
        </w:tabs>
        <w:rPr>
          <w:sz w:val="20"/>
          <w:szCs w:val="20"/>
          <w:color w:val="auto"/>
        </w:rPr>
      </w:pPr>
      <w:r>
        <w:rPr>
          <w:rFonts w:ascii="Arial" w:cs="Arial" w:eastAsia="Arial" w:hAnsi="Arial"/>
          <w:sz w:val="16"/>
          <w:szCs w:val="16"/>
          <w:b w:val="1"/>
          <w:bCs w:val="1"/>
          <w:color w:val="auto"/>
        </w:rPr>
        <w:t>Whether the Registrant is a shell company (as defined in Rule 12b-2 of the Exchange Act).</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b w:val="1"/>
          <w:bCs w:val="1"/>
          <w:color w:val="auto"/>
        </w:rPr>
        <w:t xml:space="preserve">No </w:t>
      </w:r>
      <w:r>
        <w:rPr>
          <w:rFonts w:ascii="MS PGothic" w:cs="MS PGothic" w:eastAsia="MS PGothic" w:hAnsi="MS PGothic"/>
          <w:sz w:val="15"/>
          <w:szCs w:val="15"/>
          <w:color w:val="auto"/>
        </w:rPr>
        <w:t>☒</w:t>
      </w:r>
      <w:r>
        <w:rPr>
          <w:rFonts w:ascii="Arial" w:cs="Arial" w:eastAsia="Arial" w:hAnsi="Arial"/>
          <w:sz w:val="15"/>
          <w:szCs w:val="15"/>
          <w:b w:val="1"/>
          <w:bCs w:val="1"/>
          <w:color w:val="auto"/>
        </w:rPr>
        <w:t>.</w:t>
      </w:r>
    </w:p>
    <w:p>
      <w:pPr>
        <w:spacing w:after="0" w:line="2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As of May 1, 2019, the Registrant had 12,435,557 shares of Class A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376555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4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rPr>
              <w:t>COMPX INTERNATIONAL INC.</w:t>
            </w:r>
          </w:p>
        </w:tc>
        <w:tc>
          <w:tcPr>
            <w:tcW w:w="11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80" w:type="dxa"/>
            <w:vAlign w:val="bottom"/>
            <w:gridSpan w:val="7"/>
          </w:tcPr>
          <w:p>
            <w:pPr>
              <w:jc w:val="center"/>
              <w:ind w:right="3920"/>
              <w:spacing w:after="0"/>
              <w:rPr>
                <w:sz w:val="20"/>
                <w:szCs w:val="20"/>
                <w:color w:val="auto"/>
              </w:rPr>
            </w:pPr>
            <w:r>
              <w:rPr>
                <w:rFonts w:ascii="Arial" w:cs="Arial" w:eastAsia="Arial" w:hAnsi="Arial"/>
                <w:sz w:val="18"/>
                <w:szCs w:val="18"/>
                <w:b w:val="1"/>
                <w:bCs w:val="1"/>
                <w:color w:val="auto"/>
                <w:w w:val="93"/>
              </w:rPr>
              <w:t>Index</w:t>
            </w:r>
          </w:p>
        </w:tc>
        <w:tc>
          <w:tcPr>
            <w:tcW w:w="1100" w:type="dxa"/>
            <w:vAlign w:val="bottom"/>
          </w:tcPr>
          <w:p>
            <w:pPr>
              <w:spacing w:after="0"/>
              <w:rPr>
                <w:sz w:val="24"/>
                <w:szCs w:val="24"/>
                <w:color w:val="auto"/>
              </w:rPr>
            </w:pPr>
          </w:p>
        </w:tc>
      </w:tr>
      <w:tr>
        <w:trPr>
          <w:trHeight w:val="446"/>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Page</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1100" w:type="dxa"/>
            <w:vAlign w:val="bottom"/>
          </w:tcPr>
          <w:p>
            <w:pPr>
              <w:spacing w:after="0"/>
              <w:rPr>
                <w:sz w:val="18"/>
                <w:szCs w:val="18"/>
                <w:color w:val="auto"/>
              </w:rPr>
            </w:pPr>
          </w:p>
        </w:tc>
      </w:tr>
      <w:tr>
        <w:trPr>
          <w:trHeight w:val="296"/>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December 31, 2018 and March 31, 2019 (unaudited)</w:t>
              </w:r>
            </w:hyperlink>
          </w:p>
        </w:tc>
        <w:tc>
          <w:tcPr>
            <w:tcW w:w="1100" w:type="dxa"/>
            <w:vAlign w:val="bottom"/>
          </w:tcPr>
          <w:p>
            <w:pPr>
              <w:ind w:left="440"/>
              <w:spacing w:after="0"/>
              <w:rPr>
                <w:sz w:val="20"/>
                <w:szCs w:val="20"/>
                <w:color w:val="auto"/>
              </w:rPr>
            </w:pPr>
            <w:r>
              <w:rPr>
                <w:rFonts w:ascii="Arial" w:cs="Arial" w:eastAsia="Arial" w:hAnsi="Arial"/>
                <w:sz w:val="18"/>
                <w:szCs w:val="18"/>
                <w:color w:val="auto"/>
              </w:rPr>
              <w:t>- 3 -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months ended March 31, 2018 and 2019</w:t>
              </w:r>
            </w:hyperlink>
          </w:p>
        </w:tc>
        <w:tc>
          <w:tcPr>
            <w:tcW w:w="1100" w:type="dxa"/>
            <w:vAlign w:val="bottom"/>
          </w:tcPr>
          <w:p>
            <w:pPr>
              <w:ind w:left="440"/>
              <w:spacing w:after="0"/>
              <w:rPr>
                <w:sz w:val="20"/>
                <w:szCs w:val="20"/>
                <w:color w:val="auto"/>
              </w:rPr>
            </w:pPr>
            <w:r>
              <w:rPr>
                <w:rFonts w:ascii="Arial" w:cs="Arial" w:eastAsia="Arial" w:hAnsi="Arial"/>
                <w:sz w:val="18"/>
                <w:szCs w:val="18"/>
                <w:color w:val="auto"/>
              </w:rPr>
              <w:t>- 4 -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81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 Three months ended March 31, 2018 and 2019</w:t>
              </w:r>
            </w:hyperlink>
          </w:p>
        </w:tc>
        <w:tc>
          <w:tcPr>
            <w:tcW w:w="1460" w:type="dxa"/>
            <w:vAlign w:val="bottom"/>
            <w:gridSpan w:val="2"/>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8"/>
                <w:szCs w:val="18"/>
                <w:color w:val="auto"/>
              </w:rPr>
              <w:t>- 5 -</w:t>
            </w:r>
          </w:p>
        </w:tc>
      </w:tr>
      <w:tr>
        <w:trPr>
          <w:trHeight w:val="318"/>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Stockholders’ Equity (unaudited) – Three months ended March 31, 2018 and 2019</w:t>
              </w:r>
            </w:hyperlink>
          </w:p>
        </w:tc>
        <w:tc>
          <w:tcPr>
            <w:tcW w:w="1100" w:type="dxa"/>
            <w:vAlign w:val="bottom"/>
          </w:tcPr>
          <w:p>
            <w:pPr>
              <w:ind w:left="440"/>
              <w:spacing w:after="0"/>
              <w:rPr>
                <w:sz w:val="20"/>
                <w:szCs w:val="20"/>
                <w:color w:val="auto"/>
              </w:rPr>
            </w:pPr>
            <w:r>
              <w:rPr>
                <w:rFonts w:ascii="Arial" w:cs="Arial" w:eastAsia="Arial" w:hAnsi="Arial"/>
                <w:sz w:val="18"/>
                <w:szCs w:val="18"/>
                <w:color w:val="auto"/>
              </w:rPr>
              <w:t>- 6 -</w:t>
            </w:r>
          </w:p>
        </w:tc>
      </w:tr>
      <w:tr>
        <w:trPr>
          <w:trHeight w:val="318"/>
        </w:trPr>
        <w:tc>
          <w:tcPr>
            <w:tcW w:w="76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940" w:type="dxa"/>
            <w:vAlign w:val="bottom"/>
            <w:tcBorders>
              <w:top w:val="single" w:sz="8" w:color="0000EE"/>
            </w:tcBorders>
            <w:gridSpan w:val="5"/>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8"/>
                <w:szCs w:val="18"/>
                <w:color w:val="auto"/>
              </w:rPr>
              <w:t>- 7 -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ind w:left="420"/>
              <w:spacing w:after="0"/>
              <w:rPr>
                <w:sz w:val="20"/>
                <w:szCs w:val="20"/>
                <w:color w:val="auto"/>
              </w:rPr>
            </w:pPr>
            <w:r>
              <w:rPr>
                <w:rFonts w:ascii="Arial" w:cs="Arial" w:eastAsia="Arial" w:hAnsi="Arial"/>
                <w:sz w:val="18"/>
                <w:szCs w:val="18"/>
                <w:color w:val="auto"/>
              </w:rPr>
              <w:t>- 10 -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24"/>
                <w:szCs w:val="24"/>
                <w:color w:val="auto"/>
              </w:rPr>
            </w:pPr>
          </w:p>
        </w:tc>
        <w:tc>
          <w:tcPr>
            <w:tcW w:w="3120" w:type="dxa"/>
            <w:vAlign w:val="bottom"/>
            <w:gridSpan w:val="5"/>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- 14 -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Controls and Procedures</w:t>
              </w:r>
            </w:hyperlink>
          </w:p>
        </w:tc>
        <w:tc>
          <w:tcPr>
            <w:tcW w:w="1100" w:type="dxa"/>
            <w:vAlign w:val="bottom"/>
          </w:tcPr>
          <w:p>
            <w:pPr>
              <w:ind w:left="420"/>
              <w:spacing w:after="0"/>
              <w:rPr>
                <w:sz w:val="20"/>
                <w:szCs w:val="20"/>
                <w:color w:val="auto"/>
              </w:rPr>
            </w:pPr>
            <w:r>
              <w:rPr>
                <w:rFonts w:ascii="Arial" w:cs="Arial" w:eastAsia="Arial" w:hAnsi="Arial"/>
                <w:sz w:val="18"/>
                <w:szCs w:val="18"/>
                <w:color w:val="auto"/>
              </w:rPr>
              <w:t>- 14 -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OTHER INFORMATION</w:t>
              </w:r>
            </w:hyperlink>
          </w:p>
        </w:tc>
        <w:tc>
          <w:tcPr>
            <w:tcW w:w="7540" w:type="dxa"/>
            <w:vAlign w:val="bottom"/>
            <w:gridSpan w:val="8"/>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8660" w:type="dxa"/>
            <w:vAlign w:val="bottom"/>
            <w:gridSpan w:val="10"/>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- 16 -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Exhibits</w:t>
              </w:r>
            </w:hyperlink>
          </w:p>
        </w:tc>
        <w:tc>
          <w:tcPr>
            <w:tcW w:w="8960" w:type="dxa"/>
            <w:vAlign w:val="bottom"/>
            <w:gridSpan w:val="11"/>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- 16 -</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December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85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5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shd w:val="clear" w:color="auto" w:fill="CFF0FC"/>
          </w:tcPr>
          <w:p>
            <w:pPr>
              <w:jc w:val="center"/>
              <w:ind w:right="92"/>
              <w:spacing w:after="0" w:line="155"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45,414</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36,069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12,140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76,285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67,073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67,153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95,451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95,549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63,639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166,429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166,406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12,504</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55,751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55,751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96,803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149,562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166,429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166,406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4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7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(unaudited)</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28,413</w:t>
            </w:r>
          </w:p>
        </w:tc>
        <w:tc>
          <w:tcPr>
            <w:tcW w:w="88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31,176</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18,910</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21,552</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w:t>
            </w: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9,624</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5,334</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w:t>
            </w: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4,290</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before taxes</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5,127</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1,141</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3,726</w:t>
            </w:r>
          </w:p>
        </w:tc>
        <w:tc>
          <w:tcPr>
            <w:tcW w:w="3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7740" w:type="dxa"/>
            <w:vAlign w:val="bottom"/>
          </w:tcPr>
          <w:p>
            <w:pPr>
              <w:spacing w:after="0"/>
              <w:rPr>
                <w:sz w:val="20"/>
                <w:szCs w:val="20"/>
                <w:color w:val="auto"/>
              </w:rPr>
            </w:pPr>
            <w:r>
              <w:rPr>
                <w:rFonts w:ascii="Arial" w:cs="Arial" w:eastAsia="Arial" w:hAnsi="Arial"/>
                <w:sz w:val="18"/>
                <w:szCs w:val="18"/>
                <w:color w:val="auto"/>
              </w:rPr>
              <w:t>Basic and diluted net income per common share</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0.30</w:t>
            </w:r>
          </w:p>
        </w:tc>
        <w:tc>
          <w:tcPr>
            <w:tcW w:w="880" w:type="dxa"/>
            <w:vAlign w:val="bottom"/>
            <w:gridSpan w:val="2"/>
          </w:tcPr>
          <w:p>
            <w:pPr>
              <w:jc w:val="right"/>
              <w:ind w:right="385"/>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120" w:type="dxa"/>
            <w:vAlign w:val="bottom"/>
          </w:tcPr>
          <w:p>
            <w:pPr>
              <w:spacing w:after="0"/>
              <w:rPr>
                <w:sz w:val="24"/>
                <w:szCs w:val="24"/>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774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12,426</w:t>
            </w:r>
          </w:p>
        </w:tc>
        <w:tc>
          <w:tcPr>
            <w:tcW w:w="3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12,436</w:t>
            </w:r>
          </w:p>
        </w:tc>
        <w:tc>
          <w:tcPr>
            <w:tcW w:w="120" w:type="dxa"/>
            <w:vAlign w:val="bottom"/>
          </w:tcPr>
          <w:p>
            <w:pPr>
              <w:spacing w:after="0"/>
              <w:rPr>
                <w:sz w:val="24"/>
                <w:szCs w:val="24"/>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r>
      <w:tr>
        <w:trPr>
          <w:trHeight w:val="215"/>
        </w:trPr>
        <w:tc>
          <w:tcPr>
            <w:tcW w:w="8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left="513"/>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8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8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4"/>
          </w:tcPr>
          <w:p>
            <w:pPr>
              <w:jc w:val="center"/>
              <w:ind w:left="493"/>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3,726</w:t>
            </w:r>
          </w:p>
        </w:tc>
        <w:tc>
          <w:tcPr>
            <w:tcW w:w="18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3,986</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901</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(3,221)</w:t>
            </w: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(1,475)</w:t>
            </w: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(3,216)</w:t>
            </w: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541</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w:t>
            </w:r>
          </w:p>
        </w:tc>
        <w:tc>
          <w:tcPr>
            <w:tcW w:w="120" w:type="dxa"/>
            <w:vAlign w:val="bottom"/>
            <w:shd w:val="clear" w:color="auto" w:fill="CFF0FC"/>
          </w:tcPr>
          <w:p>
            <w:pPr>
              <w:spacing w:after="0"/>
              <w:rPr>
                <w:sz w:val="19"/>
                <w:szCs w:val="19"/>
                <w:color w:val="auto"/>
              </w:rPr>
            </w:pP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(2,036)</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(439)</w:t>
            </w: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Collections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11,400</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Advances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(12,400)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(17,400)</w:t>
            </w: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(6,439)</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 -</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(870)</w:t>
            </w:r>
          </w:p>
        </w:tc>
      </w:tr>
      <w:tr>
        <w:trPr>
          <w:trHeight w:val="223"/>
        </w:trPr>
        <w:tc>
          <w:tcPr>
            <w:tcW w:w="8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 net change from:</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(9,345)</w:t>
            </w: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45,414</w:t>
            </w:r>
          </w:p>
        </w:tc>
        <w:tc>
          <w:tcPr>
            <w:tcW w:w="120" w:type="dxa"/>
            <w:vAlign w:val="bottom"/>
            <w:shd w:val="clear" w:color="auto" w:fill="CFF0FC"/>
          </w:tcPr>
          <w:p>
            <w:pPr>
              <w:spacing w:after="0"/>
              <w:rPr>
                <w:sz w:val="19"/>
                <w:szCs w:val="19"/>
                <w:color w:val="auto"/>
              </w:rPr>
            </w:pPr>
          </w:p>
        </w:tc>
      </w:tr>
      <w:tr>
        <w:trPr>
          <w:trHeight w:val="263"/>
        </w:trPr>
        <w:tc>
          <w:tcPr>
            <w:tcW w:w="8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28,353</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36,069</w:t>
            </w:r>
          </w:p>
        </w:tc>
        <w:tc>
          <w:tcPr>
            <w:tcW w:w="120" w:type="dxa"/>
            <w:vAlign w:val="bottom"/>
            <w:tcBorders>
              <w:bottom w:val="single" w:sz="8" w:color="CFF0FC"/>
            </w:tcBorders>
          </w:tcPr>
          <w:p>
            <w:pPr>
              <w:spacing w:after="0"/>
              <w:rPr>
                <w:sz w:val="22"/>
                <w:szCs w:val="22"/>
                <w:color w:val="auto"/>
              </w:rPr>
            </w:pPr>
          </w:p>
        </w:tc>
      </w:tr>
      <w:tr>
        <w:trPr>
          <w:trHeight w:val="21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858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20"/>
                <w:szCs w:val="20"/>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993</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8"/>
                <w:szCs w:val="18"/>
                <w:b w:val="1"/>
                <w:bCs w:val="1"/>
                <w:color w:val="auto"/>
              </w:rPr>
              <w:t>For the three months ended March 31, 2018</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46"/>
        </w:trPr>
        <w:tc>
          <w:tcPr>
            <w:tcW w:w="4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r>
      <w:tr>
        <w:trPr>
          <w:trHeight w:val="171"/>
        </w:trPr>
        <w:tc>
          <w:tcPr>
            <w:tcW w:w="4240" w:type="dxa"/>
            <w:vAlign w:val="bottom"/>
          </w:tcPr>
          <w:p>
            <w:pPr>
              <w:spacing w:after="0"/>
              <w:rPr>
                <w:sz w:val="14"/>
                <w:szCs w:val="14"/>
                <w:color w:val="auto"/>
              </w:rPr>
            </w:pPr>
          </w:p>
        </w:tc>
        <w:tc>
          <w:tcPr>
            <w:tcW w:w="2560" w:type="dxa"/>
            <w:vAlign w:val="bottom"/>
            <w:gridSpan w:val="6"/>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r>
      <w:tr>
        <w:trPr>
          <w:trHeight w:val="156"/>
        </w:trPr>
        <w:tc>
          <w:tcPr>
            <w:tcW w:w="42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Class A</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3"/>
                <w:szCs w:val="13"/>
                <w:color w:val="auto"/>
              </w:rPr>
            </w:pPr>
          </w:p>
        </w:tc>
        <w:tc>
          <w:tcPr>
            <w:tcW w:w="138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equity</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80,849</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($0.05 per share)</w:t>
            </w:r>
          </w:p>
        </w:tc>
        <w:tc>
          <w:tcPr>
            <w:tcW w:w="7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(621)</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83,954</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139,690</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5"/>
              </w:rPr>
              <w:t>For the three months ended March 31, 2019</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46"/>
        </w:trPr>
        <w:tc>
          <w:tcPr>
            <w:tcW w:w="4920" w:type="dxa"/>
            <w:vAlign w:val="bottom"/>
          </w:tcPr>
          <w:p>
            <w:pPr>
              <w:spacing w:after="0"/>
              <w:rPr>
                <w:sz w:val="12"/>
                <w:szCs w:val="12"/>
                <w:color w:val="auto"/>
              </w:rPr>
            </w:pPr>
          </w:p>
        </w:tc>
        <w:tc>
          <w:tcPr>
            <w:tcW w:w="860" w:type="dxa"/>
            <w:vAlign w:val="bottom"/>
          </w:tcPr>
          <w:p>
            <w:pPr>
              <w:jc w:val="center"/>
              <w:ind w:left="221"/>
              <w:spacing w:after="0" w:line="147" w:lineRule="exact"/>
              <w:rPr>
                <w:sz w:val="20"/>
                <w:szCs w:val="20"/>
                <w:color w:val="auto"/>
              </w:rPr>
            </w:pPr>
            <w:r>
              <w:rPr>
                <w:rFonts w:ascii="Arial" w:cs="Arial" w:eastAsia="Arial" w:hAnsi="Arial"/>
                <w:sz w:val="14"/>
                <w:szCs w:val="14"/>
                <w:b w:val="1"/>
                <w:bCs w:val="1"/>
                <w:color w:val="auto"/>
                <w:w w:val="93"/>
              </w:rPr>
              <w:t>Class A</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58"/>
              <w:spacing w:after="0" w:line="14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62"/>
        </w:trPr>
        <w:tc>
          <w:tcPr>
            <w:tcW w:w="4920" w:type="dxa"/>
            <w:vAlign w:val="bottom"/>
          </w:tcPr>
          <w:p>
            <w:pPr>
              <w:spacing w:after="0"/>
              <w:rPr>
                <w:sz w:val="14"/>
                <w:szCs w:val="14"/>
                <w:color w:val="auto"/>
              </w:rPr>
            </w:pPr>
          </w:p>
        </w:tc>
        <w:tc>
          <w:tcPr>
            <w:tcW w:w="860" w:type="dxa"/>
            <w:vAlign w:val="bottom"/>
          </w:tcPr>
          <w:p>
            <w:pPr>
              <w:jc w:val="center"/>
              <w:ind w:left="221"/>
              <w:spacing w:after="0"/>
              <w:rPr>
                <w:sz w:val="20"/>
                <w:szCs w:val="20"/>
                <w:color w:val="auto"/>
              </w:rPr>
            </w:pPr>
            <w:r>
              <w:rPr>
                <w:rFonts w:ascii="Arial" w:cs="Arial" w:eastAsia="Arial" w:hAnsi="Arial"/>
                <w:sz w:val="14"/>
                <w:szCs w:val="14"/>
                <w:b w:val="1"/>
                <w:bCs w:val="1"/>
                <w:color w:val="auto"/>
                <w:w w:val="89"/>
              </w:rPr>
              <w:t>common</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paid-in</w:t>
            </w:r>
          </w:p>
        </w:tc>
        <w:tc>
          <w:tcPr>
            <w:tcW w:w="300" w:type="dxa"/>
            <w:vAlign w:val="bottom"/>
          </w:tcPr>
          <w:p>
            <w:pPr>
              <w:spacing w:after="0"/>
              <w:rPr>
                <w:sz w:val="14"/>
                <w:szCs w:val="14"/>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stockholders'</w:t>
            </w:r>
          </w:p>
        </w:tc>
      </w:tr>
      <w:tr>
        <w:trPr>
          <w:trHeight w:val="171"/>
        </w:trPr>
        <w:tc>
          <w:tcPr>
            <w:tcW w:w="4920" w:type="dxa"/>
            <w:vAlign w:val="bottom"/>
          </w:tcPr>
          <w:p>
            <w:pPr>
              <w:spacing w:after="0"/>
              <w:rPr>
                <w:sz w:val="14"/>
                <w:szCs w:val="14"/>
                <w:color w:val="auto"/>
              </w:rPr>
            </w:pPr>
          </w:p>
        </w:tc>
        <w:tc>
          <w:tcPr>
            <w:tcW w:w="860" w:type="dxa"/>
            <w:vAlign w:val="bottom"/>
          </w:tcPr>
          <w:p>
            <w:pPr>
              <w:jc w:val="center"/>
              <w:ind w:left="221"/>
              <w:spacing w:after="0"/>
              <w:rPr>
                <w:sz w:val="20"/>
                <w:szCs w:val="20"/>
                <w:color w:val="auto"/>
              </w:rPr>
            </w:pPr>
            <w:r>
              <w:rPr>
                <w:rFonts w:ascii="Arial" w:cs="Arial" w:eastAsia="Arial" w:hAnsi="Arial"/>
                <w:sz w:val="14"/>
                <w:szCs w:val="14"/>
                <w:b w:val="1"/>
                <w:bCs w:val="1"/>
                <w:color w:val="auto"/>
                <w:w w:val="87"/>
              </w:rPr>
              <w:t>stock</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capital</w:t>
            </w:r>
          </w:p>
        </w:tc>
        <w:tc>
          <w:tcPr>
            <w:tcW w:w="300" w:type="dxa"/>
            <w:vAlign w:val="bottom"/>
          </w:tcPr>
          <w:p>
            <w:pPr>
              <w:spacing w:after="0"/>
              <w:rPr>
                <w:sz w:val="14"/>
                <w:szCs w:val="14"/>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equity</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tcBorders>
            <w:shd w:val="clear" w:color="auto" w:fill="CFF0FC"/>
          </w:tcPr>
          <w:p>
            <w:pPr>
              <w:jc w:val="right"/>
              <w:ind w:right="6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124</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55,751</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93,687</w:t>
            </w: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($0.07 per share)</w:t>
            </w:r>
          </w:p>
        </w:tc>
        <w:tc>
          <w:tcPr>
            <w:tcW w:w="8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(870)</w:t>
            </w:r>
          </w:p>
        </w:tc>
      </w:tr>
      <w:tr>
        <w:trPr>
          <w:trHeight w:val="223"/>
        </w:trPr>
        <w:tc>
          <w:tcPr>
            <w:tcW w:w="4920" w:type="dxa"/>
            <w:vAlign w:val="bottom"/>
          </w:tcPr>
          <w:p>
            <w:pPr>
              <w:spacing w:after="0"/>
              <w:rPr>
                <w:sz w:val="20"/>
                <w:szCs w:val="20"/>
                <w:color w:val="auto"/>
              </w:rPr>
            </w:pPr>
            <w:r>
              <w:rPr>
                <w:rFonts w:ascii="Arial" w:cs="Arial" w:eastAsia="Arial" w:hAnsi="Arial"/>
                <w:sz w:val="18"/>
                <w:szCs w:val="18"/>
                <w:b w:val="1"/>
                <w:bCs w:val="1"/>
                <w:color w:val="auto"/>
              </w:rPr>
              <w:t>Balance at March 31, 2019</w:t>
            </w:r>
          </w:p>
        </w:tc>
        <w:tc>
          <w:tcPr>
            <w:tcW w:w="8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124</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55,751</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96,803</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152,678</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Organization</w:t>
      </w:r>
      <w:r>
        <w:rPr>
          <w:rFonts w:ascii="Arial" w:cs="Arial" w:eastAsia="Arial" w:hAnsi="Arial"/>
          <w:sz w:val="18"/>
          <w:szCs w:val="18"/>
          <w:color w:val="auto"/>
        </w:rPr>
        <w:t>. We (NYSE American: CIX) are 87% owned by NL Industries, Inc. (NYSE: NL) at March 31, 2019. We manufacture and sell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products (security products and recreational marine components). At March 31, 2019, Valhi, Inc. (NYSE: VHI) owns 83% of NL’s outstanding common stock and a wholly-owned subsidiary of Contran Corporation owns 92% of Valhi’s outstanding common stock. All of Contran’s outstanding voting stock is held by a family trust established for the benefit of Lisa K. Simmons and Serena Simmons Connelly and their children, for which Ms. Simmons and Ms. Connelly are co-trustees, or is held directly by Ms. Simmons and Ms. Connelly or entities related to them. Consequently, Ms. Simmons and Ms. Connelly may be deemed to control Contran, Valhi, NL and us.</w:t>
      </w:r>
    </w:p>
    <w:p>
      <w:pPr>
        <w:spacing w:after="0" w:line="193"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Consolidated in this Quarterly Report are the results of CompX International Inc. and its subsidiaries. The unaudited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contained in this Quarterly Report have been prepared on the same basis as the audited Consolidated Financial Statements included in our Annual Report on Form 10-K for the year ended December 31, 2018 that we filed with the Securities and Exchange Commission (“SEC”) on February 27, 2019 (the “2018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2018 contained in this Quarterly Report as compared to our audited Consolidated Financial Statements at that date, and we have omitted certain information and footnote disclosures (including those related to the Consolidated Balance Sheet at December 31, 2018) normally included in financial statements prepared in accordance with accounting principles generally accepted in the United States of America (“GAAP”). Our results of operations for the interim period ended March 31, 2019 may not be indicative of our operating results for the full year. The Condensed Consolidated Financial Statements contained in this Quarterly Report should be read in conjunction with our 2018 Consolidated Financial Statements contained in our 2018 Annual Report.</w:t>
      </w:r>
    </w:p>
    <w:p>
      <w:pPr>
        <w:spacing w:after="0" w:line="18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operations are reported on a 52 or 53-week year. For presentation purposes, annual and quarterly information in the Condensed Consolidated Financial Statements and accompanying notes are presented as ended March 31, 2018, December 31, 2018 and March 31, 2019. The actual dates of our annual and quarterly periods are April 1, 2018, December 30, 2018 and March 31, 2019, respectively. Unless otherwise indicated, references in this report to “we”, “us” or “our” refer to CompX International Inc. and its subsidiaries, taken as a whole.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segment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4"/>
          </w:tcPr>
          <w:p>
            <w:pPr>
              <w:jc w:val="center"/>
              <w:ind w:left="436"/>
              <w:spacing w:after="0"/>
              <w:rPr>
                <w:sz w:val="20"/>
                <w:szCs w:val="20"/>
                <w:color w:val="auto"/>
              </w:rPr>
            </w:pPr>
            <w:r>
              <w:rPr>
                <w:rFonts w:ascii="Arial" w:cs="Arial" w:eastAsia="Arial" w:hAnsi="Arial"/>
                <w:sz w:val="14"/>
                <w:szCs w:val="14"/>
                <w:b w:val="1"/>
                <w:bCs w:val="1"/>
                <w:color w:val="auto"/>
                <w:w w:val="91"/>
              </w:rPr>
              <w:t>Three months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ind w:left="436"/>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4"/>
          </w:tcPr>
          <w:p>
            <w:pPr>
              <w:jc w:val="center"/>
              <w:ind w:left="436"/>
              <w:spacing w:after="0"/>
              <w:rPr>
                <w:sz w:val="20"/>
                <w:szCs w:val="20"/>
                <w:color w:val="auto"/>
              </w:rPr>
            </w:pPr>
            <w:r>
              <w:rPr>
                <w:rFonts w:ascii="Arial" w:cs="Arial" w:eastAsia="Arial" w:hAnsi="Arial"/>
                <w:sz w:val="14"/>
                <w:szCs w:val="14"/>
                <w:b w:val="1"/>
                <w:bCs w:val="1"/>
                <w:color w:val="auto"/>
                <w:w w:val="93"/>
              </w:rPr>
              <w:t>(In thousands)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480"/>
              <w:spacing w:after="0"/>
              <w:rPr>
                <w:sz w:val="20"/>
                <w:szCs w:val="20"/>
                <w:color w:val="auto"/>
              </w:rPr>
            </w:pPr>
            <w:r>
              <w:rPr>
                <w:rFonts w:ascii="Arial" w:cs="Arial" w:eastAsia="Arial" w:hAnsi="Arial"/>
                <w:sz w:val="18"/>
                <w:szCs w:val="18"/>
                <w:color w:val="auto"/>
              </w:rPr>
              <w:t>Security Products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24,056</w:t>
            </w:r>
          </w:p>
        </w:tc>
        <w:tc>
          <w:tcPr>
            <w:tcW w:w="300" w:type="dxa"/>
            <w:vAlign w:val="bottom"/>
          </w:tcPr>
          <w:p>
            <w:pPr>
              <w:spacing w:after="0"/>
              <w:rPr>
                <w:sz w:val="19"/>
                <w:szCs w:val="19"/>
                <w:color w:val="auto"/>
              </w:rPr>
            </w:pPr>
          </w:p>
        </w:tc>
        <w:tc>
          <w:tcPr>
            <w:tcW w:w="480" w:type="dxa"/>
            <w:vAlign w:val="bottom"/>
            <w:gridSpan w:val="2"/>
          </w:tcPr>
          <w:p>
            <w:pPr>
              <w:jc w:val="right"/>
              <w:ind w:right="35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Marine Components</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2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28,413</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31,176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Security Products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w:t>
            </w:r>
          </w:p>
        </w:tc>
        <w:tc>
          <w:tcPr>
            <w:tcW w:w="3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50"/>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480"/>
              <w:spacing w:after="0"/>
              <w:rPr>
                <w:sz w:val="20"/>
                <w:szCs w:val="20"/>
                <w:color w:val="auto"/>
              </w:rPr>
            </w:pPr>
            <w:r>
              <w:rPr>
                <w:rFonts w:ascii="Arial" w:cs="Arial" w:eastAsia="Arial" w:hAnsi="Arial"/>
                <w:sz w:val="18"/>
                <w:szCs w:val="18"/>
                <w:color w:val="auto"/>
              </w:rPr>
              <w:t>Marine Components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Corporate operating expenses</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(1,825)</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2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Intersegment sales are not material.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 Accounts receivable, net: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215"/>
        </w:trPr>
        <w:tc>
          <w:tcPr>
            <w:tcW w:w="8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10,596</w:t>
            </w:r>
          </w:p>
        </w:tc>
        <w:tc>
          <w:tcPr>
            <w:tcW w:w="18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23"/>
        </w:trPr>
        <w:tc>
          <w:tcPr>
            <w:tcW w:w="8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15,358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2,001</w:t>
            </w:r>
          </w:p>
        </w:tc>
        <w:tc>
          <w:tcPr>
            <w:tcW w:w="18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Note 5 – Accounts payable and accrued liabilities:</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2,708</w:t>
            </w:r>
          </w:p>
        </w:tc>
        <w:tc>
          <w:tcPr>
            <w:tcW w:w="18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500"/>
              <w:spacing w:after="0"/>
              <w:rPr>
                <w:sz w:val="20"/>
                <w:szCs w:val="20"/>
                <w:color w:val="auto"/>
              </w:rPr>
            </w:pPr>
            <w:r>
              <w:rPr>
                <w:rFonts w:ascii="Arial" w:cs="Arial" w:eastAsia="Arial" w:hAnsi="Arial"/>
                <w:sz w:val="18"/>
                <w:szCs w:val="18"/>
                <w:color w:val="auto"/>
              </w:rPr>
              <w:t>Customer tooling</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other than on income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6 – Provision for income taxes: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8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80" w:type="dxa"/>
            <w:vAlign w:val="bottom"/>
            <w:gridSpan w:val="2"/>
            <w:vMerge w:val="restart"/>
            <w:shd w:val="clear" w:color="auto" w:fill="CFF0FC"/>
          </w:tcPr>
          <w:p>
            <w:pPr>
              <w:jc w:val="right"/>
              <w:ind w:right="325"/>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rate of 21%</w:t>
            </w: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780" w:type="dxa"/>
            <w:vAlign w:val="bottom"/>
            <w:gridSpan w:val="2"/>
            <w:vMerge w:val="continue"/>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State income taxes, net</w:t>
            </w: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Foreign-derived intangible income benefit</w:t>
            </w: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tax expense</w:t>
            </w:r>
          </w:p>
        </w:tc>
        <w:tc>
          <w:tcPr>
            <w:tcW w:w="780" w:type="dxa"/>
            <w:vAlign w:val="bottom"/>
            <w:tcBorders>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Under the 2017 Tax Act enacted into law on December 22, 2017, beginning in 2018, domestic corporations who are U.S. exporters with no foreign operations may be eligible for a deduction under the foreign derived intangible income provisions. We qualify for this deduction and recognized a current cash tax benefit of $119,000 in the first quarter of 2019 ($98,000 of such current cash tax benefit is related to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left="519"/>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3"/>
              </w:rPr>
              <w:t>2018</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3"/>
              </w:rPr>
              <w:t>2019</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rPr>
              <w:t>Carrying</w:t>
            </w:r>
          </w:p>
        </w:tc>
        <w:tc>
          <w:tcPr>
            <w:tcW w:w="660" w:type="dxa"/>
            <w:vAlign w:val="bottom"/>
          </w:tcPr>
          <w:p>
            <w:pPr>
              <w:spacing w:after="0"/>
              <w:rPr>
                <w:sz w:val="12"/>
                <w:szCs w:val="12"/>
                <w:color w:val="auto"/>
              </w:rPr>
            </w:pPr>
          </w:p>
        </w:tc>
        <w:tc>
          <w:tcPr>
            <w:tcW w:w="880" w:type="dxa"/>
            <w:vAlign w:val="bottom"/>
          </w:tcPr>
          <w:p>
            <w:pPr>
              <w:jc w:val="center"/>
              <w:ind w:right="299"/>
              <w:spacing w:after="0" w:line="14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w w:val="97"/>
              </w:rPr>
              <w:t>Carrying</w:t>
            </w:r>
          </w:p>
        </w:tc>
        <w:tc>
          <w:tcPr>
            <w:tcW w:w="600" w:type="dxa"/>
            <w:vAlign w:val="bottom"/>
          </w:tcPr>
          <w:p>
            <w:pPr>
              <w:spacing w:after="0"/>
              <w:rPr>
                <w:sz w:val="12"/>
                <w:szCs w:val="12"/>
                <w:color w:val="auto"/>
              </w:rPr>
            </w:pPr>
          </w:p>
        </w:tc>
        <w:tc>
          <w:tcPr>
            <w:tcW w:w="940" w:type="dxa"/>
            <w:vAlign w:val="bottom"/>
          </w:tcPr>
          <w:p>
            <w:pPr>
              <w:jc w:val="center"/>
              <w:ind w:right="237"/>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r>
      <w:tr>
        <w:trPr>
          <w:trHeight w:val="171"/>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value</w:t>
            </w:r>
          </w:p>
        </w:tc>
        <w:tc>
          <w:tcPr>
            <w:tcW w:w="320" w:type="dxa"/>
            <w:vAlign w:val="bottom"/>
          </w:tcPr>
          <w:p>
            <w:pPr>
              <w:spacing w:after="0"/>
              <w:rPr>
                <w:sz w:val="14"/>
                <w:szCs w:val="14"/>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value</w:t>
            </w:r>
          </w:p>
        </w:tc>
      </w:tr>
      <w:tr>
        <w:trPr>
          <w:trHeight w:val="156"/>
        </w:trPr>
        <w:tc>
          <w:tcPr>
            <w:tcW w:w="5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45,414</w:t>
            </w:r>
          </w:p>
        </w:tc>
        <w:tc>
          <w:tcPr>
            <w:tcW w:w="66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36,069</w:t>
            </w:r>
          </w:p>
        </w:tc>
        <w:tc>
          <w:tcPr>
            <w:tcW w:w="600" w:type="dxa"/>
            <w:vAlign w:val="bottom"/>
            <w:shd w:val="clear" w:color="auto" w:fill="CFF0FC"/>
          </w:tcPr>
          <w:p>
            <w:pPr>
              <w:jc w:val="right"/>
              <w:ind w:right="13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36,069</w:t>
            </w:r>
          </w:p>
        </w:tc>
        <w:tc>
          <w:tcPr>
            <w:tcW w:w="120" w:type="dxa"/>
            <w:vAlign w:val="bottom"/>
            <w:shd w:val="clear" w:color="auto" w:fill="CFF0F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12,140</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12,140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15,358</w:t>
            </w: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15,358</w:t>
            </w:r>
          </w:p>
        </w:tc>
        <w:tc>
          <w:tcPr>
            <w:tcW w:w="120" w:type="dxa"/>
            <w:vAlign w:val="bottom"/>
          </w:tcPr>
          <w:p>
            <w:pPr>
              <w:spacing w:after="0"/>
              <w:rPr>
                <w:sz w:val="21"/>
                <w:szCs w:val="21"/>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6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3,295</w:t>
            </w: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3,295</w:t>
            </w:r>
          </w:p>
        </w:tc>
        <w:tc>
          <w:tcPr>
            <w:tcW w:w="12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2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whereby we agreed to loan Valhi up to $40 million. Our loan to Valhi, as amended, bears interest at prime plus 1.00%, payable quarterly, with all principal due on demand, but in any event no earlier than December 31, 2020. Loans made to Valhi at any time under the agreement are at our discretion. At March 31, 2019, the outstanding principal balance receivable from Valhi under the promissory note was $40.0 million. Interest income (including unused commitment fees) on our loan to Valhi was $0.5 million and $0.6 million for the three months ended March 31, 2018 and 2019, respectively.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22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 xml:space="preserve">On January 1, 2019, we adopted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was a comprehensive rewriting of the lease accounting guidance which aimed to increase comparability and transparency with regard to lease transactions. The primary change for leases currently classified as operating leases is the balance sheet recognition of a lease asset for the right to use the underlying asset and a lease liability for the lessee’s obligation to make payments. Due to our minimal utilization of lease financing, the adoption of this standard did not have a material effect on our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are a leading manufacturer of engineered components utilized in a variety of applications and industries. Through our Security Products segment we manufacture mechanical and electronic cabinet locks and other locking mechanisms used in recreational transportation, postal, office and institutional furniture, cabinetry, tool storage and healthcare applications. We also manufacture stainless steel exhaust systems, gauges, throttle controls, wake enhancement systems and trim tabs for the recreational marine and other industries through our Marine Components segment.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8" w:lineRule="exact"/>
        <w:rPr>
          <w:sz w:val="20"/>
          <w:szCs w:val="20"/>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steel and energy costs) and our ability to pass those costs on to our customers or offset them with reductions in other operating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cyber-attacks);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Operating Income Overview</w:t>
      </w:r>
    </w:p>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reported operating income of $4.3 million in the first quarter of 2019 compared to $4.4 million in the same period of 2018. The decrease in operating income from 2018 to 2019 primarily resulted from increased labor rates and medical costs at Security Products, partially offset by the effect of higher sales volumes at Marine Components.</w:t>
      </w:r>
    </w:p>
    <w:p>
      <w:pPr>
        <w:spacing w:after="0" w:line="18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1"/>
              </w:rPr>
              <w:t>Three months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398"/>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6"/>
          </w:tcPr>
          <w:p>
            <w:pPr>
              <w:jc w:val="center"/>
              <w:ind w:right="6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28,413</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31,176</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18,910</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21,552</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69.1%</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9,624</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30.9%</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5,130</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5,334</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17.1%</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15.4%</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4,290</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13.8%</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$2.8 million in the first quarter of 2019 compared to the same period in 2018 due to higher Marine Component sales,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surf pipes and wake enhancement systems to an original equipment boat manufacturer. Security Products also contributed higher sales for the quarter, primarily to existing government security customers. Relative changes in selling prices did not have a material impact on net sales comparisons.</w:t>
      </w:r>
    </w:p>
    <w:p>
      <w:pPr>
        <w:spacing w:after="0" w:line="14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Cost of goods sold and gross profit. </w:t>
      </w:r>
      <w:r>
        <w:rPr>
          <w:rFonts w:ascii="Arial" w:cs="Arial" w:eastAsia="Arial" w:hAnsi="Arial"/>
          <w:sz w:val="18"/>
          <w:szCs w:val="18"/>
          <w:color w:val="auto"/>
        </w:rPr>
        <w:t>Cost of goods sold as a percentage of sales increased 2.5% in the first quarter of 2019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2018. As a result, gross profit as a percentage of sales decreased over the same period. The decrease in gross profit percentage is primarily the result of increased labor rates and medical costs at Security Products as well as a less favorable customer and product mix at Marine Components. Gross profit dollars increased due to higher sales for both business segments.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Operating costs and expenses consist primarily of sales and administrative-related personnel costs, sales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expenses, as well as gains and losses on plant, property and equipment. Operating costs and expenses for first quarter of 2019 were comparable to the same period in 2018.</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As a percentage of net sales, operating income for the first quarter of 2019 decreased compared to the same period of 2018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impacted by the factors impacting cost of goods sold, gross margin and operating costs discussed above.</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6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Our operations are wholly within the U.S. and therefore our effective income tax rate is primarily reflective of the U.S. federal statutory rate and applicable state taxes.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vMerge w:val="restart"/>
          </w:tcPr>
          <w:p>
            <w:pPr>
              <w:jc w:val="right"/>
              <w:ind w:right="31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900" w:type="dxa"/>
            <w:vAlign w:val="bottom"/>
          </w:tcPr>
          <w:p>
            <w:pPr>
              <w:spacing w:after="0"/>
              <w:rPr>
                <w:sz w:val="10"/>
                <w:szCs w:val="10"/>
                <w:color w:val="auto"/>
              </w:rPr>
            </w:pPr>
          </w:p>
        </w:tc>
        <w:tc>
          <w:tcPr>
            <w:tcW w:w="27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900" w:type="dxa"/>
            <w:vAlign w:val="bottom"/>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5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9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24,056</w:t>
            </w:r>
          </w:p>
        </w:tc>
        <w:tc>
          <w:tcPr>
            <w:tcW w:w="240" w:type="dxa"/>
            <w:vAlign w:val="bottom"/>
          </w:tcPr>
          <w:p>
            <w:pPr>
              <w:spacing w:after="0"/>
              <w:rPr>
                <w:sz w:val="21"/>
                <w:szCs w:val="21"/>
                <w:color w:val="auto"/>
              </w:rPr>
            </w:pPr>
          </w:p>
        </w:tc>
        <w:tc>
          <w:tcPr>
            <w:tcW w:w="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24,704</w:t>
            </w:r>
          </w:p>
        </w:tc>
        <w:tc>
          <w:tcPr>
            <w:tcW w:w="3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920" w:type="dxa"/>
            <w:vAlign w:val="bottom"/>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6,472</w:t>
            </w:r>
          </w:p>
        </w:tc>
        <w:tc>
          <w:tcPr>
            <w:tcW w:w="3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7"/>
        </w:trPr>
        <w:tc>
          <w:tcPr>
            <w:tcW w:w="490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28,413</w:t>
            </w:r>
          </w:p>
        </w:tc>
        <w:tc>
          <w:tcPr>
            <w:tcW w:w="240" w:type="dxa"/>
            <w:vAlign w:val="bottom"/>
          </w:tcPr>
          <w:p>
            <w:pPr>
              <w:spacing w:after="0"/>
              <w:rPr>
                <w:sz w:val="24"/>
                <w:szCs w:val="24"/>
                <w:color w:val="auto"/>
              </w:rPr>
            </w:pPr>
          </w:p>
        </w:tc>
        <w:tc>
          <w:tcPr>
            <w:tcW w:w="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31,176</w:t>
            </w:r>
          </w:p>
        </w:tc>
        <w:tc>
          <w:tcPr>
            <w:tcW w:w="3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9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8,303</w:t>
            </w:r>
          </w:p>
        </w:tc>
        <w:tc>
          <w:tcPr>
            <w:tcW w:w="240" w:type="dxa"/>
            <w:vAlign w:val="bottom"/>
          </w:tcPr>
          <w:p>
            <w:pPr>
              <w:spacing w:after="0"/>
              <w:rPr>
                <w:sz w:val="21"/>
                <w:szCs w:val="21"/>
                <w:color w:val="auto"/>
              </w:rPr>
            </w:pPr>
          </w:p>
        </w:tc>
        <w:tc>
          <w:tcPr>
            <w:tcW w:w="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7,971</w:t>
            </w:r>
          </w:p>
        </w:tc>
        <w:tc>
          <w:tcPr>
            <w:tcW w:w="3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920" w:type="dxa"/>
            <w:vAlign w:val="bottom"/>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1,653</w:t>
            </w:r>
          </w:p>
        </w:tc>
        <w:tc>
          <w:tcPr>
            <w:tcW w:w="3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4900" w:type="dxa"/>
            <w:vAlign w:val="bottom"/>
          </w:tcPr>
          <w:p>
            <w:pPr>
              <w:ind w:left="740"/>
              <w:spacing w:after="0"/>
              <w:rPr>
                <w:sz w:val="20"/>
                <w:szCs w:val="20"/>
                <w:color w:val="auto"/>
              </w:rPr>
            </w:pPr>
            <w:r>
              <w:rPr>
                <w:rFonts w:ascii="Arial" w:cs="Arial" w:eastAsia="Arial" w:hAnsi="Arial"/>
                <w:sz w:val="18"/>
                <w:szCs w:val="18"/>
                <w:color w:val="auto"/>
              </w:rPr>
              <w:t>Total gross profit</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9,504</w:t>
            </w:r>
          </w:p>
        </w:tc>
        <w:tc>
          <w:tcPr>
            <w:tcW w:w="240" w:type="dxa"/>
            <w:vAlign w:val="bottom"/>
          </w:tcPr>
          <w:p>
            <w:pPr>
              <w:spacing w:after="0"/>
              <w:rPr>
                <w:sz w:val="24"/>
                <w:szCs w:val="24"/>
                <w:color w:val="auto"/>
              </w:rPr>
            </w:pPr>
          </w:p>
        </w:tc>
        <w:tc>
          <w:tcPr>
            <w:tcW w:w="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9,624</w:t>
            </w:r>
          </w:p>
        </w:tc>
        <w:tc>
          <w:tcPr>
            <w:tcW w:w="3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9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5,612</w:t>
            </w:r>
          </w:p>
        </w:tc>
        <w:tc>
          <w:tcPr>
            <w:tcW w:w="240" w:type="dxa"/>
            <w:vAlign w:val="bottom"/>
          </w:tcPr>
          <w:p>
            <w:pPr>
              <w:spacing w:after="0"/>
              <w:rPr>
                <w:sz w:val="21"/>
                <w:szCs w:val="21"/>
                <w:color w:val="auto"/>
              </w:rPr>
            </w:pPr>
          </w:p>
        </w:tc>
        <w:tc>
          <w:tcPr>
            <w:tcW w:w="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5,076</w:t>
            </w:r>
          </w:p>
        </w:tc>
        <w:tc>
          <w:tcPr>
            <w:tcW w:w="3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9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901</w:t>
            </w:r>
          </w:p>
        </w:tc>
        <w:tc>
          <w:tcPr>
            <w:tcW w:w="3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900" w:type="dxa"/>
            <w:vAlign w:val="bottom"/>
          </w:tcPr>
          <w:p>
            <w:pPr>
              <w:ind w:left="500"/>
              <w:spacing w:after="0"/>
              <w:rPr>
                <w:sz w:val="20"/>
                <w:szCs w:val="20"/>
                <w:color w:val="auto"/>
              </w:rPr>
            </w:pPr>
            <w:r>
              <w:rPr>
                <w:rFonts w:ascii="Arial" w:cs="Arial" w:eastAsia="Arial" w:hAnsi="Arial"/>
                <w:sz w:val="18"/>
                <w:szCs w:val="18"/>
                <w:color w:val="auto"/>
              </w:rPr>
              <w:t>Corporate operating expenses</w:t>
            </w:r>
          </w:p>
        </w:tc>
        <w:tc>
          <w:tcPr>
            <w:tcW w:w="1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(1,687)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w:t>
            </w:r>
          </w:p>
        </w:tc>
        <w:tc>
          <w:tcPr>
            <w:tcW w:w="2780" w:type="dxa"/>
            <w:vAlign w:val="bottom"/>
            <w:gridSpan w:val="2"/>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4,373</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4,290</w:t>
            </w:r>
          </w:p>
        </w:tc>
        <w:tc>
          <w:tcPr>
            <w:tcW w:w="3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Gross profit margin:</w:t>
            </w:r>
          </w:p>
        </w:tc>
        <w:tc>
          <w:tcPr>
            <w:tcW w:w="19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0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1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32.3%</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25.5%</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gross profit margin</w:t>
            </w:r>
          </w:p>
        </w:tc>
        <w:tc>
          <w:tcPr>
            <w:tcW w:w="1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30.9%</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1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20.5%</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13.9%</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 margin</w:t>
            </w:r>
          </w:p>
        </w:tc>
        <w:tc>
          <w:tcPr>
            <w:tcW w:w="1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13.8%</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Security Products</w:t>
      </w:r>
      <w:r>
        <w:rPr>
          <w:rFonts w:ascii="Arial" w:cs="Arial" w:eastAsia="Arial" w:hAnsi="Arial"/>
          <w:sz w:val="18"/>
          <w:szCs w:val="18"/>
          <w:color w:val="auto"/>
        </w:rPr>
        <w:t>. Security Products net sales increased 3% in the first quarter of 2019 compared to the same period last year. The increase in sales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approximately $0.8 million in higher sales to existing government security customers. Gross profit margin and operating income as a percentage of sales in 2019 decreased compared to the same period in 2018 due to increased labor rates, particularly at our Grayslake facility, and higher medical costs.</w:t>
      </w:r>
    </w:p>
    <w:p>
      <w:pPr>
        <w:spacing w:after="0" w:line="18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i w:val="1"/>
          <w:iCs w:val="1"/>
          <w:color w:val="auto"/>
        </w:rPr>
        <w:t>Marine Components</w:t>
      </w:r>
      <w:r>
        <w:rPr>
          <w:rFonts w:ascii="Arial" w:cs="Arial" w:eastAsia="Arial" w:hAnsi="Arial"/>
          <w:sz w:val="17"/>
          <w:szCs w:val="17"/>
          <w:color w:val="auto"/>
        </w:rPr>
        <w:t>. Marine Components net sales increased 49% in the first quarter of 2019 compared to the same period last year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sales of wake enhancement systems and surf pipes to an original equipment boat manufacturer. Gross profit margin decreased in the first quarter of 2019 compared to the same period last year due to a less favorable customer and product mix; however, operating income as a percentage of net sales increased over the same comparative period due to improved fixed cost leverage facilitated by higher production volumes.</w:t>
      </w:r>
    </w:p>
    <w:p>
      <w:pPr>
        <w:spacing w:after="0" w:line="17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i w:val="1"/>
          <w:iCs w:val="1"/>
          <w:color w:val="auto"/>
        </w:rPr>
        <w:t xml:space="preserve">Outlook. </w:t>
      </w:r>
      <w:r>
        <w:rPr>
          <w:rFonts w:ascii="Arial" w:cs="Arial" w:eastAsia="Arial" w:hAnsi="Arial"/>
          <w:sz w:val="17"/>
          <w:szCs w:val="17"/>
          <w:color w:val="auto"/>
        </w:rPr>
        <w:t>First quarter sales exceeded prior year largely due to continued high demand for our marine products where we continue to benefit from</w:t>
      </w:r>
      <w:r>
        <w:rPr>
          <w:rFonts w:ascii="Arial" w:cs="Arial" w:eastAsia="Arial" w:hAnsi="Arial"/>
          <w:sz w:val="17"/>
          <w:szCs w:val="17"/>
          <w:i w:val="1"/>
          <w:iCs w:val="1"/>
          <w:color w:val="auto"/>
        </w:rPr>
        <w:t xml:space="preserve"> </w:t>
      </w:r>
      <w:r>
        <w:rPr>
          <w:rFonts w:ascii="Arial" w:cs="Arial" w:eastAsia="Arial" w:hAnsi="Arial"/>
          <w:sz w:val="17"/>
          <w:szCs w:val="17"/>
          <w:color w:val="auto"/>
        </w:rPr>
        <w:t>innovation and diversification in our product offerings to the recreational boat markets. Operating income for the quarter was comparable to prior year, as operating margin for the Security Products segment decreased relative to prior year due to higher labor rates and medical costs, the effect of which we were not able to offset through higher selling prices. At present we expect this pattern to continue, with full year sales for 2019 tracking above 2018 and full year profitability comparable to prior year. We will continue to monitor economic conditions and sales order rates and respond to fluctuations in customer demand through continuous evaluation of staffing levels and consistent execution of our lean manufacturing and cost improvement initiatives. Additionally, we continue to seek opportunities to gain market share in markets we currently serve, to expand into new markets and to develop new product features in order to mitigate the impact of changes in demand as well as broaden our sales base.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4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generally report a net use of cash from operating activities in the first three months of each year due to seasonal changes in the level of our working capital. Our net cash used by operating activities for the first three months of 2019 increased by $1.8 million as compared to the first three months of 2018. The increase is primarily due to the net effects of:</w:t>
      </w:r>
    </w:p>
    <w:p>
      <w:pPr>
        <w:spacing w:after="0" w:line="73" w:lineRule="exact"/>
        <w:rPr>
          <w:sz w:val="20"/>
          <w:szCs w:val="20"/>
          <w:color w:val="auto"/>
        </w:rPr>
      </w:pPr>
    </w:p>
    <w:p>
      <w:pPr>
        <w:ind w:left="1040" w:hanging="384"/>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$0.8 million increase in interest received in 2019 (including $0.5 million received in the first quarter of 2019 which was accrued at December 31, 2018),</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$0.4 million increase in cash paid for taxes in 2019 due to the relative timing of payments; and</w:t>
      </w:r>
    </w:p>
    <w:p>
      <w:pPr>
        <w:spacing w:after="0" w:line="117"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higher amount of net cash used by relative changes in our inventories, receivables, prepaids, payables and non-tax related accruals of approximately $2.3 million in 2019;</w:t>
      </w:r>
    </w:p>
    <w:p>
      <w:pPr>
        <w:spacing w:after="0" w:line="14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Relative changes in working capital can have a significant effect on cash flows from operating activities. As shown below, the change in our average days sales outstanding from December 31, 2018 to March 31, 2019 varied by segment, primarily as a result of relative changes in the timing of collections. The increase in average days sales outstanding for Security Products over the past two fiscal quarters also reflects the grant of extended terms to certain key customers. For comparative purposes, we have provided December 31, 2017 and March 31, 2018 numbers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320"/>
              <w:spacing w:after="0"/>
              <w:rPr>
                <w:sz w:val="20"/>
                <w:szCs w:val="20"/>
                <w:color w:val="auto"/>
              </w:rPr>
            </w:pPr>
            <w:r>
              <w:rPr>
                <w:rFonts w:ascii="Arial" w:cs="Arial" w:eastAsia="Arial" w:hAnsi="Arial"/>
                <w:sz w:val="14"/>
                <w:szCs w:val="14"/>
                <w:b w:val="1"/>
                <w:bCs w:val="1"/>
                <w:color w:val="auto"/>
              </w:rPr>
              <w:t>Days Sales Outstanding:</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2018</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2019</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39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41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43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48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31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39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30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34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38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41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40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45 Days</w:t>
            </w:r>
          </w:p>
        </w:tc>
      </w:tr>
    </w:tbl>
    <w:p>
      <w:pPr>
        <w:spacing w:after="0" w:line="16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total average number of days in inventory decreased from December 31, 2018 to March 31, 2019 primarily as a result of the rapid sales growth for Marine Components, which has increased our average days sales while temporarily limiting opportunities to strategically restock. Conversely, the average number of days in inventory for Security Products increased from December 31, 2018 to March 31, 2019 primarily due to intentional inventory builds for key purchased components with significant lead times. The variability in days in inventory among our segments also relates to the differences in the average length of time it takes to produce and sell end-products. Generally, we expect Security Products inventory to turn faster than Marine Components. For comparative purposes, we have provided December 31, 2017 and March 31, 2018 numbers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500"/>
              <w:spacing w:after="0"/>
              <w:rPr>
                <w:sz w:val="20"/>
                <w:szCs w:val="20"/>
                <w:color w:val="auto"/>
              </w:rPr>
            </w:pPr>
            <w:r>
              <w:rPr>
                <w:rFonts w:ascii="Arial" w:cs="Arial" w:eastAsia="Arial" w:hAnsi="Arial"/>
                <w:sz w:val="14"/>
                <w:szCs w:val="14"/>
                <w:b w:val="1"/>
                <w:bCs w:val="1"/>
                <w:color w:val="auto"/>
              </w:rPr>
              <w:t>Days in Inventory:</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2018</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2019</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76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77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77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81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96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88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91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68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79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79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80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78 Days</w:t>
            </w:r>
          </w:p>
        </w:tc>
      </w:tr>
    </w:tbl>
    <w:p>
      <w:pPr>
        <w:spacing w:after="0" w:line="24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$0.4 million in the first three months of 2019 compared to $0.6 million in the first three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2018. During the first three months of 2019, Valhi borrowed a net $6.0 million under the promissory note ($17.4 million of gross borrowings and $11.4 million of gross repayments). During the first three months of 2018, Valhi repaid a net $0.2 million under the promissory note ($12.4 million of gross borrowings and $12.6 million of gross repayments). See Note 8 to the Condensed Consolidated Financial Statements.</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consisted only of quarterly cash dividends. In February 2019, our board of directors increased our regular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dividend from $.05 per share to $.07 per share beginning in the first quarter of 2019.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8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$36.1 million aggregate cash and cash equivalents at March 31, 2019 were held in the U.S.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Firm purchase commitments for capital projects in process at March 31, 2019 totaled $0.9 million. Our 2019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limited to those expenditures required to meet our expected customer demand and those required to properly maintain our facilities and technology infrastructure.</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2018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 other than the operating leases discussed in our 2018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to our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changes in the first three months of 2019 with respect to our critical accounting policies presented in Management’s Discussion and Analysis of Financial Condition and Results of Operations in our 2018 Annual Report.</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2018 Annual Report, and we refer you to Part I, Item 7A – “Quantitative and Qualitative Disclosure About Market Risk” in our 2018 Annual Report. See also Note 7 to the Condensed Consolidated Financial Statements.</w:t>
      </w: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to be made regarding required disclosure. Our management with the participation of Scott C. James, our President and Chief Executive Officer, and James W. Brown, our Vice President, Chief Financial Officer and Controller, has evaluated the design and operating effectiveness of our disclosure controls and procedures as of March 31, 2019. Based upon their evaluation, these executive officers have concluded that our disclosure controls and procedures are effective as of the date of such evaluation.</w:t>
      </w:r>
    </w:p>
    <w:p>
      <w:pPr>
        <w:spacing w:after="0" w:line="75"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8"/>
          <w:szCs w:val="18"/>
          <w:b w:val="1"/>
          <w:bCs w:val="1"/>
          <w:color w:val="auto"/>
        </w:rPr>
        <w:t>Internal Control Over Financial Reporting</w:t>
      </w:r>
      <w:r>
        <w:rPr>
          <w:rFonts w:ascii="Arial" w:cs="Arial" w:eastAsia="Arial" w:hAnsi="Arial"/>
          <w:sz w:val="18"/>
          <w:szCs w:val="18"/>
          <w:color w:val="auto"/>
        </w:rPr>
        <w:t>. Our management is responsible for establishing and maintaining adequate internal control over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1040" w:right="2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66" w:lineRule="exact"/>
        <w:rPr>
          <w:sz w:val="20"/>
          <w:szCs w:val="20"/>
          <w:color w:val="auto"/>
        </w:rPr>
      </w:pPr>
    </w:p>
    <w:p>
      <w:pPr>
        <w:ind w:firstLine="518"/>
        <w:spacing w:after="0" w:line="313" w:lineRule="auto"/>
        <w:rPr>
          <w:sz w:val="20"/>
          <w:szCs w:val="20"/>
          <w:color w:val="auto"/>
        </w:rPr>
      </w:pPr>
      <w:r>
        <w:rPr>
          <w:rFonts w:ascii="Arial" w:cs="Arial" w:eastAsia="Arial" w:hAnsi="Arial"/>
          <w:sz w:val="17"/>
          <w:szCs w:val="17"/>
          <w:b w:val="1"/>
          <w:bCs w:val="1"/>
          <w:color w:val="auto"/>
        </w:rPr>
        <w:t>Changes in Internal Control Over Financial Reporting</w:t>
      </w:r>
      <w:r>
        <w:rPr>
          <w:rFonts w:ascii="Arial" w:cs="Arial" w:eastAsia="Arial" w:hAnsi="Arial"/>
          <w:sz w:val="17"/>
          <w:szCs w:val="17"/>
          <w:color w:val="auto"/>
        </w:rPr>
        <w:t>. There have been no changes in our internal control over financial reporting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March 31, 2019 that have materially affected, or are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Reference is made to the 2018 Annual Report for a discussion of the risk factors related to our businesses. There have been no material changes in such risk factors during the first three months of 2019.</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98"/>
              </w:rPr>
              <w:t>Exhibit Index</w:t>
            </w:r>
          </w:p>
        </w:tc>
        <w:tc>
          <w:tcPr>
            <w:tcW w:w="9220" w:type="dxa"/>
            <w:vAlign w:val="bottom"/>
            <w:tcBorders>
              <w:bottom w:val="single" w:sz="8" w:color="auto"/>
            </w:tcBorders>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12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4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retained a signed original of any of the above exhibits that contains signatures, and we will provide such exhibit to the Commission or its staff upon request. We will also furnish, without charge, a copy of our Code of Business Conduct and Ethics, and Audit Committee Charter, each as adopted by our board of directors on June 3, 2015, upon request. Such requests should be directed to the attention of our Corporate Secretary at our corporate offices located at 5430 LBJ Freeway, Suite 1700, Dallas, Texas 75240.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7"/>
        </w:trPr>
        <w:tc>
          <w:tcPr>
            <w:tcW w:w="3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(Registrant)</w:t>
            </w:r>
          </w:p>
        </w:tc>
        <w:tc>
          <w:tcPr>
            <w:tcW w:w="2420" w:type="dxa"/>
            <w:vAlign w:val="bottom"/>
          </w:tcPr>
          <w:p>
            <w:pPr>
              <w:spacing w:after="0"/>
              <w:rPr>
                <w:sz w:val="20"/>
                <w:szCs w:val="20"/>
                <w:color w:val="auto"/>
              </w:rPr>
            </w:pP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May 7, 2019</w:t>
            </w:r>
          </w:p>
        </w:tc>
        <w:tc>
          <w:tcPr>
            <w:tcW w:w="7960" w:type="dxa"/>
            <w:vAlign w:val="bottom"/>
            <w:gridSpan w:val="4"/>
          </w:tcPr>
          <w:p>
            <w:pPr>
              <w:ind w:left="2860"/>
              <w:spacing w:after="0"/>
              <w:rPr>
                <w:sz w:val="20"/>
                <w:szCs w:val="20"/>
                <w:color w:val="auto"/>
              </w:rPr>
            </w:pPr>
            <w:r>
              <w:rPr>
                <w:rFonts w:ascii="Arial" w:cs="Arial" w:eastAsia="Arial" w:hAnsi="Arial"/>
                <w:sz w:val="18"/>
                <w:szCs w:val="18"/>
                <w:color w:val="auto"/>
              </w:rPr>
              <w:t>By:  /s/ James W. Brown</w:t>
            </w:r>
          </w:p>
        </w:tc>
      </w:tr>
      <w:tr>
        <w:trPr>
          <w:trHeight w:val="195"/>
        </w:trPr>
        <w:tc>
          <w:tcPr>
            <w:tcW w:w="3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7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James W. Brown</w:t>
            </w:r>
          </w:p>
        </w:tc>
      </w:tr>
      <w:tr>
        <w:trPr>
          <w:trHeight w:val="230"/>
        </w:trPr>
        <w:tc>
          <w:tcPr>
            <w:tcW w:w="3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Vice President, Chief Financial Officer and Controller</w:t>
            </w:r>
          </w:p>
        </w:tc>
      </w:tr>
      <w:tr>
        <w:trPr>
          <w:trHeight w:val="864"/>
        </w:trPr>
        <w:tc>
          <w:tcPr>
            <w:tcW w:w="3460" w:type="dxa"/>
            <w:vAlign w:val="bottom"/>
          </w:tcPr>
          <w:p>
            <w:pPr>
              <w:spacing w:after="0"/>
              <w:rPr>
                <w:sz w:val="24"/>
                <w:szCs w:val="24"/>
                <w:color w:val="auto"/>
              </w:rPr>
            </w:pPr>
          </w:p>
        </w:tc>
        <w:tc>
          <w:tcPr>
            <w:tcW w:w="2860" w:type="dxa"/>
            <w:vAlign w:val="bottom"/>
          </w:tcPr>
          <w:p>
            <w:pPr>
              <w:jc w:val="right"/>
              <w:ind w:right="330"/>
              <w:spacing w:after="0"/>
              <w:rPr>
                <w:sz w:val="20"/>
                <w:szCs w:val="20"/>
                <w:color w:val="auto"/>
              </w:rPr>
            </w:pPr>
            <w:r>
              <w:rPr>
                <w:rFonts w:ascii="Arial" w:cs="Arial" w:eastAsia="Arial" w:hAnsi="Arial"/>
                <w:sz w:val="18"/>
                <w:szCs w:val="18"/>
                <w:color w:val="auto"/>
              </w:rPr>
              <w:t>- 17 -</w:t>
            </w: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C. James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6327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W. Brown, certify that:</w:t>
      </w:r>
    </w:p>
    <w:p>
      <w:pPr>
        <w:spacing w:after="0" w:line="11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James W. Brown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337"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period ending March 31, 2019 as filed with the Securities and Exchange Commission on the date hereof (the Report), I, Scott C. James, President and Chief Executive Officer of the Company and I, James W. Brown, Vice President, Chief Financial Officer and Controller of the Company, certify, pursuant to 18 U.S.C. §1350, as adopted pursuant to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C. James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James W. Brown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Chief Financial Officer and Controller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2019-12-28T12:45:25Z</dcterms:created>
  <dcterms:modified xsi:type="dcterms:W3CDTF">2019-12-28T12:45:25Z</dcterms:modified>
</cp:coreProperties>
</file>