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the earliest event reported)</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30, 2019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2"/>
          <w:szCs w:val="22"/>
          <w:b w:val="1"/>
          <w:bCs w:val="1"/>
          <w:color w:val="auto"/>
        </w:rPr>
        <w:t>OMP</w:t>
      </w:r>
      <w:r>
        <w:rPr>
          <w:rFonts w:ascii="Times New Roman" w:cs="Times New Roman" w:eastAsia="Times New Roman" w:hAnsi="Times New Roman"/>
          <w:sz w:val="32"/>
          <w:szCs w:val="32"/>
          <w:b w:val="1"/>
          <w:bCs w:val="1"/>
          <w:color w:val="auto"/>
        </w:rPr>
        <w:t>X I</w:t>
      </w:r>
      <w:r>
        <w:rPr>
          <w:rFonts w:ascii="Times New Roman" w:cs="Times New Roman" w:eastAsia="Times New Roman" w:hAnsi="Times New Roman"/>
          <w:sz w:val="22"/>
          <w:szCs w:val="22"/>
          <w:b w:val="1"/>
          <w:bCs w:val="1"/>
          <w:color w:val="auto"/>
        </w:rPr>
        <w:t>NTERNATIONAL</w:t>
      </w:r>
      <w:r>
        <w:rPr>
          <w:rFonts w:ascii="Times New Roman" w:cs="Times New Roman" w:eastAsia="Times New Roman" w:hAnsi="Times New Roman"/>
          <w:sz w:val="32"/>
          <w:szCs w:val="32"/>
          <w:b w:val="1"/>
          <w:bCs w:val="1"/>
          <w:color w:val="auto"/>
        </w:rPr>
        <w:t xml:space="preserve"> I</w:t>
      </w:r>
      <w:r>
        <w:rPr>
          <w:rFonts w:ascii="Times New Roman" w:cs="Times New Roman" w:eastAsia="Times New Roman" w:hAnsi="Times New Roman"/>
          <w:sz w:val="22"/>
          <w:szCs w:val="22"/>
          <w:b w:val="1"/>
          <w:bCs w:val="1"/>
          <w:color w:val="auto"/>
        </w:rPr>
        <w:t>NC</w:t>
      </w:r>
      <w:r>
        <w:rPr>
          <w:rFonts w:ascii="Times New Roman" w:cs="Times New Roman" w:eastAsia="Times New Roman" w:hAnsi="Times New Roman"/>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6"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4040" w:type="dxa"/>
            <w:vAlign w:val="bottom"/>
          </w:tcPr>
          <w:p>
            <w:pPr>
              <w:jc w:val="center"/>
              <w:ind w:right="781"/>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tcPr>
          <w:p>
            <w:pPr>
              <w:jc w:val="center"/>
              <w:ind w:right="38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660" w:type="dxa"/>
            <w:vAlign w:val="bottom"/>
          </w:tcPr>
          <w:p>
            <w:pPr>
              <w:jc w:val="center"/>
              <w:ind w:left="12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4040" w:type="dxa"/>
            <w:vAlign w:val="bottom"/>
          </w:tcPr>
          <w:p>
            <w:pPr>
              <w:jc w:val="center"/>
              <w:ind w:right="781"/>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60" w:type="dxa"/>
            <w:vAlign w:val="bottom"/>
          </w:tcPr>
          <w:p>
            <w:pPr>
              <w:jc w:val="center"/>
              <w:ind w:right="364"/>
              <w:spacing w:after="0"/>
              <w:rPr>
                <w:sz w:val="20"/>
                <w:szCs w:val="20"/>
                <w:color w:val="auto"/>
              </w:rPr>
            </w:pPr>
            <w:r>
              <w:rPr>
                <w:rFonts w:ascii="Times New Roman" w:cs="Times New Roman" w:eastAsia="Times New Roman" w:hAnsi="Times New Roman"/>
                <w:sz w:val="18"/>
                <w:szCs w:val="18"/>
                <w:color w:val="auto"/>
              </w:rPr>
              <w:t>(Commission</w:t>
            </w:r>
          </w:p>
        </w:tc>
        <w:tc>
          <w:tcPr>
            <w:tcW w:w="2660" w:type="dxa"/>
            <w:vAlign w:val="bottom"/>
          </w:tcPr>
          <w:p>
            <w:pPr>
              <w:jc w:val="center"/>
              <w:ind w:left="122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p>
        </w:tc>
        <w:tc>
          <w:tcPr>
            <w:tcW w:w="3160" w:type="dxa"/>
            <w:vAlign w:val="bottom"/>
          </w:tcPr>
          <w:p>
            <w:pPr>
              <w:jc w:val="center"/>
              <w:ind w:right="364"/>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left="122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7200" w:type="dxa"/>
            <w:vAlign w:val="bottom"/>
            <w:gridSpan w:val="2"/>
          </w:tcPr>
          <w:p>
            <w:pPr>
              <w:jc w:val="center"/>
              <w:ind w:right="10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660" w:type="dxa"/>
            <w:vAlign w:val="bottom"/>
          </w:tcPr>
          <w:p>
            <w:pPr>
              <w:jc w:val="center"/>
              <w:ind w:left="1263"/>
              <w:spacing w:after="0"/>
              <w:rPr>
                <w:sz w:val="20"/>
                <w:szCs w:val="20"/>
                <w:color w:val="auto"/>
              </w:rPr>
            </w:pPr>
            <w:r>
              <w:rPr>
                <w:rFonts w:ascii="Times New Roman" w:cs="Times New Roman" w:eastAsia="Times New Roman" w:hAnsi="Times New Roman"/>
                <w:sz w:val="22"/>
                <w:szCs w:val="22"/>
                <w:b w:val="1"/>
                <w:bCs w:val="1"/>
                <w:color w:val="auto"/>
                <w:w w:val="99"/>
              </w:rPr>
              <w:t>75240-2620</w:t>
            </w:r>
          </w:p>
        </w:tc>
      </w:tr>
      <w:tr>
        <w:trPr>
          <w:trHeight w:val="234"/>
        </w:trPr>
        <w:tc>
          <w:tcPr>
            <w:tcW w:w="7200" w:type="dxa"/>
            <w:vAlign w:val="bottom"/>
            <w:gridSpan w:val="2"/>
          </w:tcPr>
          <w:p>
            <w:pPr>
              <w:jc w:val="center"/>
              <w:ind w:right="84"/>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60" w:type="dxa"/>
            <w:vAlign w:val="bottom"/>
          </w:tcPr>
          <w:p>
            <w:pPr>
              <w:jc w:val="center"/>
              <w:ind w:left="12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201930</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47" w:lineRule="exact"/>
        <w:rPr>
          <w:sz w:val="24"/>
          <w:szCs w:val="24"/>
          <w:color w:val="auto"/>
        </w:rPr>
      </w:pPr>
    </w:p>
    <w:p>
      <w:pPr>
        <w:ind w:left="800" w:hanging="470"/>
        <w:spacing w:after="0"/>
        <w:tabs>
          <w:tab w:leader="none" w:pos="800" w:val="left"/>
        </w:tabs>
        <w:numPr>
          <w:ilvl w:val="0"/>
          <w:numId w:val="1"/>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9" w:lineRule="exact"/>
        <w:rPr>
          <w:sz w:val="24"/>
          <w:szCs w:val="24"/>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9"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9"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3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Class A common stock</w:t>
            </w:r>
          </w:p>
        </w:tc>
        <w:tc>
          <w:tcPr>
            <w:tcW w:w="10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CIX</w:t>
            </w:r>
          </w:p>
        </w:tc>
        <w:tc>
          <w:tcPr>
            <w:tcW w:w="120" w:type="dxa"/>
            <w:vAlign w:val="bottom"/>
          </w:tcPr>
          <w:p>
            <w:pPr>
              <w:spacing w:after="0"/>
              <w:rPr>
                <w:sz w:val="10"/>
                <w:szCs w:val="10"/>
                <w:color w:val="auto"/>
              </w:rPr>
            </w:pPr>
          </w:p>
        </w:tc>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 par value per share)</w:t>
            </w:r>
          </w:p>
        </w:tc>
        <w:tc>
          <w:tcPr>
            <w:tcW w:w="1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876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69"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3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registrant hereby furnishes the information set forth in its press release entitled “CompX Reports Third Quarter 2019 Results” that the registrant issued on October 30, 2019, a copy of which is attached hereto as Exhibit 99.1 and incorporated herein by reference.</w:t>
      </w:r>
    </w:p>
    <w:p>
      <w:pPr>
        <w:spacing w:after="0" w:line="20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4"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registrant hereby furnishes the information set forth in its press release entitled “CompX Declares Quarterly Dividend” that the registrant also issued on October 30, 2019, a copy of which is attached hereto as Exhibit 99.2 and incorporated herein by reference.</w:t>
      </w:r>
    </w:p>
    <w:p>
      <w:pPr>
        <w:spacing w:after="0" w:line="20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700" w:hanging="692"/>
        <w:spacing w:after="0"/>
        <w:tabs>
          <w:tab w:leader="none" w:pos="7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Item No.</w:t>
            </w:r>
          </w:p>
        </w:tc>
        <w:tc>
          <w:tcPr>
            <w:tcW w:w="5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41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Times New Roman" w:cs="Times New Roman" w:eastAsia="Times New Roman" w:hAnsi="Times New Roman"/>
                <w:sz w:val="22"/>
                <w:szCs w:val="22"/>
                <w:color w:val="auto"/>
              </w:rPr>
              <w:t>99.1*</w:t>
            </w:r>
          </w:p>
        </w:tc>
        <w:tc>
          <w:tcPr>
            <w:tcW w:w="520" w:type="dxa"/>
            <w:vAlign w:val="bottom"/>
          </w:tcPr>
          <w:p>
            <w:pPr>
              <w:spacing w:after="0"/>
              <w:rPr>
                <w:sz w:val="24"/>
                <w:szCs w:val="24"/>
                <w:color w:val="auto"/>
              </w:rPr>
            </w:pPr>
          </w:p>
        </w:tc>
        <w:tc>
          <w:tcPr>
            <w:tcW w:w="8140" w:type="dxa"/>
            <w:vAlign w:val="bottom"/>
            <w:gridSpan w:val="5"/>
          </w:tcPr>
          <w:p>
            <w:pPr>
              <w:spacing w:after="0"/>
              <w:rPr>
                <w:rFonts w:ascii="Times New Roman" w:cs="Times New Roman" w:eastAsia="Times New Roman" w:hAnsi="Times New Roman"/>
                <w:sz w:val="22"/>
                <w:szCs w:val="22"/>
                <w:color w:val="0000EE"/>
                <w:w w:val="99"/>
              </w:rPr>
            </w:pPr>
            <w:hyperlink w:anchor="page4">
              <w:r>
                <w:rPr>
                  <w:rFonts w:ascii="Times New Roman" w:cs="Times New Roman" w:eastAsia="Times New Roman" w:hAnsi="Times New Roman"/>
                  <w:sz w:val="22"/>
                  <w:szCs w:val="22"/>
                  <w:color w:val="0000EE"/>
                  <w:w w:val="99"/>
                </w:rPr>
                <w:t>Press release dated October 30, 2019 entitled “CompX Reports Third Quarter 2019 Results”</w:t>
              </w:r>
            </w:hyperlink>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20" w:type="dxa"/>
            <w:vAlign w:val="bottom"/>
            <w:tcBorders>
              <w:top w:val="single" w:sz="8" w:color="0000EE"/>
            </w:tcBorders>
            <w:gridSpan w:val="4"/>
          </w:tcPr>
          <w:p>
            <w:pPr>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and issued by the registrant</w:t>
              </w:r>
              <w:r>
                <w:rPr>
                  <w:rFonts w:ascii="Times New Roman" w:cs="Times New Roman" w:eastAsia="Times New Roman" w:hAnsi="Times New Roman"/>
                  <w:sz w:val="22"/>
                  <w:szCs w:val="22"/>
                  <w:color w:val="000000"/>
                </w:rPr>
                <w:t>.</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Times New Roman" w:cs="Times New Roman" w:eastAsia="Times New Roman" w:hAnsi="Times New Roman"/>
                <w:sz w:val="22"/>
                <w:szCs w:val="22"/>
                <w:color w:val="auto"/>
              </w:rPr>
              <w:t>99.2*</w:t>
            </w:r>
          </w:p>
        </w:tc>
        <w:tc>
          <w:tcPr>
            <w:tcW w:w="520" w:type="dxa"/>
            <w:vAlign w:val="bottom"/>
          </w:tcPr>
          <w:p>
            <w:pPr>
              <w:spacing w:after="0"/>
              <w:rPr>
                <w:sz w:val="24"/>
                <w:szCs w:val="24"/>
                <w:color w:val="auto"/>
              </w:rPr>
            </w:pPr>
          </w:p>
        </w:tc>
        <w:tc>
          <w:tcPr>
            <w:tcW w:w="8140" w:type="dxa"/>
            <w:vAlign w:val="bottom"/>
            <w:gridSpan w:val="5"/>
          </w:tcPr>
          <w:p>
            <w:pPr>
              <w:spacing w:after="0"/>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Press release dated October 30, 2019 entitled “CompX Declares Quarterly Dividend” and</w:t>
              </w:r>
            </w:hyperlink>
          </w:p>
        </w:tc>
        <w:tc>
          <w:tcPr>
            <w:tcW w:w="0" w:type="dxa"/>
            <w:vAlign w:val="bottom"/>
          </w:tcPr>
          <w:p>
            <w:pPr>
              <w:spacing w:after="0"/>
              <w:rPr>
                <w:sz w:val="1"/>
                <w:szCs w:val="1"/>
                <w:color w:val="auto"/>
              </w:rPr>
            </w:pPr>
          </w:p>
        </w:tc>
      </w:tr>
      <w:tr>
        <w:trPr>
          <w:trHeight w:val="223"/>
        </w:trPr>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2400" w:type="dxa"/>
            <w:vAlign w:val="bottom"/>
            <w:gridSpan w:val="2"/>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Filed herewith</w:t>
            </w:r>
          </w:p>
        </w:tc>
        <w:tc>
          <w:tcPr>
            <w:tcW w:w="520" w:type="dxa"/>
            <w:vAlign w:val="bottom"/>
          </w:tcPr>
          <w:p>
            <w:pPr>
              <w:spacing w:after="0"/>
              <w:rPr>
                <w:sz w:val="19"/>
                <w:szCs w:val="19"/>
                <w:color w:val="auto"/>
              </w:rPr>
            </w:pPr>
          </w:p>
        </w:tc>
        <w:tc>
          <w:tcPr>
            <w:tcW w:w="8100" w:type="dxa"/>
            <w:vAlign w:val="bottom"/>
            <w:tcBorders>
              <w:top w:val="single" w:sz="8" w:color="0000EE"/>
            </w:tcBorders>
            <w:gridSpan w:val="3"/>
          </w:tcPr>
          <w:p>
            <w:pPr>
              <w:spacing w:after="0" w:line="223" w:lineRule="exact"/>
              <w:rPr>
                <w:rFonts w:ascii="Times New Roman" w:cs="Times New Roman" w:eastAsia="Times New Roman" w:hAnsi="Times New Roman"/>
                <w:sz w:val="22"/>
                <w:szCs w:val="22"/>
                <w:color w:val="0000EE"/>
              </w:rPr>
            </w:pPr>
            <w:hyperlink w:anchor="page7">
              <w:r>
                <w:rPr>
                  <w:rFonts w:ascii="Times New Roman" w:cs="Times New Roman" w:eastAsia="Times New Roman" w:hAnsi="Times New Roman"/>
                  <w:sz w:val="22"/>
                  <w:szCs w:val="22"/>
                  <w:color w:val="0000EE"/>
                </w:rPr>
                <w:t>issued by the registrant</w:t>
              </w:r>
              <w:r>
                <w:rPr>
                  <w:rFonts w:ascii="Times New Roman" w:cs="Times New Roman" w:eastAsia="Times New Roman" w:hAnsi="Times New Roman"/>
                  <w:sz w:val="22"/>
                  <w:szCs w:val="22"/>
                  <w:color w:val="000000"/>
                </w:rPr>
                <w:t>.</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8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w:t>
      </w:r>
      <w:r>
        <w:rPr>
          <w:rFonts w:ascii="Times New Roman" w:cs="Times New Roman" w:eastAsia="Times New Roman" w:hAnsi="Times New Roman"/>
          <w:sz w:val="22"/>
          <w:szCs w:val="22"/>
          <w:b w:val="1"/>
          <w:bCs w:val="1"/>
          <w:color w:val="auto"/>
        </w:rPr>
        <w:t>X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080" w:type="dxa"/>
            <w:vAlign w:val="bottom"/>
            <w:gridSpan w:val="2"/>
          </w:tcPr>
          <w:p>
            <w:pPr>
              <w:ind w:left="5680"/>
              <w:spacing w:after="0"/>
              <w:rPr>
                <w:sz w:val="20"/>
                <w:szCs w:val="20"/>
                <w:color w:val="auto"/>
              </w:rPr>
            </w:pPr>
            <w:r>
              <w:rPr>
                <w:rFonts w:ascii="Times New Roman" w:cs="Times New Roman" w:eastAsia="Times New Roman" w:hAnsi="Times New Roman"/>
                <w:sz w:val="22"/>
                <w:szCs w:val="22"/>
                <w:color w:val="auto"/>
              </w:rPr>
              <w:t>By:</w:t>
            </w:r>
          </w:p>
        </w:tc>
        <w:tc>
          <w:tcPr>
            <w:tcW w:w="5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 Amy A. Samford</w:t>
            </w:r>
          </w:p>
        </w:tc>
      </w:tr>
      <w:tr>
        <w:trPr>
          <w:trHeight w:val="212"/>
        </w:trPr>
        <w:tc>
          <w:tcPr>
            <w:tcW w:w="5680" w:type="dxa"/>
            <w:vAlign w:val="bottom"/>
          </w:tcPr>
          <w:p>
            <w:pPr>
              <w:spacing w:after="0" w:line="211" w:lineRule="exact"/>
              <w:rPr>
                <w:sz w:val="20"/>
                <w:szCs w:val="20"/>
                <w:color w:val="auto"/>
              </w:rPr>
            </w:pPr>
            <w:r>
              <w:rPr>
                <w:rFonts w:ascii="Times New Roman" w:cs="Times New Roman" w:eastAsia="Times New Roman" w:hAnsi="Times New Roman"/>
                <w:sz w:val="22"/>
                <w:szCs w:val="22"/>
                <w:color w:val="auto"/>
              </w:rPr>
              <w:t>Date: October 30, 2019</w:t>
            </w:r>
          </w:p>
        </w:tc>
        <w:tc>
          <w:tcPr>
            <w:tcW w:w="40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tcPr>
          <w:p>
            <w:pPr>
              <w:ind w:left="80"/>
              <w:spacing w:after="0" w:line="211" w:lineRule="exact"/>
              <w:rPr>
                <w:sz w:val="20"/>
                <w:szCs w:val="20"/>
                <w:color w:val="auto"/>
              </w:rPr>
            </w:pPr>
            <w:r>
              <w:rPr>
                <w:rFonts w:ascii="Times New Roman" w:cs="Times New Roman" w:eastAsia="Times New Roman" w:hAnsi="Times New Roman"/>
                <w:sz w:val="22"/>
                <w:szCs w:val="22"/>
                <w:i w:val="1"/>
                <w:iCs w:val="1"/>
                <w:color w:val="auto"/>
              </w:rPr>
              <w:t>Amy A. Samford</w:t>
            </w:r>
          </w:p>
        </w:tc>
      </w:tr>
      <w:tr>
        <w:trPr>
          <w:trHeight w:val="287"/>
        </w:trPr>
        <w:tc>
          <w:tcPr>
            <w:tcW w:w="5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Vice President and Chief Financial Officer</w:t>
            </w:r>
          </w:p>
        </w:tc>
      </w:tr>
    </w:tbl>
    <w:p>
      <w:pPr>
        <w:sectPr>
          <w:pgSz w:w="11900" w:h="16838" w:orient="portrait"/>
          <w:cols w:equalWidth="0" w:num="1">
            <w:col w:w="11420"/>
          </w:cols>
          <w:pgMar w:left="240" w:top="594"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200"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COMPX REPORTS THIRD QUARTER 2019 RESULTS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DALLAS, TEXAS …October 30, 2019 … CompX International Inc. (NYSE American: CIX) announced today sales of $29.7 million for the third quarter of 2019 compared to $30.0 million in the same period of 2018. Operating income was $4.3 million for the third quarter of 2019 compared to $4.5 million in the same period of 2018. Net income for each of the third quarters of 2019 and 2018 was $3.9 million. Earnings per diluted share were $0.31 and $0.32 in the third quarter of 2019 and 2018, respectively.</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nine months ended September 30, 2019, sales were $94.6 million compared to $90.8 million in the previous year. Operating income was $14.2 million for the first nine months of 2019 compared to $14.9 million for 2018. Net income for the nine months ended September 30, 2019 was $12.8 million, or $1.03 per diluted share, compared to $12.7 million, or $1.02 per diluted share, in 2018.</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Third quarter 2019 net sales decreased over the comparable 2018 period as higher Marine Components sales to the towboat market were more than offset by lower Security Products sales across a variety of markets. Net sales increased for the first nine months of 2019 compared to the same period in 2018 due to strong sales growth at Marine Components, partially offset by lower Security Products sales predominantly in the third quarter. Operating income decreased for the third quarter and for the first nine months of 2019 compared to the same periods in 2018 primarily due to lower sales volumes and increased labor rates and associated payroll costs at our Security Products segment, partially offset by the effect of higher sales volumes at our Marine Components segment.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 It operates from four locations in the U.S. and employs approximately 560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27" w:lineRule="exact"/>
        <w:rPr>
          <w:sz w:val="20"/>
          <w:szCs w:val="20"/>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Future demand for our products,</w:t>
      </w:r>
    </w:p>
    <w:p>
      <w:pPr>
        <w:spacing w:after="0" w:line="206" w:lineRule="exact"/>
        <w:rPr>
          <w:rFonts w:ascii="Times New Roman" w:cs="Times New Roman" w:eastAsia="Times New Roman" w:hAnsi="Times New Roman"/>
          <w:sz w:val="22"/>
          <w:szCs w:val="22"/>
          <w:color w:val="auto"/>
        </w:rPr>
      </w:pPr>
    </w:p>
    <w:p>
      <w:pPr>
        <w:ind w:left="880" w:hanging="431"/>
        <w:spacing w:after="0" w:line="258"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8"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and product competition from low-cost manufacturing sources (such as China),</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pricing and production decisions,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and competitor strategies including substitute products,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Uncertainties associated with the development of new product features,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Future litigation,</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difficulties in integrating future acquisitions,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Decisions to sell operating assets other than in the ordinary course of business,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matters (such as those requiring emission and discharge standards for existing and new facilities),</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ultimate outcome of income tax audits, tax settlement initiatives or other tax matters, including tax reform,</w:t>
      </w:r>
    </w:p>
    <w:p>
      <w:pPr>
        <w:spacing w:after="0" w:line="206" w:lineRule="exact"/>
        <w:rPr>
          <w:rFonts w:ascii="Times New Roman" w:cs="Times New Roman" w:eastAsia="Times New Roman" w:hAnsi="Times New Roman"/>
          <w:sz w:val="22"/>
          <w:szCs w:val="22"/>
          <w:color w:val="auto"/>
        </w:rPr>
      </w:pPr>
    </w:p>
    <w:p>
      <w:pPr>
        <w:ind w:left="880" w:hanging="431"/>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current or future government regulations (including employee healthcare benefit related regulations),</w:t>
      </w:r>
    </w:p>
    <w:p>
      <w:pPr>
        <w:spacing w:after="0" w:line="206" w:lineRule="exact"/>
        <w:rPr>
          <w:rFonts w:ascii="Times New Roman" w:cs="Times New Roman" w:eastAsia="Times New Roman" w:hAnsi="Times New Roman"/>
          <w:sz w:val="22"/>
          <w:szCs w:val="22"/>
          <w:color w:val="auto"/>
        </w:rPr>
      </w:pPr>
    </w:p>
    <w:p>
      <w:pPr>
        <w:ind w:left="880" w:hanging="431"/>
        <w:spacing w:after="0" w:line="258"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global economic and political conditions that introduce instability into the U.S. economy (such as changes in the level of gross domestic product in various regions of the world),</w:t>
      </w:r>
    </w:p>
    <w:p>
      <w:pPr>
        <w:spacing w:after="0" w:line="158" w:lineRule="exact"/>
        <w:rPr>
          <w:rFonts w:ascii="Times New Roman" w:cs="Times New Roman" w:eastAsia="Times New Roman" w:hAnsi="Times New Roman"/>
          <w:sz w:val="22"/>
          <w:szCs w:val="22"/>
          <w:color w:val="auto"/>
        </w:rPr>
      </w:pPr>
    </w:p>
    <w:p>
      <w:pPr>
        <w:ind w:left="880" w:hanging="431"/>
        <w:spacing w:after="0" w:line="258"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interruptions (including, but not limited to labor disputes, hazardous chemical leaks, natural disasters, fires, explosions, unscheduled or unplanned downtime, transportation interruptions and cyber-attacks); and</w:t>
      </w:r>
    </w:p>
    <w:p>
      <w:pPr>
        <w:spacing w:after="0" w:line="158" w:lineRule="exact"/>
        <w:rPr>
          <w:rFonts w:ascii="Times New Roman" w:cs="Times New Roman" w:eastAsia="Times New Roman" w:hAnsi="Times New Roman"/>
          <w:sz w:val="22"/>
          <w:szCs w:val="22"/>
          <w:color w:val="auto"/>
        </w:rPr>
      </w:pPr>
    </w:p>
    <w:p>
      <w:pPr>
        <w:ind w:left="880" w:hanging="431"/>
        <w:spacing w:after="0" w:line="258" w:lineRule="auto"/>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disruption of our business or increases in the cost of doing business resulting from terrorist activities or global conflicts.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auto"/>
        </w:rPr>
        <w:t>COMPX INTERNATIONAL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CONSOLIDATED OPERATIONS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(In millions, except per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4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14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90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sales</w:t>
            </w:r>
          </w:p>
        </w:tc>
        <w:tc>
          <w:tcPr>
            <w:tcW w:w="1920" w:type="dxa"/>
            <w:vAlign w:val="bottom"/>
            <w:gridSpan w:val="2"/>
            <w:shd w:val="clear" w:color="auto" w:fill="CCEEFF"/>
          </w:tcPr>
          <w:p>
            <w:pPr>
              <w:jc w:val="right"/>
              <w:ind w:right="565"/>
              <w:spacing w:after="0" w:line="24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30.0</w:t>
            </w:r>
          </w:p>
        </w:tc>
        <w:tc>
          <w:tcPr>
            <w:tcW w:w="980" w:type="dxa"/>
            <w:vAlign w:val="bottom"/>
            <w:gridSpan w:val="2"/>
            <w:shd w:val="clear" w:color="auto" w:fill="CCEEFF"/>
          </w:tcPr>
          <w:p>
            <w:pPr>
              <w:jc w:val="right"/>
              <w:ind w:right="541"/>
              <w:spacing w:after="0" w:line="24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29.7</w:t>
            </w:r>
          </w:p>
        </w:tc>
        <w:tc>
          <w:tcPr>
            <w:tcW w:w="460" w:type="dxa"/>
            <w:vAlign w:val="bottom"/>
            <w:gridSpan w:val="2"/>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90.8</w:t>
            </w:r>
          </w:p>
        </w:tc>
        <w:tc>
          <w:tcPr>
            <w:tcW w:w="360" w:type="dxa"/>
            <w:vAlign w:val="bottom"/>
            <w:gridSpan w:val="2"/>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Cost of goods sold</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20.4</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20.2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Operating income</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0.7</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Income before taxes</w:t>
            </w:r>
          </w:p>
        </w:tc>
        <w:tc>
          <w:tcPr>
            <w:tcW w:w="116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565"/>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41"/>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4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Basic and diluted net income</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2"/>
                <w:szCs w:val="22"/>
                <w:color w:val="auto"/>
              </w:rPr>
              <w:t>per common share</w:t>
            </w:r>
          </w:p>
        </w:tc>
        <w:tc>
          <w:tcPr>
            <w:tcW w:w="1920" w:type="dxa"/>
            <w:vAlign w:val="bottom"/>
            <w:gridSpan w:val="2"/>
            <w:shd w:val="clear" w:color="auto" w:fill="CCEEFF"/>
          </w:tcPr>
          <w:p>
            <w:pPr>
              <w:jc w:val="right"/>
              <w:ind w:right="565"/>
              <w:spacing w:after="0" w:line="24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0.32</w:t>
            </w:r>
          </w:p>
        </w:tc>
        <w:tc>
          <w:tcPr>
            <w:tcW w:w="980" w:type="dxa"/>
            <w:vAlign w:val="bottom"/>
            <w:gridSpan w:val="2"/>
            <w:shd w:val="clear" w:color="auto" w:fill="CCEEFF"/>
          </w:tcPr>
          <w:p>
            <w:pPr>
              <w:jc w:val="right"/>
              <w:ind w:right="541"/>
              <w:spacing w:after="0" w:line="243"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0.31</w:t>
            </w:r>
          </w:p>
        </w:tc>
        <w:tc>
          <w:tcPr>
            <w:tcW w:w="460" w:type="dxa"/>
            <w:vAlign w:val="bottom"/>
            <w:gridSpan w:val="2"/>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360" w:type="dxa"/>
            <w:vAlign w:val="bottom"/>
            <w:gridSpan w:val="2"/>
            <w:shd w:val="clear" w:color="auto" w:fill="CCEE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0" w:type="dxa"/>
            <w:vAlign w:val="bottom"/>
            <w:gridSpan w:val="2"/>
            <w:shd w:val="clear" w:color="auto" w:fill="CCEE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Weighted average diluted common</w:t>
            </w:r>
          </w:p>
        </w:tc>
        <w:tc>
          <w:tcPr>
            <w:tcW w:w="1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shares outstanding</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12.4</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8"/>
              </w:rPr>
              <w:t>12.4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11420"/>
          </w:cols>
          <w:pgMar w:left="240" w:top="354"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3056255</wp:posOffset>
            </wp:positionH>
            <wp:positionV relativeFrom="page">
              <wp:posOffset>88900</wp:posOffset>
            </wp:positionV>
            <wp:extent cx="145796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t>PRESS RELEASE</w:t>
      </w:r>
    </w:p>
    <w:p>
      <w:pPr>
        <w:sectPr>
          <w:pgSz w:w="11900" w:h="16838" w:orient="portrait"/>
          <w:cols w:equalWidth="0" w:num="1">
            <w:col w:w="11420"/>
          </w:cols>
          <w:pgMar w:left="240" w:top="12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227"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CompX International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Three Lincoln Centre</w:t>
      </w:r>
    </w:p>
    <w:p>
      <w:pPr>
        <w:spacing w:after="0"/>
        <w:rPr>
          <w:sz w:val="20"/>
          <w:szCs w:val="20"/>
          <w:color w:val="auto"/>
        </w:rPr>
      </w:pPr>
      <w:r>
        <w:rPr>
          <w:rFonts w:ascii="Times New Roman" w:cs="Times New Roman" w:eastAsia="Times New Roman" w:hAnsi="Times New Roman"/>
          <w:sz w:val="21"/>
          <w:szCs w:val="21"/>
          <w:color w:val="auto"/>
        </w:rPr>
        <w:t>5430 LBJ Freeway, Suite 1700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Texas 75240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Janet G. Keckeisen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rPr>
          <w:sz w:val="20"/>
          <w:szCs w:val="20"/>
          <w:color w:val="auto"/>
        </w:rPr>
      </w:pPr>
      <w:r>
        <w:rPr>
          <w:rFonts w:ascii="Times New Roman" w:cs="Times New Roman" w:eastAsia="Times New Roman" w:hAnsi="Times New Roman"/>
          <w:sz w:val="22"/>
          <w:szCs w:val="22"/>
          <w:color w:val="auto"/>
        </w:rPr>
        <w:t>Tel. 972-233-1700</w:t>
      </w:r>
    </w:p>
    <w:p>
      <w:pPr>
        <w:spacing w:after="0" w:line="443" w:lineRule="exact"/>
        <w:rPr>
          <w:sz w:val="20"/>
          <w:szCs w:val="20"/>
          <w:color w:val="auto"/>
        </w:rPr>
      </w:pPr>
    </w:p>
    <w:p>
      <w:pPr>
        <w:sectPr>
          <w:pgSz w:w="11900" w:h="16838" w:orient="portrait"/>
          <w:cols w:equalWidth="0" w:num="2">
            <w:col w:w="6160" w:space="720"/>
            <w:col w:w="4540"/>
          </w:cols>
          <w:pgMar w:left="240" w:top="1227" w:right="2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COMPX DECLARES REGULAR QUARTERLY DIVIDEND</w:t>
      </w: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DALLAS, TEXAS . . . October 30, 2019 . . . CompX International Inc. (NYSE American: CIX) announced today that its board of directors has declared CompX’s regular quarterly dividend of seven cents ($0.07) per share on its class A common stock, payable on December 10, 2019 to stockholders of record at the close of business on December 3, 2019.</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w:t>
      </w:r>
    </w:p>
    <w:p>
      <w:pPr>
        <w:spacing w:after="0" w:line="1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 * * *</w:t>
      </w:r>
    </w:p>
    <w:sectPr>
      <w:pgSz w:w="11900" w:h="16838" w:orient="portrait"/>
      <w:cols w:equalWidth="0" w:num="1">
        <w:col w:w="11420"/>
      </w:cols>
      <w:pgMar w:left="240" w:top="122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2019-12-28T03:49:53Z</dcterms:created>
  <dcterms:modified xsi:type="dcterms:W3CDTF">2019-12-28T03:49:53Z</dcterms:modified>
</cp:coreProperties>
</file>