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216535</wp:posOffset>
            </wp:positionV>
            <wp:extent cx="71964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645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156845</wp:posOffset>
            </wp:positionV>
            <wp:extent cx="71964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6455" cy="17145"/>
                    </a:xfrm>
                    <a:prstGeom prst="rect">
                      <a:avLst/>
                    </a:prstGeom>
                    <a:noFill/>
                  </pic:spPr>
                </pic:pic>
              </a:graphicData>
            </a:graphic>
          </wp:anchor>
        </w:drawing>
        <w:t>UNITED STATES</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109220</wp:posOffset>
            </wp:positionV>
            <wp:extent cx="1426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112395</wp:posOffset>
            </wp:positionV>
            <wp:extent cx="14268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pacing w:after="0" w:line="367" w:lineRule="exact"/>
        <w:rPr>
          <w:sz w:val="24"/>
          <w:szCs w:val="24"/>
          <w:color w:val="auto"/>
        </w:rPr>
      </w:pPr>
    </w:p>
    <w:p>
      <w:pPr>
        <w:ind w:left="1860" w:right="380" w:hanging="369"/>
        <w:spacing w:after="0" w:line="256" w:lineRule="auto"/>
        <w:tabs>
          <w:tab w:leader="none" w:pos="18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QUARTERLY REPORT PURSUANT TO SECTION 13 OR 15(d) OF THE SECURITIES EXCHANGE ACT OF 1934</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2021</w:t>
      </w:r>
    </w:p>
    <w:p>
      <w:pPr>
        <w:spacing w:after="0" w:line="236" w:lineRule="exact"/>
        <w:rPr>
          <w:sz w:val="24"/>
          <w:szCs w:val="24"/>
          <w:color w:val="auto"/>
        </w:rPr>
      </w:pPr>
    </w:p>
    <w:p>
      <w:pPr>
        <w:ind w:left="1880" w:right="2220" w:hanging="389"/>
        <w:spacing w:after="0" w:line="270" w:lineRule="auto"/>
        <w:tabs>
          <w:tab w:leader="none" w:pos="1853" w:val="left"/>
        </w:tabs>
        <w:numPr>
          <w:ilvl w:val="0"/>
          <w:numId w:val="2"/>
        </w:numPr>
        <w:rPr>
          <w:rFonts w:ascii="MS PGothic" w:cs="MS PGothic" w:eastAsia="MS PGothic" w:hAnsi="MS PGothic"/>
          <w:sz w:val="20"/>
          <w:szCs w:val="20"/>
          <w:color w:val="auto"/>
        </w:rPr>
      </w:pPr>
      <w:r>
        <w:rPr>
          <w:rFonts w:ascii="Arial" w:cs="Arial" w:eastAsia="Arial" w:hAnsi="Arial"/>
          <w:sz w:val="20"/>
          <w:szCs w:val="20"/>
          <w:color w:val="auto"/>
        </w:rPr>
        <w:t>TRANSITION REPORT PURSUANT TO SECTION 13 OR 15(d) OF THE SECURITIES EXCHANGE ACT OF 1934</w:t>
      </w:r>
    </w:p>
    <w:p>
      <w:pPr>
        <w:spacing w:after="0" w:line="56" w:lineRule="exact"/>
        <w:rPr>
          <w:sz w:val="24"/>
          <w:szCs w:val="24"/>
          <w:color w:val="auto"/>
        </w:rPr>
      </w:pPr>
    </w:p>
    <w:tbl>
      <w:tblPr>
        <w:tblLayout w:type="fixed"/>
        <w:tblInd w:w="1400" w:type="dxa"/>
        <w:tblCellMar>
          <w:top w:w="0" w:type="dxa"/>
          <w:left w:w="0" w:type="dxa"/>
          <w:bottom w:w="0" w:type="dxa"/>
          <w:right w:w="0" w:type="dxa"/>
        </w:tblCellMar>
      </w:tblPr>
      <w:tr>
        <w:trPr>
          <w:trHeight w:val="231"/>
        </w:trPr>
        <w:tc>
          <w:tcPr>
            <w:tcW w:w="6480" w:type="dxa"/>
            <w:vAlign w:val="bottom"/>
            <w:gridSpan w:val="3"/>
          </w:tcPr>
          <w:p>
            <w:pPr>
              <w:ind w:left="2240"/>
              <w:spacing w:after="0"/>
              <w:rPr>
                <w:sz w:val="20"/>
                <w:szCs w:val="20"/>
                <w:color w:val="auto"/>
              </w:rPr>
            </w:pPr>
            <w:r>
              <w:rPr>
                <w:rFonts w:ascii="Arial" w:cs="Arial" w:eastAsia="Arial" w:hAnsi="Arial"/>
                <w:sz w:val="18"/>
                <w:szCs w:val="18"/>
                <w:b w:val="1"/>
                <w:bCs w:val="1"/>
                <w:color w:val="auto"/>
                <w:w w:val="90"/>
              </w:rPr>
              <w:t>For the transition period from _________ to _________</w:t>
            </w:r>
          </w:p>
        </w:tc>
        <w:tc>
          <w:tcPr>
            <w:tcW w:w="1120" w:type="dxa"/>
            <w:vAlign w:val="bottom"/>
          </w:tcPr>
          <w:p>
            <w:pPr>
              <w:spacing w:after="0"/>
              <w:rPr>
                <w:sz w:val="20"/>
                <w:szCs w:val="20"/>
                <w:color w:val="auto"/>
              </w:rPr>
            </w:pPr>
          </w:p>
        </w:tc>
      </w:tr>
      <w:tr>
        <w:trPr>
          <w:trHeight w:val="428"/>
        </w:trPr>
        <w:tc>
          <w:tcPr>
            <w:tcW w:w="6480" w:type="dxa"/>
            <w:vAlign w:val="bottom"/>
            <w:gridSpan w:val="3"/>
          </w:tcPr>
          <w:p>
            <w:pPr>
              <w:jc w:val="center"/>
              <w:ind w:left="1869"/>
              <w:spacing w:after="0"/>
              <w:rPr>
                <w:sz w:val="20"/>
                <w:szCs w:val="20"/>
                <w:color w:val="auto"/>
              </w:rPr>
            </w:pPr>
            <w:r>
              <w:rPr>
                <w:rFonts w:ascii="Arial" w:cs="Arial" w:eastAsia="Arial" w:hAnsi="Arial"/>
                <w:sz w:val="18"/>
                <w:szCs w:val="18"/>
                <w:b w:val="1"/>
                <w:bCs w:val="1"/>
                <w:color w:val="auto"/>
                <w:w w:val="89"/>
              </w:rPr>
              <w:t>Commission file number 1-13905</w:t>
            </w:r>
          </w:p>
        </w:tc>
        <w:tc>
          <w:tcPr>
            <w:tcW w:w="1120" w:type="dxa"/>
            <w:vAlign w:val="bottom"/>
          </w:tcPr>
          <w:p>
            <w:pPr>
              <w:spacing w:after="0"/>
              <w:rPr>
                <w:sz w:val="24"/>
                <w:szCs w:val="24"/>
                <w:color w:val="auto"/>
              </w:rPr>
            </w:pPr>
          </w:p>
        </w:tc>
      </w:tr>
      <w:tr>
        <w:trPr>
          <w:trHeight w:val="162"/>
        </w:trPr>
        <w:tc>
          <w:tcPr>
            <w:tcW w:w="3100" w:type="dxa"/>
            <w:vAlign w:val="bottom"/>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2260" w:type="dxa"/>
            <w:vAlign w:val="bottom"/>
            <w:gridSpan w:val="2"/>
          </w:tcPr>
          <w:p>
            <w:pPr>
              <w:spacing w:after="0"/>
              <w:rPr>
                <w:sz w:val="14"/>
                <w:szCs w:val="14"/>
                <w:color w:val="auto"/>
              </w:rPr>
            </w:pPr>
          </w:p>
        </w:tc>
      </w:tr>
      <w:tr>
        <w:trPr>
          <w:trHeight w:val="447"/>
        </w:trPr>
        <w:tc>
          <w:tcPr>
            <w:tcW w:w="7600" w:type="dxa"/>
            <w:vAlign w:val="bottom"/>
            <w:gridSpan w:val="4"/>
          </w:tcPr>
          <w:p>
            <w:pPr>
              <w:jc w:val="center"/>
              <w:ind w:left="749"/>
              <w:spacing w:after="0"/>
              <w:rPr>
                <w:sz w:val="20"/>
                <w:szCs w:val="20"/>
                <w:color w:val="auto"/>
              </w:rPr>
            </w:pPr>
            <w:r>
              <w:rPr>
                <w:rFonts w:ascii="Arial" w:cs="Arial" w:eastAsia="Arial" w:hAnsi="Arial"/>
                <w:sz w:val="32"/>
                <w:szCs w:val="32"/>
                <w:b w:val="1"/>
                <w:bCs w:val="1"/>
                <w:color w:val="auto"/>
              </w:rPr>
              <w:t>COMPX INTERNATIONAL INC.</w:t>
            </w:r>
          </w:p>
        </w:tc>
      </w:tr>
      <w:tr>
        <w:trPr>
          <w:trHeight w:val="227"/>
        </w:trPr>
        <w:tc>
          <w:tcPr>
            <w:tcW w:w="6480" w:type="dxa"/>
            <w:vAlign w:val="bottom"/>
            <w:gridSpan w:val="3"/>
          </w:tcPr>
          <w:p>
            <w:pPr>
              <w:jc w:val="center"/>
              <w:ind w:left="1889"/>
              <w:spacing w:after="0"/>
              <w:rPr>
                <w:sz w:val="20"/>
                <w:szCs w:val="20"/>
                <w:color w:val="auto"/>
              </w:rPr>
            </w:pPr>
            <w:r>
              <w:rPr>
                <w:rFonts w:ascii="Arial" w:cs="Arial" w:eastAsia="Arial" w:hAnsi="Arial"/>
                <w:sz w:val="18"/>
                <w:szCs w:val="18"/>
                <w:color w:val="auto"/>
                <w:w w:val="89"/>
              </w:rPr>
              <w:t>(Exact name of Registrant as specified in its charter)</w:t>
            </w:r>
          </w:p>
        </w:tc>
        <w:tc>
          <w:tcPr>
            <w:tcW w:w="1120" w:type="dxa"/>
            <w:vAlign w:val="bottom"/>
          </w:tcPr>
          <w:p>
            <w:pPr>
              <w:spacing w:after="0"/>
              <w:rPr>
                <w:sz w:val="19"/>
                <w:szCs w:val="19"/>
                <w:color w:val="auto"/>
              </w:rPr>
            </w:pPr>
          </w:p>
        </w:tc>
      </w:tr>
      <w:tr>
        <w:trPr>
          <w:trHeight w:val="344"/>
        </w:trPr>
        <w:tc>
          <w:tcPr>
            <w:tcW w:w="648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91"/>
              </w:rPr>
              <w:t>Delaware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57-0981653</w:t>
            </w:r>
          </w:p>
        </w:tc>
      </w:tr>
      <w:tr>
        <w:trPr>
          <w:trHeight w:val="147"/>
        </w:trPr>
        <w:tc>
          <w:tcPr>
            <w:tcW w:w="6480" w:type="dxa"/>
            <w:vAlign w:val="bottom"/>
            <w:gridSpan w:val="3"/>
          </w:tcPr>
          <w:p>
            <w:pPr>
              <w:jc w:val="center"/>
              <w:ind w:right="3780"/>
              <w:spacing w:after="0" w:line="147" w:lineRule="exact"/>
              <w:rPr>
                <w:sz w:val="20"/>
                <w:szCs w:val="20"/>
                <w:color w:val="auto"/>
              </w:rPr>
            </w:pPr>
            <w:r>
              <w:rPr>
                <w:rFonts w:ascii="Arial" w:cs="Arial" w:eastAsia="Arial" w:hAnsi="Arial"/>
                <w:sz w:val="14"/>
                <w:szCs w:val="14"/>
                <w:color w:val="auto"/>
                <w:w w:val="94"/>
              </w:rPr>
              <w:t>(State or other jurisdiction of</w:t>
            </w:r>
          </w:p>
        </w:tc>
        <w:tc>
          <w:tcPr>
            <w:tcW w:w="1120" w:type="dxa"/>
            <w:vAlign w:val="bottom"/>
          </w:tcPr>
          <w:p>
            <w:pPr>
              <w:jc w:val="center"/>
              <w:spacing w:after="0" w:line="147" w:lineRule="exact"/>
              <w:rPr>
                <w:sz w:val="20"/>
                <w:szCs w:val="20"/>
                <w:color w:val="auto"/>
              </w:rPr>
            </w:pPr>
            <w:r>
              <w:rPr>
                <w:rFonts w:ascii="Arial" w:cs="Arial" w:eastAsia="Arial" w:hAnsi="Arial"/>
                <w:sz w:val="14"/>
                <w:szCs w:val="14"/>
                <w:color w:val="auto"/>
                <w:w w:val="94"/>
              </w:rPr>
              <w:t>(IRS Employer</w:t>
            </w:r>
          </w:p>
        </w:tc>
      </w:tr>
      <w:tr>
        <w:trPr>
          <w:trHeight w:val="181"/>
        </w:trPr>
        <w:tc>
          <w:tcPr>
            <w:tcW w:w="6480" w:type="dxa"/>
            <w:vAlign w:val="bottom"/>
            <w:gridSpan w:val="3"/>
          </w:tcPr>
          <w:p>
            <w:pPr>
              <w:jc w:val="center"/>
              <w:ind w:right="3760"/>
              <w:spacing w:after="0"/>
              <w:rPr>
                <w:sz w:val="20"/>
                <w:szCs w:val="20"/>
                <w:color w:val="auto"/>
              </w:rPr>
            </w:pPr>
            <w:r>
              <w:rPr>
                <w:rFonts w:ascii="Arial" w:cs="Arial" w:eastAsia="Arial" w:hAnsi="Arial"/>
                <w:sz w:val="14"/>
                <w:szCs w:val="14"/>
                <w:color w:val="auto"/>
                <w:w w:val="94"/>
              </w:rPr>
              <w:t>Incorporation or organization)</w:t>
            </w:r>
          </w:p>
        </w:tc>
        <w:tc>
          <w:tcPr>
            <w:tcW w:w="1120" w:type="dxa"/>
            <w:vAlign w:val="bottom"/>
          </w:tcPr>
          <w:p>
            <w:pPr>
              <w:jc w:val="center"/>
              <w:spacing w:after="0"/>
              <w:rPr>
                <w:sz w:val="20"/>
                <w:szCs w:val="20"/>
                <w:color w:val="auto"/>
              </w:rPr>
            </w:pPr>
            <w:r>
              <w:rPr>
                <w:rFonts w:ascii="Arial" w:cs="Arial" w:eastAsia="Arial" w:hAnsi="Arial"/>
                <w:sz w:val="14"/>
                <w:szCs w:val="14"/>
                <w:color w:val="auto"/>
                <w:w w:val="97"/>
              </w:rPr>
              <w:t>Identification No.)</w:t>
            </w:r>
          </w:p>
        </w:tc>
      </w:tr>
      <w:tr>
        <w:trPr>
          <w:trHeight w:val="434"/>
        </w:trPr>
        <w:tc>
          <w:tcPr>
            <w:tcW w:w="6480" w:type="dxa"/>
            <w:vAlign w:val="bottom"/>
            <w:gridSpan w:val="3"/>
          </w:tcPr>
          <w:p>
            <w:pPr>
              <w:jc w:val="center"/>
              <w:ind w:right="3780"/>
              <w:spacing w:after="0"/>
              <w:rPr>
                <w:sz w:val="20"/>
                <w:szCs w:val="20"/>
                <w:color w:val="auto"/>
              </w:rPr>
            </w:pPr>
            <w:r>
              <w:rPr>
                <w:rFonts w:ascii="Arial" w:cs="Arial" w:eastAsia="Arial" w:hAnsi="Arial"/>
                <w:sz w:val="18"/>
                <w:szCs w:val="18"/>
                <w:b w:val="1"/>
                <w:bCs w:val="1"/>
                <w:color w:val="auto"/>
                <w:w w:val="89"/>
              </w:rPr>
              <w:t>5430 LBJ Freeway, Suite 1700,</w:t>
            </w:r>
          </w:p>
        </w:tc>
        <w:tc>
          <w:tcPr>
            <w:tcW w:w="1120" w:type="dxa"/>
            <w:vAlign w:val="bottom"/>
          </w:tcPr>
          <w:p>
            <w:pPr>
              <w:spacing w:after="0"/>
              <w:rPr>
                <w:sz w:val="24"/>
                <w:szCs w:val="24"/>
                <w:color w:val="auto"/>
              </w:rPr>
            </w:pPr>
          </w:p>
        </w:tc>
      </w:tr>
      <w:tr>
        <w:trPr>
          <w:trHeight w:val="227"/>
        </w:trPr>
        <w:tc>
          <w:tcPr>
            <w:tcW w:w="648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89"/>
              </w:rPr>
              <w:t>Three Lincoln Centre, Dallas, Texas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75240-2620</w:t>
            </w:r>
          </w:p>
        </w:tc>
      </w:tr>
      <w:tr>
        <w:trPr>
          <w:trHeight w:val="181"/>
        </w:trPr>
        <w:tc>
          <w:tcPr>
            <w:tcW w:w="6480" w:type="dxa"/>
            <w:vAlign w:val="bottom"/>
            <w:gridSpan w:val="3"/>
          </w:tcPr>
          <w:p>
            <w:pPr>
              <w:jc w:val="center"/>
              <w:ind w:right="3780"/>
              <w:spacing w:after="0"/>
              <w:rPr>
                <w:sz w:val="20"/>
                <w:szCs w:val="20"/>
                <w:color w:val="auto"/>
              </w:rPr>
            </w:pPr>
            <w:r>
              <w:rPr>
                <w:rFonts w:ascii="Arial" w:cs="Arial" w:eastAsia="Arial" w:hAnsi="Arial"/>
                <w:sz w:val="14"/>
                <w:szCs w:val="14"/>
                <w:color w:val="auto"/>
                <w:w w:val="94"/>
              </w:rPr>
              <w:t>(Address of principal executive offices)</w:t>
            </w: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(Zip Code)</w:t>
            </w:r>
          </w:p>
        </w:tc>
      </w:tr>
    </w:tbl>
    <w:p>
      <w:pPr>
        <w:spacing w:after="0" w:line="180"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(972) 448-1400</w:t>
      </w:r>
    </w:p>
    <w:p>
      <w:pPr>
        <w:spacing w:after="0" w:line="96"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4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0"/>
        </w:trPr>
        <w:tc>
          <w:tcPr>
            <w:tcW w:w="4760" w:type="dxa"/>
            <w:vAlign w:val="bottom"/>
            <w:gridSpan w:val="2"/>
            <w:vMerge w:val="continue"/>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4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6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Class A common stock</w:t>
            </w:r>
          </w:p>
        </w:tc>
        <w:tc>
          <w:tcPr>
            <w:tcW w:w="100" w:type="dxa"/>
            <w:vAlign w:val="bottom"/>
          </w:tcPr>
          <w:p>
            <w:pPr>
              <w:spacing w:after="0"/>
              <w:rPr>
                <w:sz w:val="17"/>
                <w:szCs w:val="17"/>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7"/>
              </w:rPr>
              <w:t>CIX</w:t>
            </w:r>
          </w:p>
        </w:tc>
        <w:tc>
          <w:tcPr>
            <w:tcW w:w="100" w:type="dxa"/>
            <w:vAlign w:val="bottom"/>
          </w:tcPr>
          <w:p>
            <w:pPr>
              <w:spacing w:after="0"/>
              <w:rPr>
                <w:sz w:val="17"/>
                <w:szCs w:val="17"/>
                <w:color w:val="auto"/>
              </w:rPr>
            </w:pPr>
          </w:p>
        </w:tc>
        <w:tc>
          <w:tcPr>
            <w:tcW w:w="46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NYSE American</w:t>
            </w:r>
          </w:p>
        </w:tc>
        <w:tc>
          <w:tcPr>
            <w:tcW w:w="0" w:type="dxa"/>
            <w:vAlign w:val="bottom"/>
          </w:tcPr>
          <w:p>
            <w:pPr>
              <w:spacing w:after="0"/>
              <w:rPr>
                <w:sz w:val="1"/>
                <w:szCs w:val="1"/>
                <w:color w:val="auto"/>
              </w:rPr>
            </w:pPr>
          </w:p>
        </w:tc>
      </w:tr>
    </w:tbl>
    <w:p>
      <w:pPr>
        <w:spacing w:after="0" w:line="196" w:lineRule="exact"/>
        <w:rPr>
          <w:sz w:val="24"/>
          <w:szCs w:val="24"/>
          <w:color w:val="auto"/>
        </w:rPr>
      </w:pPr>
    </w:p>
    <w:p>
      <w:pPr>
        <w:jc w:val="both"/>
        <w:spacing w:after="0" w:line="214" w:lineRule="exact"/>
        <w:rPr>
          <w:sz w:val="20"/>
          <w:szCs w:val="20"/>
          <w:color w:val="auto"/>
        </w:rPr>
      </w:pPr>
      <w:r>
        <w:rPr>
          <w:rFonts w:ascii="Arial" w:cs="Arial" w:eastAsia="Arial" w:hAnsi="Arial"/>
          <w:sz w:val="16"/>
          <w:szCs w:val="16"/>
          <w:b w:val="1"/>
          <w:bCs w:val="1"/>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 xml:space="preserve"> No </w:t>
      </w:r>
      <w:r>
        <w:rPr>
          <w:rFonts w:ascii="MS PGothic" w:cs="MS PGothic" w:eastAsia="MS PGothic" w:hAnsi="MS PGothic"/>
          <w:sz w:val="16"/>
          <w:szCs w:val="16"/>
          <w:color w:val="auto"/>
          <w:highlight w:val="black"/>
        </w:rPr>
        <w:t>☐</w:t>
      </w:r>
    </w:p>
    <w:p>
      <w:pPr>
        <w:spacing w:after="0" w:line="189" w:lineRule="exact"/>
        <w:rPr>
          <w:sz w:val="24"/>
          <w:szCs w:val="24"/>
          <w:color w:val="auto"/>
        </w:rPr>
      </w:pPr>
    </w:p>
    <w:p>
      <w:pPr>
        <w:jc w:val="both"/>
        <w:spacing w:after="0" w:line="214" w:lineRule="exact"/>
        <w:rPr>
          <w:sz w:val="20"/>
          <w:szCs w:val="20"/>
          <w:color w:val="auto"/>
        </w:rPr>
      </w:pPr>
      <w:r>
        <w:rPr>
          <w:rFonts w:ascii="Arial" w:cs="Arial" w:eastAsia="Arial" w:hAnsi="Arial"/>
          <w:sz w:val="15"/>
          <w:szCs w:val="15"/>
          <w:b w:val="1"/>
          <w:bCs w:val="1"/>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5"/>
          <w:szCs w:val="15"/>
          <w:color w:val="auto"/>
          <w:highlight w:val="black"/>
        </w:rPr>
        <w:t>☒</w:t>
      </w:r>
      <w:r>
        <w:rPr>
          <w:rFonts w:ascii="Arial" w:cs="Arial" w:eastAsia="Arial" w:hAnsi="Arial"/>
          <w:sz w:val="15"/>
          <w:szCs w:val="15"/>
          <w:b w:val="1"/>
          <w:bCs w:val="1"/>
          <w:color w:val="auto"/>
        </w:rPr>
        <w:t xml:space="preserve"> No </w:t>
      </w:r>
      <w:r>
        <w:rPr>
          <w:rFonts w:ascii="MS PGothic" w:cs="MS PGothic" w:eastAsia="MS PGothic" w:hAnsi="MS PGothic"/>
          <w:sz w:val="15"/>
          <w:szCs w:val="15"/>
          <w:color w:val="auto"/>
          <w:highlight w:val="black"/>
        </w:rPr>
        <w:t>☐</w:t>
      </w:r>
    </w:p>
    <w:p>
      <w:pPr>
        <w:spacing w:after="0" w:line="188" w:lineRule="exact"/>
        <w:rPr>
          <w:sz w:val="24"/>
          <w:szCs w:val="24"/>
          <w:color w:val="auto"/>
        </w:rPr>
      </w:pPr>
    </w:p>
    <w:p>
      <w:pPr>
        <w:jc w:val="both"/>
        <w:spacing w:after="0" w:line="277" w:lineRule="auto"/>
        <w:rPr>
          <w:sz w:val="20"/>
          <w:szCs w:val="20"/>
          <w:color w:val="auto"/>
        </w:rPr>
      </w:pPr>
      <w:r>
        <w:rPr>
          <w:rFonts w:ascii="Arial" w:cs="Arial" w:eastAsia="Arial" w:hAnsi="Arial"/>
          <w:sz w:val="16"/>
          <w:szCs w:val="16"/>
          <w:b w:val="1"/>
          <w:bCs w:val="1"/>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53" w:lineRule="exact"/>
        <w:rPr>
          <w:sz w:val="24"/>
          <w:szCs w:val="24"/>
          <w:color w:val="auto"/>
        </w:rPr>
      </w:pPr>
    </w:p>
    <w:p>
      <w:pPr>
        <w:spacing w:after="0" w:line="184" w:lineRule="exact"/>
        <w:tabs>
          <w:tab w:leader="none" w:pos="1860" w:val="left"/>
          <w:tab w:leader="none" w:pos="3340" w:val="left"/>
        </w:tabs>
        <w:rPr>
          <w:sz w:val="20"/>
          <w:szCs w:val="20"/>
          <w:color w:val="auto"/>
        </w:rPr>
      </w:pPr>
      <w:r>
        <w:rPr>
          <w:rFonts w:ascii="Arial" w:cs="Arial" w:eastAsia="Arial" w:hAnsi="Arial"/>
          <w:sz w:val="16"/>
          <w:szCs w:val="16"/>
          <w:b w:val="1"/>
          <w:bCs w:val="1"/>
          <w:color w:val="auto"/>
        </w:rPr>
        <w:t xml:space="preserve">Large accelerated filer </w:t>
      </w: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ab/>
        <w:t xml:space="preserve">Accelerated filer </w:t>
      </w:r>
      <w:r>
        <w:rPr>
          <w:rFonts w:ascii="MS PGothic" w:cs="MS PGothic" w:eastAsia="MS PGothic" w:hAnsi="MS PGothic"/>
          <w:sz w:val="16"/>
          <w:szCs w:val="16"/>
          <w:color w:val="auto"/>
          <w:highlight w:val="black"/>
        </w:rPr>
        <w:t>☐</w:t>
      </w:r>
      <w:r>
        <w:rPr>
          <w:sz w:val="20"/>
          <w:szCs w:val="20"/>
          <w:color w:val="auto"/>
        </w:rPr>
        <w:tab/>
      </w:r>
      <w:r>
        <w:rPr>
          <w:rFonts w:ascii="Arial" w:cs="Arial" w:eastAsia="Arial" w:hAnsi="Arial"/>
          <w:sz w:val="14"/>
          <w:szCs w:val="14"/>
          <w:b w:val="1"/>
          <w:bCs w:val="1"/>
          <w:color w:val="auto"/>
        </w:rPr>
        <w:t xml:space="preserve">Non-accelerated filer </w:t>
      </w:r>
      <w:r>
        <w:rPr>
          <w:rFonts w:ascii="MS PGothic" w:cs="MS PGothic" w:eastAsia="MS PGothic" w:hAnsi="MS PGothic"/>
          <w:sz w:val="14"/>
          <w:szCs w:val="14"/>
          <w:color w:val="auto"/>
          <w:highlight w:val="black"/>
        </w:rPr>
        <w:t>☒</w:t>
      </w:r>
      <w:r>
        <w:rPr>
          <w:rFonts w:ascii="Arial" w:cs="Arial" w:eastAsia="Arial" w:hAnsi="Arial"/>
          <w:sz w:val="14"/>
          <w:szCs w:val="14"/>
          <w:b w:val="1"/>
          <w:bCs w:val="1"/>
          <w:color w:val="auto"/>
        </w:rPr>
        <w:t xml:space="preserve"> Smaller reporting company </w:t>
      </w:r>
      <w:r>
        <w:rPr>
          <w:rFonts w:ascii="MS PGothic" w:cs="MS PGothic" w:eastAsia="MS PGothic" w:hAnsi="MS PGothic"/>
          <w:sz w:val="14"/>
          <w:szCs w:val="14"/>
          <w:color w:val="auto"/>
          <w:highlight w:val="black"/>
        </w:rPr>
        <w:t>☐</w:t>
      </w:r>
    </w:p>
    <w:p>
      <w:pPr>
        <w:spacing w:after="0" w:line="231"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Emerging growth company </w:t>
      </w:r>
      <w:r>
        <w:rPr>
          <w:rFonts w:ascii="MS PGothic" w:cs="MS PGothic" w:eastAsia="MS PGothic" w:hAnsi="MS PGothic"/>
          <w:sz w:val="16"/>
          <w:szCs w:val="16"/>
          <w:color w:val="auto"/>
          <w:highlight w:val="black"/>
        </w:rPr>
        <w:t>☐</w:t>
      </w:r>
    </w:p>
    <w:p>
      <w:pPr>
        <w:spacing w:after="0" w:line="257" w:lineRule="exact"/>
        <w:rPr>
          <w:sz w:val="24"/>
          <w:szCs w:val="24"/>
          <w:color w:val="auto"/>
        </w:rPr>
      </w:pPr>
    </w:p>
    <w:p>
      <w:pPr>
        <w:jc w:val="both"/>
        <w:spacing w:after="0" w:line="214" w:lineRule="exact"/>
        <w:rPr>
          <w:sz w:val="20"/>
          <w:szCs w:val="20"/>
          <w:color w:val="auto"/>
        </w:rPr>
      </w:pPr>
      <w:r>
        <w:rPr>
          <w:rFonts w:ascii="Arial" w:cs="Arial" w:eastAsia="Arial" w:hAnsi="Arial"/>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163" w:lineRule="exact"/>
        <w:rPr>
          <w:sz w:val="24"/>
          <w:szCs w:val="24"/>
          <w:color w:val="auto"/>
        </w:rPr>
      </w:pPr>
    </w:p>
    <w:p>
      <w:pPr>
        <w:spacing w:after="0" w:line="184" w:lineRule="exact"/>
        <w:tabs>
          <w:tab w:leader="none" w:pos="7860" w:val="left"/>
          <w:tab w:leader="none" w:pos="8480" w:val="left"/>
        </w:tabs>
        <w:rPr>
          <w:sz w:val="20"/>
          <w:szCs w:val="20"/>
          <w:color w:val="auto"/>
        </w:rPr>
      </w:pPr>
      <w:r>
        <w:rPr>
          <w:rFonts w:ascii="Arial" w:cs="Arial" w:eastAsia="Arial" w:hAnsi="Arial"/>
          <w:sz w:val="15"/>
          <w:szCs w:val="15"/>
          <w:b w:val="1"/>
          <w:bCs w:val="1"/>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highlight w:val="black"/>
        </w:rPr>
        <w:t>☐</w:t>
      </w:r>
      <w:r>
        <w:rPr>
          <w:sz w:val="20"/>
          <w:szCs w:val="20"/>
          <w:color w:val="auto"/>
        </w:rPr>
        <w:tab/>
      </w:r>
      <w:r>
        <w:rPr>
          <w:rFonts w:ascii="Arial" w:cs="Arial" w:eastAsia="Arial" w:hAnsi="Arial"/>
          <w:sz w:val="15"/>
          <w:szCs w:val="15"/>
          <w:b w:val="1"/>
          <w:bCs w:val="1"/>
          <w:color w:val="auto"/>
        </w:rPr>
        <w:t xml:space="preserve">No </w:t>
      </w:r>
      <w:r>
        <w:rPr>
          <w:rFonts w:ascii="MS PGothic" w:cs="MS PGothic" w:eastAsia="MS PGothic" w:hAnsi="MS PGothic"/>
          <w:sz w:val="15"/>
          <w:szCs w:val="15"/>
          <w:color w:val="auto"/>
          <w:highlight w:val="black"/>
        </w:rPr>
        <w:t>☒</w:t>
      </w:r>
      <w:r>
        <w:rPr>
          <w:rFonts w:ascii="Arial" w:cs="Arial" w:eastAsia="Arial" w:hAnsi="Arial"/>
          <w:sz w:val="15"/>
          <w:szCs w:val="15"/>
          <w:b w:val="1"/>
          <w:bCs w:val="1"/>
          <w:color w:val="auto"/>
        </w:rPr>
        <w:t>.</w:t>
      </w:r>
    </w:p>
    <w:p>
      <w:pPr>
        <w:spacing w:after="0" w:line="25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As of July 29, 2021, the registrant had 12,405,657 shares of Class A common stock, $.01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163830</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113030</wp:posOffset>
            </wp:positionV>
            <wp:extent cx="7133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490855</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540" w:type="dxa"/>
            <w:vAlign w:val="bottom"/>
            <w:gridSpan w:val="8"/>
          </w:tcPr>
          <w:p>
            <w:pPr>
              <w:jc w:val="center"/>
              <w:ind w:right="2100"/>
              <w:spacing w:after="0"/>
              <w:rPr>
                <w:sz w:val="20"/>
                <w:szCs w:val="20"/>
                <w:color w:val="auto"/>
              </w:rPr>
            </w:pPr>
            <w:r>
              <w:rPr>
                <w:rFonts w:ascii="Arial" w:cs="Arial" w:eastAsia="Arial" w:hAnsi="Arial"/>
                <w:sz w:val="18"/>
                <w:szCs w:val="18"/>
                <w:b w:val="1"/>
                <w:bCs w:val="1"/>
                <w:color w:val="auto"/>
              </w:rPr>
              <w:t>COMPX INTERNATIONAL INC.</w:t>
            </w:r>
          </w:p>
        </w:tc>
        <w:tc>
          <w:tcPr>
            <w:tcW w:w="800" w:type="dxa"/>
            <w:vAlign w:val="bottom"/>
          </w:tcPr>
          <w:p>
            <w:pPr>
              <w:spacing w:after="0"/>
              <w:rPr>
                <w:sz w:val="20"/>
                <w:szCs w:val="20"/>
                <w:color w:val="auto"/>
              </w:rPr>
            </w:pPr>
          </w:p>
        </w:tc>
      </w:tr>
      <w:tr>
        <w:trPr>
          <w:trHeight w:val="428"/>
        </w:trPr>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300" w:type="dxa"/>
            <w:vAlign w:val="bottom"/>
            <w:gridSpan w:val="7"/>
          </w:tcPr>
          <w:p>
            <w:pPr>
              <w:jc w:val="center"/>
              <w:ind w:right="4340"/>
              <w:spacing w:after="0"/>
              <w:rPr>
                <w:sz w:val="20"/>
                <w:szCs w:val="20"/>
                <w:color w:val="auto"/>
              </w:rPr>
            </w:pPr>
            <w:r>
              <w:rPr>
                <w:rFonts w:ascii="Arial" w:cs="Arial" w:eastAsia="Arial" w:hAnsi="Arial"/>
                <w:sz w:val="18"/>
                <w:szCs w:val="18"/>
                <w:b w:val="1"/>
                <w:bCs w:val="1"/>
                <w:color w:val="auto"/>
                <w:w w:val="93"/>
              </w:rPr>
              <w:t>Index</w:t>
            </w:r>
          </w:p>
        </w:tc>
        <w:tc>
          <w:tcPr>
            <w:tcW w:w="800" w:type="dxa"/>
            <w:vAlign w:val="bottom"/>
          </w:tcPr>
          <w:p>
            <w:pPr>
              <w:spacing w:after="0"/>
              <w:rPr>
                <w:sz w:val="24"/>
                <w:szCs w:val="24"/>
                <w:color w:val="auto"/>
              </w:rPr>
            </w:pPr>
          </w:p>
        </w:tc>
      </w:tr>
      <w:tr>
        <w:trPr>
          <w:trHeight w:val="443"/>
        </w:trPr>
        <w:tc>
          <w:tcPr>
            <w:tcW w:w="88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560" w:type="dxa"/>
            <w:vAlign w:val="bottom"/>
            <w:gridSpan w:val="12"/>
          </w:tcPr>
          <w:p>
            <w:pPr>
              <w:ind w:left="20"/>
              <w:spacing w:after="0"/>
              <w:rPr>
                <w:sz w:val="20"/>
                <w:szCs w:val="20"/>
                <w:color w:val="auto"/>
              </w:rPr>
            </w:pPr>
            <w:r>
              <w:rPr>
                <w:rFonts w:ascii="Arial" w:cs="Arial" w:eastAsia="Arial" w:hAnsi="Arial"/>
                <w:sz w:val="18"/>
                <w:szCs w:val="18"/>
                <w:b w:val="1"/>
                <w:bCs w:val="1"/>
                <w:color w:val="auto"/>
              </w:rPr>
              <w:t>FINANCIAL INFORMATION</w:t>
            </w: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Page</w:t>
            </w:r>
          </w:p>
        </w:tc>
      </w:t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12"/>
          </w:tcPr>
          <w:p>
            <w:pPr>
              <w:spacing w:after="0"/>
              <w:rPr>
                <w:sz w:val="20"/>
                <w:szCs w:val="20"/>
                <w:color w:val="auto"/>
              </w:rPr>
            </w:pPr>
            <w:r>
              <w:rPr>
                <w:rFonts w:ascii="Arial" w:cs="Arial" w:eastAsia="Arial" w:hAnsi="Arial"/>
                <w:sz w:val="18"/>
                <w:szCs w:val="18"/>
                <w:color w:val="auto"/>
              </w:rPr>
              <w:t>Financial Statements</w:t>
            </w:r>
          </w:p>
        </w:tc>
        <w:tc>
          <w:tcPr>
            <w:tcW w:w="800" w:type="dxa"/>
            <w:vAlign w:val="bottom"/>
          </w:tcPr>
          <w:p>
            <w:pPr>
              <w:spacing w:after="0"/>
              <w:rPr>
                <w:sz w:val="17"/>
                <w:szCs w:val="17"/>
                <w:color w:val="auto"/>
              </w:rPr>
            </w:pPr>
          </w:p>
        </w:tc>
      </w:tr>
      <w:tr>
        <w:trPr>
          <w:trHeight w:val="295"/>
        </w:trPr>
        <w:tc>
          <w:tcPr>
            <w:tcW w:w="880" w:type="dxa"/>
            <w:vAlign w:val="bottom"/>
          </w:tcPr>
          <w:p>
            <w:pPr>
              <w:spacing w:after="0"/>
              <w:rPr>
                <w:sz w:val="24"/>
                <w:szCs w:val="24"/>
                <w:color w:val="auto"/>
              </w:rPr>
            </w:pPr>
          </w:p>
        </w:tc>
        <w:tc>
          <w:tcPr>
            <w:tcW w:w="956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December 31, 2020 and June 30, 2021 (unaudited)</w:t>
              </w:r>
            </w:hyperlink>
          </w:p>
        </w:tc>
        <w:tc>
          <w:tcPr>
            <w:tcW w:w="800" w:type="dxa"/>
            <w:vAlign w:val="bottom"/>
          </w:tcPr>
          <w:p>
            <w:pPr>
              <w:ind w:left="300"/>
              <w:spacing w:after="0"/>
              <w:rPr>
                <w:sz w:val="20"/>
                <w:szCs w:val="20"/>
                <w:color w:val="auto"/>
              </w:rPr>
            </w:pPr>
            <w:r>
              <w:rPr>
                <w:rFonts w:ascii="Arial" w:cs="Arial" w:eastAsia="Arial" w:hAnsi="Arial"/>
                <w:sz w:val="18"/>
                <w:szCs w:val="18"/>
                <w:color w:val="auto"/>
              </w:rPr>
              <w:t>- 3 -</w:t>
            </w: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14"/>
        </w:trPr>
        <w:tc>
          <w:tcPr>
            <w:tcW w:w="880" w:type="dxa"/>
            <w:vAlign w:val="bottom"/>
          </w:tcPr>
          <w:p>
            <w:pPr>
              <w:spacing w:after="0"/>
              <w:rPr>
                <w:sz w:val="24"/>
                <w:szCs w:val="24"/>
                <w:color w:val="auto"/>
              </w:rPr>
            </w:pPr>
          </w:p>
        </w:tc>
        <w:tc>
          <w:tcPr>
            <w:tcW w:w="9560" w:type="dxa"/>
            <w:vAlign w:val="bottom"/>
            <w:gridSpan w:val="1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Income (unaudited) – Three and six months ended June 30, 2020 and 2021</w:t>
              </w:r>
            </w:hyperlink>
          </w:p>
        </w:tc>
        <w:tc>
          <w:tcPr>
            <w:tcW w:w="800" w:type="dxa"/>
            <w:vAlign w:val="bottom"/>
          </w:tcPr>
          <w:p>
            <w:pPr>
              <w:ind w:left="300"/>
              <w:spacing w:after="0"/>
              <w:rPr>
                <w:sz w:val="20"/>
                <w:szCs w:val="20"/>
                <w:color w:val="auto"/>
              </w:rPr>
            </w:pPr>
            <w:r>
              <w:rPr>
                <w:rFonts w:ascii="Arial" w:cs="Arial" w:eastAsia="Arial" w:hAnsi="Arial"/>
                <w:sz w:val="18"/>
                <w:szCs w:val="18"/>
                <w:color w:val="auto"/>
              </w:rPr>
              <w:t>- 4 -</w:t>
            </w: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14"/>
        </w:trPr>
        <w:tc>
          <w:tcPr>
            <w:tcW w:w="880" w:type="dxa"/>
            <w:vAlign w:val="bottom"/>
          </w:tcPr>
          <w:p>
            <w:pPr>
              <w:spacing w:after="0"/>
              <w:rPr>
                <w:sz w:val="24"/>
                <w:szCs w:val="24"/>
                <w:color w:val="auto"/>
              </w:rPr>
            </w:pPr>
          </w:p>
        </w:tc>
        <w:tc>
          <w:tcPr>
            <w:tcW w:w="916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Stockholders’ Equity (unaudited) – Three and six months ended June 30, 2020 and 2021</w:t>
              </w:r>
            </w:hyperlink>
          </w:p>
        </w:tc>
        <w:tc>
          <w:tcPr>
            <w:tcW w:w="400" w:type="dxa"/>
            <w:vAlign w:val="bottom"/>
          </w:tcPr>
          <w:p>
            <w:pPr>
              <w:spacing w:after="0"/>
              <w:rPr>
                <w:sz w:val="24"/>
                <w:szCs w:val="24"/>
                <w:color w:val="auto"/>
              </w:rPr>
            </w:pPr>
          </w:p>
        </w:tc>
        <w:tc>
          <w:tcPr>
            <w:tcW w:w="800" w:type="dxa"/>
            <w:vAlign w:val="bottom"/>
          </w:tcPr>
          <w:p>
            <w:pPr>
              <w:ind w:left="300"/>
              <w:spacing w:after="0"/>
              <w:rPr>
                <w:sz w:val="20"/>
                <w:szCs w:val="20"/>
                <w:color w:val="auto"/>
              </w:rPr>
            </w:pPr>
            <w:r>
              <w:rPr>
                <w:rFonts w:ascii="Arial" w:cs="Arial" w:eastAsia="Arial" w:hAnsi="Arial"/>
                <w:sz w:val="18"/>
                <w:szCs w:val="18"/>
                <w:color w:val="auto"/>
              </w:rPr>
              <w:t>- 5 -</w:t>
            </w:r>
          </w:p>
        </w:tc>
      </w:tr>
      <w:tr>
        <w:trPr>
          <w:trHeight w:val="314"/>
        </w:trPr>
        <w:tc>
          <w:tcPr>
            <w:tcW w:w="880" w:type="dxa"/>
            <w:vAlign w:val="bottom"/>
          </w:tcPr>
          <w:p>
            <w:pPr>
              <w:spacing w:after="0"/>
              <w:rPr>
                <w:sz w:val="24"/>
                <w:szCs w:val="24"/>
                <w:color w:val="auto"/>
              </w:rPr>
            </w:pPr>
          </w:p>
        </w:tc>
        <w:tc>
          <w:tcPr>
            <w:tcW w:w="776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(unaudited) – Six months ended June 30, 2020 and 2021</w:t>
              </w:r>
            </w:hyperlink>
          </w:p>
        </w:tc>
        <w:tc>
          <w:tcPr>
            <w:tcW w:w="1800" w:type="dxa"/>
            <w:vAlign w:val="bottom"/>
            <w:gridSpan w:val="3"/>
          </w:tcPr>
          <w:p>
            <w:pPr>
              <w:spacing w:after="0"/>
              <w:rPr>
                <w:sz w:val="24"/>
                <w:szCs w:val="24"/>
                <w:color w:val="auto"/>
              </w:rPr>
            </w:pPr>
          </w:p>
        </w:tc>
        <w:tc>
          <w:tcPr>
            <w:tcW w:w="800" w:type="dxa"/>
            <w:vAlign w:val="bottom"/>
          </w:tcPr>
          <w:p>
            <w:pPr>
              <w:ind w:left="300"/>
              <w:spacing w:after="0"/>
              <w:rPr>
                <w:sz w:val="20"/>
                <w:szCs w:val="20"/>
                <w:color w:val="auto"/>
              </w:rPr>
            </w:pPr>
            <w:r>
              <w:rPr>
                <w:rFonts w:ascii="Arial" w:cs="Arial" w:eastAsia="Arial" w:hAnsi="Arial"/>
                <w:sz w:val="18"/>
                <w:szCs w:val="18"/>
                <w:color w:val="auto"/>
              </w:rPr>
              <w:t>- 6 -</w:t>
            </w:r>
          </w:p>
        </w:tc>
      </w:tr>
      <w:tr>
        <w:trPr>
          <w:trHeight w:val="314"/>
        </w:trPr>
        <w:tc>
          <w:tcPr>
            <w:tcW w:w="880" w:type="dxa"/>
            <w:vAlign w:val="bottom"/>
          </w:tcPr>
          <w:p>
            <w:pPr>
              <w:spacing w:after="0"/>
              <w:rPr>
                <w:sz w:val="24"/>
                <w:szCs w:val="24"/>
                <w:color w:val="auto"/>
              </w:rPr>
            </w:pPr>
          </w:p>
        </w:tc>
        <w:tc>
          <w:tcPr>
            <w:tcW w:w="48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 (unaudited)</w:t>
              </w:r>
            </w:hyperlink>
          </w:p>
        </w:tc>
        <w:tc>
          <w:tcPr>
            <w:tcW w:w="4720" w:type="dxa"/>
            <w:vAlign w:val="bottom"/>
            <w:gridSpan w:val="6"/>
          </w:tcPr>
          <w:p>
            <w:pPr>
              <w:spacing w:after="0"/>
              <w:rPr>
                <w:sz w:val="24"/>
                <w:szCs w:val="24"/>
                <w:color w:val="auto"/>
              </w:rPr>
            </w:pPr>
          </w:p>
        </w:tc>
        <w:tc>
          <w:tcPr>
            <w:tcW w:w="800" w:type="dxa"/>
            <w:vAlign w:val="bottom"/>
          </w:tcPr>
          <w:p>
            <w:pPr>
              <w:ind w:left="300"/>
              <w:spacing w:after="0"/>
              <w:rPr>
                <w:sz w:val="20"/>
                <w:szCs w:val="20"/>
                <w:color w:val="auto"/>
              </w:rPr>
            </w:pPr>
            <w:r>
              <w:rPr>
                <w:rFonts w:ascii="Arial" w:cs="Arial" w:eastAsia="Arial" w:hAnsi="Arial"/>
                <w:sz w:val="18"/>
                <w:szCs w:val="18"/>
                <w:color w:val="auto"/>
              </w:rPr>
              <w:t>- 7 -</w:t>
            </w:r>
          </w:p>
        </w:tc>
      </w:tr>
      <w:tr>
        <w:trPr>
          <w:trHeight w:val="31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12"/>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Management’s Discussion and Analysis of Financial Condition and Results of Operations</w:t>
              </w:r>
            </w:hyperlink>
          </w:p>
        </w:tc>
        <w:tc>
          <w:tcPr>
            <w:tcW w:w="800" w:type="dxa"/>
            <w:vAlign w:val="bottom"/>
          </w:tcPr>
          <w:p>
            <w:pPr>
              <w:ind w:left="280"/>
              <w:spacing w:after="0"/>
              <w:rPr>
                <w:sz w:val="20"/>
                <w:szCs w:val="20"/>
                <w:color w:val="auto"/>
              </w:rPr>
            </w:pPr>
            <w:r>
              <w:rPr>
                <w:rFonts w:ascii="Arial" w:cs="Arial" w:eastAsia="Arial" w:hAnsi="Arial"/>
                <w:sz w:val="18"/>
                <w:szCs w:val="18"/>
                <w:color w:val="auto"/>
              </w:rPr>
              <w:t>- 11 -</w:t>
            </w:r>
          </w:p>
        </w:tc>
      </w:tr>
      <w:tr>
        <w:trPr>
          <w:trHeight w:val="31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w:anchor="page16">
              <w:r>
                <w:rPr>
                  <w:rFonts w:ascii="Arial" w:cs="Arial" w:eastAsia="Arial" w:hAnsi="Arial"/>
                  <w:sz w:val="18"/>
                  <w:szCs w:val="18"/>
                  <w:color w:val="0000EE"/>
                  <w:w w:val="91"/>
                </w:rPr>
                <w:t>Quantitative and Qualitative Disclosure About Market Risk</w:t>
              </w:r>
            </w:hyperlink>
          </w:p>
        </w:tc>
        <w:tc>
          <w:tcPr>
            <w:tcW w:w="2140" w:type="dxa"/>
            <w:vAlign w:val="bottom"/>
            <w:tcBorders>
              <w:top w:val="single" w:sz="8" w:color="0000EE"/>
            </w:tcBorders>
            <w:gridSpan w:val="2"/>
          </w:tcPr>
          <w:p>
            <w:pPr>
              <w:spacing w:after="0"/>
              <w:rPr>
                <w:sz w:val="24"/>
                <w:szCs w:val="24"/>
                <w:color w:val="auto"/>
              </w:rPr>
            </w:pPr>
          </w:p>
        </w:tc>
        <w:tc>
          <w:tcPr>
            <w:tcW w:w="3160" w:type="dxa"/>
            <w:vAlign w:val="bottom"/>
            <w:gridSpan w:val="5"/>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18"/>
                <w:szCs w:val="18"/>
                <w:color w:val="auto"/>
              </w:rPr>
              <w:t>- 16 -</w:t>
            </w:r>
          </w:p>
        </w:tc>
      </w:tr>
      <w:tr>
        <w:trPr>
          <w:trHeight w:val="31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9560" w:type="dxa"/>
            <w:vAlign w:val="bottom"/>
            <w:gridSpan w:val="12"/>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Controls and Procedures</w:t>
              </w:r>
            </w:hyperlink>
          </w:p>
        </w:tc>
        <w:tc>
          <w:tcPr>
            <w:tcW w:w="800" w:type="dxa"/>
            <w:vAlign w:val="bottom"/>
          </w:tcPr>
          <w:p>
            <w:pPr>
              <w:ind w:left="280"/>
              <w:spacing w:after="0"/>
              <w:rPr>
                <w:sz w:val="20"/>
                <w:szCs w:val="20"/>
                <w:color w:val="auto"/>
              </w:rPr>
            </w:pPr>
            <w:r>
              <w:rPr>
                <w:rFonts w:ascii="Arial" w:cs="Arial" w:eastAsia="Arial" w:hAnsi="Arial"/>
                <w:sz w:val="18"/>
                <w:szCs w:val="18"/>
                <w:color w:val="auto"/>
              </w:rPr>
              <w:t>- 16 -</w:t>
            </w: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54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14"/>
        </w:trPr>
        <w:tc>
          <w:tcPr>
            <w:tcW w:w="8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02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OTHER INFORMATION</w:t>
              </w:r>
            </w:hyperlink>
          </w:p>
        </w:tc>
        <w:tc>
          <w:tcPr>
            <w:tcW w:w="7540" w:type="dxa"/>
            <w:vAlign w:val="bottom"/>
            <w:gridSpan w:val="8"/>
          </w:tcPr>
          <w:p>
            <w:pPr>
              <w:spacing w:after="0"/>
              <w:rPr>
                <w:sz w:val="24"/>
                <w:szCs w:val="24"/>
                <w:color w:val="auto"/>
              </w:rPr>
            </w:pPr>
          </w:p>
        </w:tc>
        <w:tc>
          <w:tcPr>
            <w:tcW w:w="800" w:type="dxa"/>
            <w:vAlign w:val="bottom"/>
          </w:tcPr>
          <w:p>
            <w:pPr>
              <w:spacing w:after="0"/>
              <w:rPr>
                <w:sz w:val="24"/>
                <w:szCs w:val="24"/>
                <w:color w:val="auto"/>
              </w:rPr>
            </w:pPr>
          </w:p>
        </w:tc>
      </w:tr>
      <w:tr>
        <w:trPr>
          <w:trHeight w:val="314"/>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9560" w:type="dxa"/>
            <w:vAlign w:val="bottom"/>
            <w:gridSpan w:val="12"/>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800" w:type="dxa"/>
            <w:vAlign w:val="bottom"/>
          </w:tcPr>
          <w:p>
            <w:pPr>
              <w:ind w:left="280"/>
              <w:spacing w:after="0"/>
              <w:rPr>
                <w:sz w:val="20"/>
                <w:szCs w:val="20"/>
                <w:color w:val="auto"/>
              </w:rPr>
            </w:pPr>
            <w:r>
              <w:rPr>
                <w:rFonts w:ascii="Arial" w:cs="Arial" w:eastAsia="Arial" w:hAnsi="Arial"/>
                <w:sz w:val="18"/>
                <w:szCs w:val="18"/>
                <w:color w:val="auto"/>
              </w:rPr>
              <w:t>- 18 -</w:t>
            </w:r>
          </w:p>
        </w:tc>
      </w:tr>
      <w:tr>
        <w:trPr>
          <w:trHeight w:val="314"/>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900" w:type="dxa"/>
            <w:vAlign w:val="bottom"/>
            <w:tcBorders>
              <w:top w:val="single" w:sz="8" w:color="0000EE"/>
            </w:tcBorders>
            <w:gridSpan w:val="2"/>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Exhibits</w:t>
              </w:r>
            </w:hyperlink>
          </w:p>
        </w:tc>
        <w:tc>
          <w:tcPr>
            <w:tcW w:w="8660" w:type="dxa"/>
            <w:vAlign w:val="bottom"/>
            <w:gridSpan w:val="10"/>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18"/>
                <w:szCs w:val="18"/>
                <w:color w:val="auto"/>
              </w:rPr>
              <w:t>- 18 -</w:t>
            </w: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Items 2, 3, 4 and 5 of Part II are omitted because there is no information to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9"/>
                <w:szCs w:val="19"/>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2"/>
        </w:trPr>
        <w:tc>
          <w:tcPr>
            <w:tcW w:w="82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8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center"/>
              <w:ind w:right="51"/>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70,637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70,374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10,731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16,642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18,337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19,948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101,246</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108,850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8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Note receivable from affiliate</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29,500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tcPr>
          <w:p>
            <w:pPr>
              <w:ind w:left="26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23,742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23,742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noncurrent</w:t>
            </w: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2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assets</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53,849</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50,340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2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tcPr>
          <w:p>
            <w:pPr>
              <w:ind w:left="260"/>
              <w:spacing w:after="0"/>
              <w:rPr>
                <w:sz w:val="20"/>
                <w:szCs w:val="20"/>
                <w:color w:val="auto"/>
              </w:rPr>
            </w:pPr>
            <w:r>
              <w:rPr>
                <w:rFonts w:ascii="Arial" w:cs="Arial" w:eastAsia="Arial" w:hAnsi="Arial"/>
                <w:sz w:val="18"/>
                <w:szCs w:val="18"/>
                <w:color w:val="auto"/>
              </w:rPr>
              <w:t>Land</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4,940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4,940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Buildings</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23,146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23,146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tcPr>
          <w:p>
            <w:pPr>
              <w:ind w:left="260"/>
              <w:spacing w:after="0"/>
              <w:rPr>
                <w:sz w:val="20"/>
                <w:szCs w:val="20"/>
                <w:color w:val="auto"/>
              </w:rPr>
            </w:pPr>
            <w:r>
              <w:rPr>
                <w:rFonts w:ascii="Arial" w:cs="Arial" w:eastAsia="Arial" w:hAnsi="Arial"/>
                <w:sz w:val="18"/>
                <w:szCs w:val="18"/>
                <w:color w:val="auto"/>
              </w:rPr>
              <w:t>Equipment</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68,227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69,317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Construction in progress</w:t>
            </w: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1,010</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97,323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98,649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accumulated depreciation</w:t>
            </w: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68,373</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69,940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2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property and equipment</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28,950</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28,709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184,045</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187,899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8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2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12,198</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11,874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payable to affiliate</w:t>
            </w: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952</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2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13,150</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12,854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28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 -</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3,239</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2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tcPr>
          <w:p>
            <w:pPr>
              <w:ind w:left="260"/>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7"/>
        </w:trPr>
        <w:tc>
          <w:tcPr>
            <w:tcW w:w="8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A common stock</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55,987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55,336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111,545</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115,879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2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167,656</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171,339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184,045</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187,899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 (Note 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20" w:type="dxa"/>
            <w:vAlign w:val="bottom"/>
            <w:gridSpan w:val="4"/>
          </w:tcPr>
          <w:p>
            <w:pPr>
              <w:jc w:val="right"/>
              <w:ind w:right="411"/>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20" w:type="dxa"/>
            <w:vAlign w:val="bottom"/>
            <w:gridSpan w:val="5"/>
          </w:tcPr>
          <w:p>
            <w:pPr>
              <w:ind w:left="260"/>
              <w:spacing w:after="0"/>
              <w:rPr>
                <w:sz w:val="20"/>
                <w:szCs w:val="20"/>
                <w:color w:val="auto"/>
              </w:rPr>
            </w:pPr>
            <w:r>
              <w:rPr>
                <w:rFonts w:ascii="Arial" w:cs="Arial" w:eastAsia="Arial" w:hAnsi="Arial"/>
                <w:sz w:val="18"/>
                <w:szCs w:val="18"/>
                <w:b w:val="1"/>
                <w:bCs w:val="1"/>
                <w:color w:val="auto"/>
              </w:rPr>
              <w:t>Six months ended</w:t>
            </w:r>
          </w:p>
        </w:tc>
      </w:tr>
      <w:tr>
        <w:trPr>
          <w:trHeight w:val="232"/>
        </w:trPr>
        <w:tc>
          <w:tcPr>
            <w:tcW w:w="5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57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w w:val="94"/>
              </w:rPr>
              <w:t>2020</w:t>
            </w: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21"/>
        </w:trPr>
        <w:tc>
          <w:tcPr>
            <w:tcW w:w="5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23,800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36,253</w:t>
            </w:r>
          </w:p>
        </w:tc>
        <w:tc>
          <w:tcPr>
            <w:tcW w:w="600" w:type="dxa"/>
            <w:vAlign w:val="bottom"/>
            <w:gridSpan w:val="2"/>
            <w:shd w:val="clear" w:color="auto" w:fill="CFF0FC"/>
          </w:tcPr>
          <w:p>
            <w:pPr>
              <w:jc w:val="right"/>
              <w:ind w:right="171"/>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56,111</w:t>
            </w:r>
          </w:p>
        </w:tc>
        <w:tc>
          <w:tcPr>
            <w:tcW w:w="54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72,177</w:t>
            </w:r>
          </w:p>
        </w:tc>
        <w:tc>
          <w:tcPr>
            <w:tcW w:w="100" w:type="dxa"/>
            <w:vAlign w:val="bottom"/>
            <w:shd w:val="clear" w:color="auto" w:fill="CFF0FC"/>
          </w:tcPr>
          <w:p>
            <w:pPr>
              <w:spacing w:after="0"/>
              <w:rPr>
                <w:sz w:val="19"/>
                <w:szCs w:val="19"/>
                <w:color w:val="auto"/>
              </w:rPr>
            </w:pPr>
          </w:p>
        </w:tc>
      </w:tr>
      <w:tr>
        <w:trPr>
          <w:trHeight w:val="227"/>
        </w:trPr>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16,434</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24,947</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38,314</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49,836</w:t>
            </w:r>
          </w:p>
        </w:tc>
        <w:tc>
          <w:tcPr>
            <w:tcW w:w="100" w:type="dxa"/>
            <w:vAlign w:val="bottom"/>
            <w:tcBorders>
              <w:bottom w:val="single" w:sz="8" w:color="CFF0FC"/>
            </w:tcBorders>
          </w:tcPr>
          <w:p>
            <w:pPr>
              <w:spacing w:after="0"/>
              <w:rPr>
                <w:sz w:val="19"/>
                <w:szCs w:val="19"/>
                <w:color w:val="auto"/>
              </w:rPr>
            </w:pPr>
          </w:p>
        </w:tc>
      </w:tr>
      <w:tr>
        <w:trPr>
          <w:trHeight w:val="221"/>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11,306</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17,797</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22,341</w:t>
            </w:r>
          </w:p>
        </w:tc>
        <w:tc>
          <w:tcPr>
            <w:tcW w:w="100" w:type="dxa"/>
            <w:vAlign w:val="bottom"/>
            <w:shd w:val="clear" w:color="auto" w:fill="CFF0FC"/>
          </w:tcPr>
          <w:p>
            <w:pPr>
              <w:spacing w:after="0"/>
              <w:rPr>
                <w:sz w:val="19"/>
                <w:szCs w:val="19"/>
                <w:color w:val="auto"/>
              </w:rPr>
            </w:pPr>
          </w:p>
        </w:tc>
      </w:tr>
      <w:tr>
        <w:trPr>
          <w:trHeight w:val="227"/>
        </w:trPr>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 expense</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4,997</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5,548</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10,408</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10,766</w:t>
            </w:r>
          </w:p>
        </w:tc>
        <w:tc>
          <w:tcPr>
            <w:tcW w:w="100" w:type="dxa"/>
            <w:vAlign w:val="bottom"/>
            <w:tcBorders>
              <w:bottom w:val="single" w:sz="8" w:color="CFF0FC"/>
            </w:tcBorders>
          </w:tcPr>
          <w:p>
            <w:pPr>
              <w:spacing w:after="0"/>
              <w:rPr>
                <w:sz w:val="19"/>
                <w:szCs w:val="19"/>
                <w:color w:val="auto"/>
              </w:rPr>
            </w:pPr>
          </w:p>
        </w:tc>
      </w:tr>
      <w:tr>
        <w:trPr>
          <w:trHeight w:val="221"/>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5,758</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7,389</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11,575</w:t>
            </w:r>
          </w:p>
        </w:tc>
        <w:tc>
          <w:tcPr>
            <w:tcW w:w="100" w:type="dxa"/>
            <w:vAlign w:val="bottom"/>
            <w:shd w:val="clear" w:color="auto" w:fill="CFF0FC"/>
          </w:tcPr>
          <w:p>
            <w:pPr>
              <w:spacing w:after="0"/>
              <w:rPr>
                <w:sz w:val="19"/>
                <w:szCs w:val="19"/>
                <w:color w:val="auto"/>
              </w:rPr>
            </w:pPr>
          </w:p>
        </w:tc>
      </w:tr>
      <w:tr>
        <w:trPr>
          <w:trHeight w:val="227"/>
        </w:trPr>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656</w:t>
            </w:r>
          </w:p>
        </w:tc>
        <w:tc>
          <w:tcPr>
            <w:tcW w:w="100" w:type="dxa"/>
            <w:vAlign w:val="bottom"/>
            <w:tcBorders>
              <w:bottom w:val="single" w:sz="8" w:color="CFF0FC"/>
            </w:tcBorders>
          </w:tcPr>
          <w:p>
            <w:pPr>
              <w:spacing w:after="0"/>
              <w:rPr>
                <w:sz w:val="19"/>
                <w:szCs w:val="19"/>
                <w:color w:val="auto"/>
              </w:rPr>
            </w:pPr>
          </w:p>
        </w:tc>
      </w:tr>
      <w:tr>
        <w:trPr>
          <w:trHeight w:val="221"/>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6,076</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8,366</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12,231</w:t>
            </w:r>
          </w:p>
        </w:tc>
        <w:tc>
          <w:tcPr>
            <w:tcW w:w="100" w:type="dxa"/>
            <w:vAlign w:val="bottom"/>
            <w:shd w:val="clear" w:color="auto" w:fill="CFF0FC"/>
          </w:tcPr>
          <w:p>
            <w:pPr>
              <w:spacing w:after="0"/>
              <w:rPr>
                <w:sz w:val="19"/>
                <w:szCs w:val="19"/>
                <w:color w:val="auto"/>
              </w:rPr>
            </w:pPr>
          </w:p>
        </w:tc>
      </w:tr>
      <w:tr>
        <w:trPr>
          <w:trHeight w:val="227"/>
        </w:trPr>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1,456</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2,926</w:t>
            </w:r>
          </w:p>
        </w:tc>
        <w:tc>
          <w:tcPr>
            <w:tcW w:w="100" w:type="dxa"/>
            <w:vAlign w:val="bottom"/>
            <w:tcBorders>
              <w:bottom w:val="single" w:sz="8" w:color="CFF0FC"/>
            </w:tcBorders>
          </w:tcPr>
          <w:p>
            <w:pPr>
              <w:spacing w:after="0"/>
              <w:rPr>
                <w:sz w:val="19"/>
                <w:szCs w:val="19"/>
                <w:color w:val="auto"/>
              </w:rPr>
            </w:pPr>
          </w:p>
        </w:tc>
      </w:tr>
      <w:tr>
        <w:trPr>
          <w:trHeight w:val="221"/>
        </w:trPr>
        <w:tc>
          <w:tcPr>
            <w:tcW w:w="5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2,065</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4,620</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6,336</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9,305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5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income per common share</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0.37</w:t>
            </w:r>
          </w:p>
        </w:tc>
        <w:tc>
          <w:tcPr>
            <w:tcW w:w="600" w:type="dxa"/>
            <w:vAlign w:val="bottom"/>
            <w:gridSpan w:val="2"/>
            <w:shd w:val="clear" w:color="auto" w:fill="CFF0FC"/>
          </w:tcPr>
          <w:p>
            <w:pPr>
              <w:jc w:val="right"/>
              <w:ind w:right="171"/>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0.51</w:t>
            </w:r>
          </w:p>
        </w:tc>
        <w:tc>
          <w:tcPr>
            <w:tcW w:w="54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0.75</w:t>
            </w:r>
          </w:p>
        </w:tc>
        <w:tc>
          <w:tcPr>
            <w:tcW w:w="100" w:type="dxa"/>
            <w:vAlign w:val="bottom"/>
            <w:shd w:val="clear" w:color="auto" w:fill="CFF0FC"/>
          </w:tcPr>
          <w:p>
            <w:pPr>
              <w:spacing w:after="0"/>
              <w:rPr>
                <w:sz w:val="19"/>
                <w:szCs w:val="19"/>
                <w:color w:val="auto"/>
              </w:rPr>
            </w:pPr>
          </w:p>
        </w:tc>
      </w:tr>
      <w:tr>
        <w:trPr>
          <w:trHeight w:val="20"/>
        </w:trPr>
        <w:tc>
          <w:tcPr>
            <w:tcW w:w="57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07"/>
        </w:trPr>
        <w:tc>
          <w:tcPr>
            <w:tcW w:w="5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12,446</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12,403</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12,445</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12,423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Three months ended June 30, 2020 and 2021 (unaudited)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ind w:right="440"/>
              <w:spacing w:after="0" w:line="146" w:lineRule="exact"/>
              <w:rPr>
                <w:sz w:val="20"/>
                <w:szCs w:val="20"/>
                <w:color w:val="auto"/>
              </w:rPr>
            </w:pPr>
            <w:r>
              <w:rPr>
                <w:rFonts w:ascii="Arial" w:cs="Arial" w:eastAsia="Arial" w:hAnsi="Arial"/>
                <w:sz w:val="14"/>
                <w:szCs w:val="14"/>
                <w:b w:val="1"/>
                <w:bCs w:val="1"/>
                <w:color w:val="auto"/>
                <w:w w:val="89"/>
              </w:rPr>
              <w:t>Class A</w:t>
            </w: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center"/>
              <w:ind w:right="300"/>
              <w:spacing w:after="0" w:line="146" w:lineRule="exact"/>
              <w:rPr>
                <w:sz w:val="20"/>
                <w:szCs w:val="20"/>
                <w:color w:val="auto"/>
              </w:rPr>
            </w:pPr>
            <w:r>
              <w:rPr>
                <w:rFonts w:ascii="Arial" w:cs="Arial" w:eastAsia="Arial" w:hAnsi="Arial"/>
                <w:sz w:val="14"/>
                <w:szCs w:val="14"/>
                <w:b w:val="1"/>
                <w:bCs w:val="1"/>
                <w:color w:val="auto"/>
                <w:w w:val="93"/>
              </w:rPr>
              <w:t>Additional</w:t>
            </w: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center"/>
              <w:ind w:right="95"/>
              <w:spacing w:after="0" w:line="146"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r>
      <w:tr>
        <w:trPr>
          <w:trHeight w:val="160"/>
        </w:trPr>
        <w:tc>
          <w:tcPr>
            <w:tcW w:w="4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common</w:t>
            </w:r>
          </w:p>
        </w:tc>
        <w:tc>
          <w:tcPr>
            <w:tcW w:w="12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paid-in</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stockholders'</w:t>
            </w:r>
          </w:p>
        </w:tc>
      </w:tr>
      <w:tr>
        <w:trPr>
          <w:trHeight w:val="170"/>
        </w:trPr>
        <w:tc>
          <w:tcPr>
            <w:tcW w:w="4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7"/>
              </w:rPr>
              <w:t>stock</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0"/>
              </w:rPr>
              <w:t>capital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7"/>
              </w:rPr>
              <w:t>stock</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2"/>
              </w:rPr>
              <w:t>equity</w:t>
            </w:r>
          </w:p>
        </w:tc>
        <w:tc>
          <w:tcPr>
            <w:tcW w:w="120" w:type="dxa"/>
            <w:vAlign w:val="bottom"/>
          </w:tcPr>
          <w:p>
            <w:pPr>
              <w:spacing w:after="0"/>
              <w:rPr>
                <w:sz w:val="14"/>
                <w:szCs w:val="14"/>
                <w:color w:val="auto"/>
              </w:rPr>
            </w:pPr>
          </w:p>
        </w:tc>
      </w:tr>
      <w:tr>
        <w:trPr>
          <w:trHeight w:val="447"/>
        </w:trPr>
        <w:tc>
          <w:tcPr>
            <w:tcW w:w="4200" w:type="dxa"/>
            <w:vAlign w:val="bottom"/>
          </w:tcPr>
          <w:p>
            <w:pPr>
              <w:spacing w:after="0"/>
              <w:rPr>
                <w:sz w:val="20"/>
                <w:szCs w:val="20"/>
                <w:color w:val="auto"/>
              </w:rPr>
            </w:pPr>
            <w:r>
              <w:rPr>
                <w:rFonts w:ascii="Arial" w:cs="Arial" w:eastAsia="Arial" w:hAnsi="Arial"/>
                <w:sz w:val="18"/>
                <w:szCs w:val="18"/>
                <w:color w:val="auto"/>
              </w:rPr>
              <w:t>Balance at March 31, 2020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124</w:t>
            </w:r>
          </w:p>
        </w:tc>
        <w:tc>
          <w:tcPr>
            <w:tcW w:w="2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55,869</w:t>
            </w:r>
          </w:p>
        </w:tc>
        <w:tc>
          <w:tcPr>
            <w:tcW w:w="160" w:type="dxa"/>
            <w:vAlign w:val="bottom"/>
          </w:tcPr>
          <w:p>
            <w:pPr>
              <w:spacing w:after="0"/>
              <w:rPr>
                <w:sz w:val="24"/>
                <w:szCs w:val="24"/>
                <w:color w:val="auto"/>
              </w:rPr>
            </w:pPr>
          </w:p>
        </w:tc>
        <w:tc>
          <w:tcPr>
            <w:tcW w:w="34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109,229</w:t>
            </w:r>
          </w:p>
        </w:tc>
        <w:tc>
          <w:tcPr>
            <w:tcW w:w="160" w:type="dxa"/>
            <w:vAlign w:val="bottom"/>
          </w:tcPr>
          <w:p>
            <w:pPr>
              <w:spacing w:after="0"/>
              <w:rPr>
                <w:sz w:val="24"/>
                <w:szCs w:val="24"/>
                <w:color w:val="auto"/>
              </w:rPr>
            </w:pPr>
          </w:p>
        </w:tc>
        <w:tc>
          <w:tcPr>
            <w:tcW w:w="3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165,222</w:t>
            </w:r>
          </w:p>
        </w:tc>
        <w:tc>
          <w:tcPr>
            <w:tcW w:w="120" w:type="dxa"/>
            <w:vAlign w:val="bottom"/>
          </w:tcPr>
          <w:p>
            <w:pPr>
              <w:spacing w:after="0"/>
              <w:rPr>
                <w:sz w:val="24"/>
                <w:szCs w:val="24"/>
                <w:color w:val="auto"/>
              </w:rPr>
            </w:pPr>
          </w:p>
        </w:tc>
      </w:tr>
      <w:tr>
        <w:trPr>
          <w:trHeight w:val="228"/>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2,065</w:t>
            </w:r>
          </w:p>
        </w:tc>
        <w:tc>
          <w:tcPr>
            <w:tcW w:w="120" w:type="dxa"/>
            <w:vAlign w:val="bottom"/>
            <w:shd w:val="clear" w:color="auto" w:fill="CFF0FC"/>
          </w:tcPr>
          <w:p>
            <w:pPr>
              <w:spacing w:after="0"/>
              <w:rPr>
                <w:sz w:val="19"/>
                <w:szCs w:val="19"/>
                <w:color w:val="auto"/>
              </w:rPr>
            </w:pPr>
          </w:p>
        </w:tc>
      </w:tr>
      <w:tr>
        <w:trPr>
          <w:trHeight w:val="227"/>
        </w:trPr>
        <w:tc>
          <w:tcPr>
            <w:tcW w:w="420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6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r>
      <w:tr>
        <w:trPr>
          <w:trHeight w:val="228"/>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($0.10 per share)</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(1,245)</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(1,245)</w:t>
            </w:r>
          </w:p>
        </w:tc>
      </w:tr>
      <w:tr>
        <w:trPr>
          <w:trHeight w:val="260"/>
        </w:trPr>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June 30, 2020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8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55,987</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110,049</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166,160</w:t>
            </w:r>
          </w:p>
        </w:tc>
        <w:tc>
          <w:tcPr>
            <w:tcW w:w="120" w:type="dxa"/>
            <w:vAlign w:val="bottom"/>
            <w:tcBorders>
              <w:bottom w:val="single" w:sz="8" w:color="CFF0FC"/>
            </w:tcBorders>
          </w:tcPr>
          <w:p>
            <w:pPr>
              <w:spacing w:after="0"/>
              <w:rPr>
                <w:sz w:val="22"/>
                <w:szCs w:val="22"/>
                <w:color w:val="auto"/>
              </w:rPr>
            </w:pPr>
          </w:p>
        </w:tc>
      </w:tr>
      <w:tr>
        <w:trPr>
          <w:trHeight w:val="208"/>
        </w:trPr>
        <w:tc>
          <w:tcPr>
            <w:tcW w:w="4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7"/>
        </w:trPr>
        <w:tc>
          <w:tcPr>
            <w:tcW w:w="4200" w:type="dxa"/>
            <w:vAlign w:val="bottom"/>
          </w:tcPr>
          <w:p>
            <w:pPr>
              <w:spacing w:after="0"/>
              <w:rPr>
                <w:sz w:val="20"/>
                <w:szCs w:val="20"/>
                <w:color w:val="auto"/>
              </w:rPr>
            </w:pPr>
            <w:r>
              <w:rPr>
                <w:rFonts w:ascii="Arial" w:cs="Arial" w:eastAsia="Arial" w:hAnsi="Arial"/>
                <w:sz w:val="18"/>
                <w:szCs w:val="18"/>
                <w:color w:val="auto"/>
              </w:rPr>
              <w:t>Balance at March 31, 2021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124</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55,232</w:t>
            </w:r>
          </w:p>
        </w:tc>
        <w:tc>
          <w:tcPr>
            <w:tcW w:w="160" w:type="dxa"/>
            <w:vAlign w:val="bottom"/>
          </w:tcPr>
          <w:p>
            <w:pPr>
              <w:spacing w:after="0"/>
              <w:rPr>
                <w:sz w:val="19"/>
                <w:szCs w:val="19"/>
                <w:color w:val="auto"/>
              </w:rPr>
            </w:pPr>
          </w:p>
        </w:tc>
        <w:tc>
          <w:tcPr>
            <w:tcW w:w="34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113,740</w:t>
            </w:r>
          </w:p>
        </w:tc>
        <w:tc>
          <w:tcPr>
            <w:tcW w:w="160" w:type="dxa"/>
            <w:vAlign w:val="bottom"/>
          </w:tcPr>
          <w:p>
            <w:pPr>
              <w:spacing w:after="0"/>
              <w:rPr>
                <w:sz w:val="19"/>
                <w:szCs w:val="19"/>
                <w:color w:val="auto"/>
              </w:rPr>
            </w:pPr>
          </w:p>
        </w:tc>
        <w:tc>
          <w:tcPr>
            <w:tcW w:w="3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169,096</w:t>
            </w:r>
          </w:p>
        </w:tc>
        <w:tc>
          <w:tcPr>
            <w:tcW w:w="120" w:type="dxa"/>
            <w:vAlign w:val="bottom"/>
          </w:tcPr>
          <w:p>
            <w:pPr>
              <w:spacing w:after="0"/>
              <w:rPr>
                <w:sz w:val="19"/>
                <w:szCs w:val="19"/>
                <w:color w:val="auto"/>
              </w:rPr>
            </w:pPr>
          </w:p>
        </w:tc>
      </w:tr>
      <w:tr>
        <w:trPr>
          <w:trHeight w:val="228"/>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4,620</w:t>
            </w:r>
          </w:p>
        </w:tc>
        <w:tc>
          <w:tcPr>
            <w:tcW w:w="120" w:type="dxa"/>
            <w:vAlign w:val="bottom"/>
            <w:shd w:val="clear" w:color="auto" w:fill="CFF0FC"/>
          </w:tcPr>
          <w:p>
            <w:pPr>
              <w:spacing w:after="0"/>
              <w:rPr>
                <w:sz w:val="19"/>
                <w:szCs w:val="19"/>
                <w:color w:val="auto"/>
              </w:rPr>
            </w:pPr>
          </w:p>
        </w:tc>
      </w:tr>
      <w:tr>
        <w:trPr>
          <w:trHeight w:val="227"/>
        </w:trPr>
        <w:tc>
          <w:tcPr>
            <w:tcW w:w="420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6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r>
      <w:tr>
        <w:trPr>
          <w:trHeight w:val="228"/>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($0.20 per share)</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(2,481)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(2,481)</w:t>
            </w:r>
          </w:p>
        </w:tc>
      </w:tr>
      <w:tr>
        <w:trPr>
          <w:trHeight w:val="221"/>
        </w:trPr>
        <w:tc>
          <w:tcPr>
            <w:tcW w:w="4200" w:type="dxa"/>
            <w:vAlign w:val="bottom"/>
          </w:tcPr>
          <w:p>
            <w:pPr>
              <w:spacing w:after="0"/>
              <w:rPr>
                <w:sz w:val="20"/>
                <w:szCs w:val="20"/>
                <w:color w:val="auto"/>
              </w:rPr>
            </w:pPr>
            <w:r>
              <w:rPr>
                <w:rFonts w:ascii="Arial" w:cs="Arial" w:eastAsia="Arial" w:hAnsi="Arial"/>
                <w:sz w:val="18"/>
                <w:szCs w:val="18"/>
                <w:color w:val="auto"/>
              </w:rPr>
              <w:t>Balance at June 30, 2021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55,336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115,879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171,339</w:t>
            </w:r>
          </w:p>
        </w:tc>
        <w:tc>
          <w:tcPr>
            <w:tcW w:w="12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4"/>
        </w:trPr>
        <w:tc>
          <w:tcPr>
            <w:tcW w:w="4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10"/>
          </w:tcPr>
          <w:p>
            <w:pPr>
              <w:jc w:val="right"/>
              <w:ind w:right="120"/>
              <w:spacing w:after="0"/>
              <w:rPr>
                <w:sz w:val="20"/>
                <w:szCs w:val="20"/>
                <w:color w:val="auto"/>
              </w:rPr>
            </w:pPr>
            <w:r>
              <w:rPr>
                <w:rFonts w:ascii="Arial" w:cs="Arial" w:eastAsia="Arial" w:hAnsi="Arial"/>
                <w:sz w:val="18"/>
                <w:szCs w:val="18"/>
                <w:b w:val="1"/>
                <w:bCs w:val="1"/>
                <w:color w:val="auto"/>
                <w:w w:val="88"/>
              </w:rPr>
              <w:t>Six months ended June 30, 2020 and 2021 (unaudited)</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5"/>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440"/>
              <w:spacing w:after="0" w:line="145" w:lineRule="exact"/>
              <w:rPr>
                <w:sz w:val="20"/>
                <w:szCs w:val="20"/>
                <w:color w:val="auto"/>
              </w:rPr>
            </w:pPr>
            <w:r>
              <w:rPr>
                <w:rFonts w:ascii="Arial" w:cs="Arial" w:eastAsia="Arial" w:hAnsi="Arial"/>
                <w:sz w:val="14"/>
                <w:szCs w:val="14"/>
                <w:b w:val="1"/>
                <w:bCs w:val="1"/>
                <w:color w:val="auto"/>
                <w:w w:val="89"/>
              </w:rPr>
              <w:t>Class A</w:t>
            </w:r>
          </w:p>
        </w:tc>
        <w:tc>
          <w:tcPr>
            <w:tcW w:w="120" w:type="dxa"/>
            <w:vAlign w:val="bottom"/>
          </w:tcPr>
          <w:p>
            <w:pPr>
              <w:spacing w:after="0"/>
              <w:rPr>
                <w:sz w:val="12"/>
                <w:szCs w:val="12"/>
                <w:color w:val="auto"/>
              </w:rPr>
            </w:pPr>
          </w:p>
        </w:tc>
        <w:tc>
          <w:tcPr>
            <w:tcW w:w="102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95"/>
              <w:spacing w:after="0" w:line="145"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r>
      <w:tr>
        <w:trPr>
          <w:trHeight w:val="160"/>
        </w:trPr>
        <w:tc>
          <w:tcPr>
            <w:tcW w:w="4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common</w:t>
            </w:r>
          </w:p>
        </w:tc>
        <w:tc>
          <w:tcPr>
            <w:tcW w:w="12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paid-in</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stockholders'</w:t>
            </w:r>
          </w:p>
        </w:tc>
      </w:tr>
      <w:tr>
        <w:trPr>
          <w:trHeight w:val="170"/>
        </w:trPr>
        <w:tc>
          <w:tcPr>
            <w:tcW w:w="4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7"/>
              </w:rPr>
              <w:t>stock</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0"/>
              </w:rPr>
              <w:t>capital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7"/>
              </w:rPr>
              <w:t>stock</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2"/>
              </w:rPr>
              <w:t>equity</w:t>
            </w:r>
          </w:p>
        </w:tc>
        <w:tc>
          <w:tcPr>
            <w:tcW w:w="120" w:type="dxa"/>
            <w:vAlign w:val="bottom"/>
          </w:tcPr>
          <w:p>
            <w:pPr>
              <w:spacing w:after="0"/>
              <w:rPr>
                <w:sz w:val="14"/>
                <w:szCs w:val="14"/>
                <w:color w:val="auto"/>
              </w:rPr>
            </w:pPr>
          </w:p>
        </w:tc>
      </w:tr>
      <w:tr>
        <w:trPr>
          <w:trHeight w:val="447"/>
        </w:trPr>
        <w:tc>
          <w:tcPr>
            <w:tcW w:w="420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124</w:t>
            </w:r>
          </w:p>
        </w:tc>
        <w:tc>
          <w:tcPr>
            <w:tcW w:w="2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55,869</w:t>
            </w:r>
          </w:p>
        </w:tc>
        <w:tc>
          <w:tcPr>
            <w:tcW w:w="160" w:type="dxa"/>
            <w:vAlign w:val="bottom"/>
          </w:tcPr>
          <w:p>
            <w:pPr>
              <w:spacing w:after="0"/>
              <w:rPr>
                <w:sz w:val="24"/>
                <w:szCs w:val="24"/>
                <w:color w:val="auto"/>
              </w:rPr>
            </w:pPr>
          </w:p>
        </w:tc>
        <w:tc>
          <w:tcPr>
            <w:tcW w:w="34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106,202</w:t>
            </w:r>
          </w:p>
        </w:tc>
        <w:tc>
          <w:tcPr>
            <w:tcW w:w="160" w:type="dxa"/>
            <w:vAlign w:val="bottom"/>
          </w:tcPr>
          <w:p>
            <w:pPr>
              <w:spacing w:after="0"/>
              <w:rPr>
                <w:sz w:val="24"/>
                <w:szCs w:val="24"/>
                <w:color w:val="auto"/>
              </w:rPr>
            </w:pPr>
          </w:p>
        </w:tc>
        <w:tc>
          <w:tcPr>
            <w:tcW w:w="3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162,195</w:t>
            </w:r>
          </w:p>
        </w:tc>
        <w:tc>
          <w:tcPr>
            <w:tcW w:w="120" w:type="dxa"/>
            <w:vAlign w:val="bottom"/>
          </w:tcPr>
          <w:p>
            <w:pPr>
              <w:spacing w:after="0"/>
              <w:rPr>
                <w:sz w:val="24"/>
                <w:szCs w:val="24"/>
                <w:color w:val="auto"/>
              </w:rPr>
            </w:pPr>
          </w:p>
        </w:tc>
      </w:tr>
      <w:tr>
        <w:trPr>
          <w:trHeight w:val="228"/>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6,336</w:t>
            </w:r>
          </w:p>
        </w:tc>
        <w:tc>
          <w:tcPr>
            <w:tcW w:w="120" w:type="dxa"/>
            <w:vAlign w:val="bottom"/>
            <w:shd w:val="clear" w:color="auto" w:fill="CFF0FC"/>
          </w:tcPr>
          <w:p>
            <w:pPr>
              <w:spacing w:after="0"/>
              <w:rPr>
                <w:sz w:val="19"/>
                <w:szCs w:val="19"/>
                <w:color w:val="auto"/>
              </w:rPr>
            </w:pPr>
          </w:p>
        </w:tc>
      </w:tr>
      <w:tr>
        <w:trPr>
          <w:trHeight w:val="227"/>
        </w:trPr>
        <w:tc>
          <w:tcPr>
            <w:tcW w:w="420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6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r>
      <w:tr>
        <w:trPr>
          <w:trHeight w:val="228"/>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($0.20 per share)</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(2,489)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(2,489)</w:t>
            </w:r>
          </w:p>
        </w:tc>
      </w:tr>
      <w:tr>
        <w:trPr>
          <w:trHeight w:val="260"/>
        </w:trPr>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June 30, 2020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8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55,987</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110,049</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166,160</w:t>
            </w:r>
          </w:p>
        </w:tc>
        <w:tc>
          <w:tcPr>
            <w:tcW w:w="120" w:type="dxa"/>
            <w:vAlign w:val="bottom"/>
            <w:tcBorders>
              <w:bottom w:val="single" w:sz="8" w:color="CFF0FC"/>
            </w:tcBorders>
          </w:tcPr>
          <w:p>
            <w:pPr>
              <w:spacing w:after="0"/>
              <w:rPr>
                <w:sz w:val="22"/>
                <w:szCs w:val="22"/>
                <w:color w:val="auto"/>
              </w:rPr>
            </w:pPr>
          </w:p>
        </w:tc>
      </w:tr>
      <w:tr>
        <w:trPr>
          <w:trHeight w:val="208"/>
        </w:trPr>
        <w:tc>
          <w:tcPr>
            <w:tcW w:w="4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7"/>
        </w:trPr>
        <w:tc>
          <w:tcPr>
            <w:tcW w:w="420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124</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55,987</w:t>
            </w:r>
          </w:p>
        </w:tc>
        <w:tc>
          <w:tcPr>
            <w:tcW w:w="160" w:type="dxa"/>
            <w:vAlign w:val="bottom"/>
          </w:tcPr>
          <w:p>
            <w:pPr>
              <w:spacing w:after="0"/>
              <w:rPr>
                <w:sz w:val="19"/>
                <w:szCs w:val="19"/>
                <w:color w:val="auto"/>
              </w:rPr>
            </w:pPr>
          </w:p>
        </w:tc>
        <w:tc>
          <w:tcPr>
            <w:tcW w:w="34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111,545</w:t>
            </w:r>
          </w:p>
        </w:tc>
        <w:tc>
          <w:tcPr>
            <w:tcW w:w="160" w:type="dxa"/>
            <w:vAlign w:val="bottom"/>
          </w:tcPr>
          <w:p>
            <w:pPr>
              <w:spacing w:after="0"/>
              <w:rPr>
                <w:sz w:val="19"/>
                <w:szCs w:val="19"/>
                <w:color w:val="auto"/>
              </w:rPr>
            </w:pPr>
          </w:p>
        </w:tc>
        <w:tc>
          <w:tcPr>
            <w:tcW w:w="3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167,656</w:t>
            </w:r>
          </w:p>
        </w:tc>
        <w:tc>
          <w:tcPr>
            <w:tcW w:w="120" w:type="dxa"/>
            <w:vAlign w:val="bottom"/>
          </w:tcPr>
          <w:p>
            <w:pPr>
              <w:spacing w:after="0"/>
              <w:rPr>
                <w:sz w:val="19"/>
                <w:szCs w:val="19"/>
                <w:color w:val="auto"/>
              </w:rPr>
            </w:pPr>
          </w:p>
        </w:tc>
      </w:tr>
      <w:tr>
        <w:trPr>
          <w:trHeight w:val="228"/>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9,305</w:t>
            </w:r>
          </w:p>
        </w:tc>
        <w:tc>
          <w:tcPr>
            <w:tcW w:w="120" w:type="dxa"/>
            <w:vAlign w:val="bottom"/>
            <w:shd w:val="clear" w:color="auto" w:fill="CFF0FC"/>
          </w:tcPr>
          <w:p>
            <w:pPr>
              <w:spacing w:after="0"/>
              <w:rPr>
                <w:sz w:val="19"/>
                <w:szCs w:val="19"/>
                <w:color w:val="auto"/>
              </w:rPr>
            </w:pPr>
          </w:p>
        </w:tc>
      </w:tr>
      <w:tr>
        <w:trPr>
          <w:trHeight w:val="227"/>
        </w:trPr>
        <w:tc>
          <w:tcPr>
            <w:tcW w:w="420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6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r>
      <w:tr>
        <w:trPr>
          <w:trHeight w:val="228"/>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($0.40 per share)</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(4,971)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(4,971)</w:t>
            </w:r>
          </w:p>
        </w:tc>
      </w:tr>
      <w:tr>
        <w:trPr>
          <w:trHeight w:val="227"/>
        </w:trPr>
        <w:tc>
          <w:tcPr>
            <w:tcW w:w="4200" w:type="dxa"/>
            <w:vAlign w:val="bottom"/>
          </w:tcPr>
          <w:p>
            <w:pPr>
              <w:spacing w:after="0"/>
              <w:rPr>
                <w:sz w:val="20"/>
                <w:szCs w:val="20"/>
                <w:color w:val="auto"/>
              </w:rPr>
            </w:pPr>
            <w:r>
              <w:rPr>
                <w:rFonts w:ascii="Arial" w:cs="Arial" w:eastAsia="Arial" w:hAnsi="Arial"/>
                <w:sz w:val="18"/>
                <w:szCs w:val="18"/>
                <w:color w:val="auto"/>
              </w:rPr>
              <w:t>Treasury stock:</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8"/>
        </w:trPr>
        <w:tc>
          <w:tcPr>
            <w:tcW w:w="4200" w:type="dxa"/>
            <w:vAlign w:val="bottom"/>
            <w:shd w:val="clear" w:color="auto" w:fill="CFF0FC"/>
          </w:tcPr>
          <w:p>
            <w:pPr>
              <w:ind w:left="80"/>
              <w:spacing w:after="0"/>
              <w:rPr>
                <w:sz w:val="20"/>
                <w:szCs w:val="20"/>
                <w:color w:val="auto"/>
              </w:rPr>
            </w:pPr>
            <w:r>
              <w:rPr>
                <w:rFonts w:ascii="Arial" w:cs="Arial" w:eastAsia="Arial" w:hAnsi="Arial"/>
                <w:sz w:val="18"/>
                <w:szCs w:val="18"/>
                <w:color w:val="auto"/>
              </w:rPr>
              <w:t>Acquired</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(755)</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(755)</w:t>
            </w:r>
          </w:p>
        </w:tc>
      </w:tr>
      <w:tr>
        <w:trPr>
          <w:trHeight w:val="227"/>
        </w:trPr>
        <w:tc>
          <w:tcPr>
            <w:tcW w:w="4200" w:type="dxa"/>
            <w:vAlign w:val="bottom"/>
          </w:tcPr>
          <w:p>
            <w:pPr>
              <w:ind w:left="100"/>
              <w:spacing w:after="0"/>
              <w:rPr>
                <w:sz w:val="20"/>
                <w:szCs w:val="20"/>
                <w:color w:val="auto"/>
              </w:rPr>
            </w:pPr>
            <w:r>
              <w:rPr>
                <w:rFonts w:ascii="Arial" w:cs="Arial" w:eastAsia="Arial" w:hAnsi="Arial"/>
                <w:sz w:val="18"/>
                <w:szCs w:val="18"/>
                <w:color w:val="auto"/>
              </w:rPr>
              <w:t>Retired</w:t>
            </w:r>
          </w:p>
        </w:tc>
        <w:tc>
          <w:tcPr>
            <w:tcW w:w="16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1"/>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2021</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55,336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115,879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171,339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1"/>
        </w:trPr>
        <w:tc>
          <w:tcPr>
            <w:tcW w:w="8380" w:type="dxa"/>
            <w:vAlign w:val="bottom"/>
          </w:tcPr>
          <w:p>
            <w:pPr>
              <w:jc w:val="center"/>
              <w:ind w:left="2771"/>
              <w:spacing w:after="0"/>
              <w:rPr>
                <w:sz w:val="20"/>
                <w:szCs w:val="20"/>
                <w:color w:val="auto"/>
              </w:rPr>
            </w:pPr>
            <w:r>
              <w:rPr>
                <w:rFonts w:ascii="Arial" w:cs="Arial" w:eastAsia="Arial" w:hAnsi="Arial"/>
                <w:sz w:val="18"/>
                <w:szCs w:val="18"/>
                <w:b w:val="1"/>
                <w:bCs w:val="1"/>
                <w:color w:val="auto"/>
              </w:rPr>
              <w:t>COMPX INTERNATIONAL INC.</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1"/>
        </w:trPr>
        <w:tc>
          <w:tcPr>
            <w:tcW w:w="8380" w:type="dxa"/>
            <w:vAlign w:val="bottom"/>
          </w:tcPr>
          <w:p>
            <w:pPr>
              <w:jc w:val="center"/>
              <w:ind w:left="2771"/>
              <w:spacing w:after="0"/>
              <w:rPr>
                <w:sz w:val="20"/>
                <w:szCs w:val="20"/>
                <w:color w:val="auto"/>
              </w:rPr>
            </w:pPr>
            <w:r>
              <w:rPr>
                <w:rFonts w:ascii="Arial" w:cs="Arial" w:eastAsia="Arial" w:hAnsi="Arial"/>
                <w:sz w:val="18"/>
                <w:szCs w:val="18"/>
                <w:b w:val="1"/>
                <w:bCs w:val="1"/>
                <w:color w:val="auto"/>
                <w:w w:val="97"/>
              </w:rPr>
              <w:t>CONDENSED CONSOLIDATED STATEMENTS OF CASH FLOWS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8380" w:type="dxa"/>
            <w:vAlign w:val="bottom"/>
          </w:tcPr>
          <w:p>
            <w:pPr>
              <w:jc w:val="center"/>
              <w:ind w:left="2791"/>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5"/>
            <w:vMerge w:val="restart"/>
          </w:tcPr>
          <w:p>
            <w:pPr>
              <w:jc w:val="center"/>
              <w:ind w:right="380"/>
              <w:spacing w:after="0"/>
              <w:rPr>
                <w:sz w:val="20"/>
                <w:szCs w:val="20"/>
                <w:color w:val="auto"/>
              </w:rPr>
            </w:pPr>
            <w:r>
              <w:rPr>
                <w:rFonts w:ascii="Arial" w:cs="Arial" w:eastAsia="Arial" w:hAnsi="Arial"/>
                <w:sz w:val="18"/>
                <w:szCs w:val="18"/>
                <w:b w:val="1"/>
                <w:bCs w:val="1"/>
                <w:color w:val="auto"/>
                <w:w w:val="86"/>
              </w:rPr>
              <w:t>Six months ended</w:t>
            </w:r>
          </w:p>
        </w:tc>
        <w:tc>
          <w:tcPr>
            <w:tcW w:w="0" w:type="dxa"/>
            <w:vAlign w:val="bottom"/>
          </w:tcPr>
          <w:p>
            <w:pPr>
              <w:spacing w:after="0"/>
              <w:rPr>
                <w:sz w:val="1"/>
                <w:szCs w:val="1"/>
                <w:color w:val="auto"/>
              </w:rPr>
            </w:pPr>
          </w:p>
        </w:tc>
      </w:tr>
      <w:tr>
        <w:trPr>
          <w:trHeight w:val="224"/>
        </w:trPr>
        <w:tc>
          <w:tcPr>
            <w:tcW w:w="8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2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491"/>
              <w:spacing w:after="0"/>
              <w:rPr>
                <w:sz w:val="20"/>
                <w:szCs w:val="20"/>
                <w:color w:val="auto"/>
              </w:rPr>
            </w:pPr>
            <w:r>
              <w:rPr>
                <w:rFonts w:ascii="Arial" w:cs="Arial" w:eastAsia="Arial" w:hAnsi="Arial"/>
                <w:sz w:val="18"/>
                <w:szCs w:val="18"/>
                <w:b w:val="1"/>
                <w:bCs w:val="1"/>
                <w:color w:val="auto"/>
                <w:w w:val="85"/>
              </w:rPr>
              <w:t>June 30,</w:t>
            </w: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8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w w:val="99"/>
              </w:rPr>
              <w:t>2021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3"/>
          </w:tcPr>
          <w:p>
            <w:pPr>
              <w:jc w:val="center"/>
              <w:ind w:left="491"/>
              <w:spacing w:after="0"/>
              <w:rPr>
                <w:sz w:val="20"/>
                <w:szCs w:val="20"/>
                <w:color w:val="auto"/>
              </w:rPr>
            </w:pPr>
            <w:r>
              <w:rPr>
                <w:rFonts w:ascii="Arial" w:cs="Arial" w:eastAsia="Arial" w:hAnsi="Arial"/>
                <w:sz w:val="18"/>
                <w:szCs w:val="18"/>
                <w:b w:val="1"/>
                <w:bCs w:val="1"/>
                <w:color w:val="auto"/>
                <w:w w:val="91"/>
              </w:rPr>
              <w:t>(unaudited)</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34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6,336</w:t>
            </w:r>
          </w:p>
        </w:tc>
        <w:tc>
          <w:tcPr>
            <w:tcW w:w="280" w:type="dxa"/>
            <w:vAlign w:val="bottom"/>
          </w:tcPr>
          <w:p>
            <w:pPr>
              <w:spacing w:after="0"/>
              <w:rPr>
                <w:sz w:val="19"/>
                <w:szCs w:val="19"/>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9,305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1,912</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8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80" w:type="dxa"/>
            <w:vAlign w:val="bottom"/>
          </w:tcPr>
          <w:p>
            <w:pPr>
              <w:ind w:left="260"/>
              <w:spacing w:after="0"/>
              <w:rPr>
                <w:sz w:val="20"/>
                <w:szCs w:val="20"/>
                <w:color w:val="auto"/>
              </w:rPr>
            </w:pPr>
            <w:r>
              <w:rPr>
                <w:rFonts w:ascii="Arial" w:cs="Arial" w:eastAsia="Arial" w:hAnsi="Arial"/>
                <w:sz w:val="18"/>
                <w:szCs w:val="18"/>
                <w:color w:val="auto"/>
              </w:rPr>
              <w:t>Change in assets and liabilities: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(5,910)</w:t>
            </w:r>
          </w:p>
        </w:tc>
        <w:tc>
          <w:tcPr>
            <w:tcW w:w="0" w:type="dxa"/>
            <w:vAlign w:val="bottom"/>
          </w:tcPr>
          <w:p>
            <w:pPr>
              <w:spacing w:after="0"/>
              <w:rPr>
                <w:sz w:val="1"/>
                <w:szCs w:val="1"/>
                <w:color w:val="auto"/>
              </w:rPr>
            </w:pPr>
          </w:p>
        </w:tc>
      </w:tr>
      <w:tr>
        <w:trPr>
          <w:trHeight w:val="227"/>
        </w:trPr>
        <w:tc>
          <w:tcPr>
            <w:tcW w:w="8380" w:type="dxa"/>
            <w:vAlign w:val="bottom"/>
          </w:tcPr>
          <w:p>
            <w:pPr>
              <w:ind w:left="500"/>
              <w:spacing w:after="0"/>
              <w:rPr>
                <w:sz w:val="20"/>
                <w:szCs w:val="20"/>
                <w:color w:val="auto"/>
              </w:rPr>
            </w:pPr>
            <w:r>
              <w:rPr>
                <w:rFonts w:ascii="Arial" w:cs="Arial" w:eastAsia="Arial" w:hAnsi="Arial"/>
                <w:sz w:val="18"/>
                <w:szCs w:val="18"/>
                <w:color w:val="auto"/>
              </w:rPr>
              <w:t>Inventories, net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(3,555)</w:t>
            </w:r>
          </w:p>
        </w:tc>
        <w:tc>
          <w:tcPr>
            <w:tcW w:w="3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(1,691)</w:t>
            </w:r>
          </w:p>
        </w:tc>
        <w:tc>
          <w:tcPr>
            <w:tcW w:w="0" w:type="dxa"/>
            <w:vAlign w:val="bottom"/>
          </w:tcPr>
          <w:p>
            <w:pPr>
              <w:spacing w:after="0"/>
              <w:rPr>
                <w:sz w:val="1"/>
                <w:szCs w:val="1"/>
                <w:color w:val="auto"/>
              </w:rPr>
            </w:pPr>
          </w:p>
        </w:tc>
      </w:tr>
      <w:tr>
        <w:trPr>
          <w:trHeight w:val="227"/>
        </w:trPr>
        <w:tc>
          <w:tcPr>
            <w:tcW w:w="8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(2,415)</w:t>
            </w:r>
          </w:p>
        </w:tc>
        <w:tc>
          <w:tcPr>
            <w:tcW w:w="3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(393)</w:t>
            </w:r>
          </w:p>
        </w:tc>
        <w:tc>
          <w:tcPr>
            <w:tcW w:w="0" w:type="dxa"/>
            <w:vAlign w:val="bottom"/>
          </w:tcPr>
          <w:p>
            <w:pPr>
              <w:spacing w:after="0"/>
              <w:rPr>
                <w:sz w:val="1"/>
                <w:szCs w:val="1"/>
                <w:color w:val="auto"/>
              </w:rPr>
            </w:pPr>
          </w:p>
        </w:tc>
      </w:tr>
      <w:tr>
        <w:trPr>
          <w:trHeight w:val="227"/>
        </w:trPr>
        <w:tc>
          <w:tcPr>
            <w:tcW w:w="8380" w:type="dxa"/>
            <w:vAlign w:val="bottom"/>
          </w:tcPr>
          <w:p>
            <w:pPr>
              <w:ind w:left="500"/>
              <w:spacing w:after="0"/>
              <w:rPr>
                <w:sz w:val="20"/>
                <w:szCs w:val="20"/>
                <w:color w:val="auto"/>
              </w:rPr>
            </w:pPr>
            <w:r>
              <w:rPr>
                <w:rFonts w:ascii="Arial" w:cs="Arial" w:eastAsia="Arial" w:hAnsi="Arial"/>
                <w:sz w:val="18"/>
                <w:szCs w:val="18"/>
                <w:color w:val="auto"/>
              </w:rPr>
              <w:t>Accounts with affiliates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1,674</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Prepaids and other, net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(414)</w:t>
            </w:r>
          </w:p>
        </w:tc>
        <w:tc>
          <w:tcPr>
            <w:tcW w:w="0" w:type="dxa"/>
            <w:vAlign w:val="bottom"/>
          </w:tcPr>
          <w:p>
            <w:pPr>
              <w:spacing w:after="0"/>
              <w:rPr>
                <w:sz w:val="1"/>
                <w:szCs w:val="1"/>
                <w:color w:val="auto"/>
              </w:rPr>
            </w:pPr>
          </w:p>
        </w:tc>
      </w:tr>
      <w:tr>
        <w:trPr>
          <w:trHeight w:val="221"/>
        </w:trPr>
        <w:tc>
          <w:tcPr>
            <w:tcW w:w="83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4,945</w:t>
            </w:r>
          </w:p>
        </w:tc>
        <w:tc>
          <w:tcPr>
            <w:tcW w:w="2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3,561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3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80" w:type="dxa"/>
            <w:vAlign w:val="bottom"/>
          </w:tcPr>
          <w:p>
            <w:pPr>
              <w:ind w:left="26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(861)</w:t>
            </w:r>
          </w:p>
        </w:tc>
        <w:tc>
          <w:tcPr>
            <w:tcW w:w="3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(1,598)</w:t>
            </w:r>
          </w:p>
        </w:tc>
        <w:tc>
          <w:tcPr>
            <w:tcW w:w="0" w:type="dxa"/>
            <w:vAlign w:val="bottom"/>
          </w:tcPr>
          <w:p>
            <w:pPr>
              <w:spacing w:after="0"/>
              <w:rPr>
                <w:sz w:val="1"/>
                <w:szCs w:val="1"/>
                <w:color w:val="auto"/>
              </w:rPr>
            </w:pPr>
          </w:p>
        </w:tc>
      </w:tr>
      <w:tr>
        <w:trPr>
          <w:trHeight w:val="227"/>
        </w:trPr>
        <w:tc>
          <w:tcPr>
            <w:tcW w:w="8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Note receivable from affiliate:</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80" w:type="dxa"/>
            <w:vAlign w:val="bottom"/>
          </w:tcPr>
          <w:p>
            <w:pPr>
              <w:ind w:left="500"/>
              <w:spacing w:after="0"/>
              <w:rPr>
                <w:sz w:val="20"/>
                <w:szCs w:val="20"/>
                <w:color w:val="auto"/>
              </w:rPr>
            </w:pPr>
            <w:r>
              <w:rPr>
                <w:rFonts w:ascii="Arial" w:cs="Arial" w:eastAsia="Arial" w:hAnsi="Arial"/>
                <w:sz w:val="18"/>
                <w:szCs w:val="18"/>
                <w:color w:val="auto"/>
              </w:rPr>
              <w:t>Collections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20,628</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22,200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Advances</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(23,028)</w:t>
            </w:r>
          </w:p>
        </w:tc>
        <w:tc>
          <w:tcPr>
            <w:tcW w:w="3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(18,700)</w:t>
            </w:r>
          </w:p>
        </w:tc>
        <w:tc>
          <w:tcPr>
            <w:tcW w:w="0" w:type="dxa"/>
            <w:vAlign w:val="bottom"/>
          </w:tcPr>
          <w:p>
            <w:pPr>
              <w:spacing w:after="0"/>
              <w:rPr>
                <w:sz w:val="1"/>
                <w:szCs w:val="1"/>
                <w:color w:val="auto"/>
              </w:rPr>
            </w:pPr>
          </w:p>
        </w:tc>
      </w:tr>
      <w:tr>
        <w:trPr>
          <w:trHeight w:val="221"/>
        </w:trPr>
        <w:tc>
          <w:tcPr>
            <w:tcW w:w="83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(3,261)</w:t>
            </w:r>
          </w:p>
        </w:tc>
        <w:tc>
          <w:tcPr>
            <w:tcW w:w="2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3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80" w:type="dxa"/>
            <w:vAlign w:val="bottom"/>
          </w:tcPr>
          <w:p>
            <w:pPr>
              <w:ind w:left="260"/>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(2,489)</w:t>
            </w:r>
          </w:p>
        </w:tc>
        <w:tc>
          <w:tcPr>
            <w:tcW w:w="3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(4,971)</w:t>
            </w:r>
          </w:p>
        </w:tc>
        <w:tc>
          <w:tcPr>
            <w:tcW w:w="0" w:type="dxa"/>
            <w:vAlign w:val="bottom"/>
          </w:tcPr>
          <w:p>
            <w:pPr>
              <w:spacing w:after="0"/>
              <w:rPr>
                <w:sz w:val="1"/>
                <w:szCs w:val="1"/>
                <w:color w:val="auto"/>
              </w:rPr>
            </w:pPr>
          </w:p>
        </w:tc>
      </w:tr>
      <w:tr>
        <w:trPr>
          <w:trHeight w:val="227"/>
        </w:trPr>
        <w:tc>
          <w:tcPr>
            <w:tcW w:w="8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Treasury stock acquired</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(755)</w:t>
            </w:r>
          </w:p>
        </w:tc>
        <w:tc>
          <w:tcPr>
            <w:tcW w:w="0" w:type="dxa"/>
            <w:vAlign w:val="bottom"/>
          </w:tcPr>
          <w:p>
            <w:pPr>
              <w:spacing w:after="0"/>
              <w:rPr>
                <w:sz w:val="1"/>
                <w:szCs w:val="1"/>
                <w:color w:val="auto"/>
              </w:rPr>
            </w:pPr>
          </w:p>
        </w:tc>
      </w:tr>
      <w:tr>
        <w:trPr>
          <w:trHeight w:val="221"/>
        </w:trPr>
        <w:tc>
          <w:tcPr>
            <w:tcW w:w="83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(2,489)</w:t>
            </w:r>
          </w:p>
        </w:tc>
        <w:tc>
          <w:tcPr>
            <w:tcW w:w="2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(5,726)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3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 net change from:</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80" w:type="dxa"/>
            <w:vAlign w:val="bottom"/>
          </w:tcPr>
          <w:p>
            <w:pPr>
              <w:ind w:left="260"/>
              <w:spacing w:after="0"/>
              <w:rPr>
                <w:sz w:val="20"/>
                <w:szCs w:val="20"/>
                <w:color w:val="auto"/>
              </w:rPr>
            </w:pPr>
            <w:r>
              <w:rPr>
                <w:rFonts w:ascii="Arial" w:cs="Arial" w:eastAsia="Arial" w:hAnsi="Arial"/>
                <w:sz w:val="18"/>
                <w:szCs w:val="18"/>
                <w:color w:val="auto"/>
              </w:rPr>
              <w:t>Operating, investing and financing activities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(805)</w:t>
            </w:r>
          </w:p>
        </w:tc>
        <w:tc>
          <w:tcPr>
            <w:tcW w:w="3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(263)</w:t>
            </w:r>
          </w:p>
        </w:tc>
        <w:tc>
          <w:tcPr>
            <w:tcW w:w="0" w:type="dxa"/>
            <w:vAlign w:val="bottom"/>
          </w:tcPr>
          <w:p>
            <w:pPr>
              <w:spacing w:after="0"/>
              <w:rPr>
                <w:sz w:val="1"/>
                <w:szCs w:val="1"/>
                <w:color w:val="auto"/>
              </w:rPr>
            </w:pPr>
          </w:p>
        </w:tc>
      </w:tr>
      <w:tr>
        <w:trPr>
          <w:trHeight w:val="227"/>
        </w:trPr>
        <w:tc>
          <w:tcPr>
            <w:tcW w:w="838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63,255</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70,637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8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end of period</w:t>
            </w:r>
          </w:p>
        </w:tc>
        <w:tc>
          <w:tcPr>
            <w:tcW w:w="1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62,450</w:t>
            </w:r>
          </w:p>
        </w:tc>
        <w:tc>
          <w:tcPr>
            <w:tcW w:w="28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70,374</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8380" w:type="dxa"/>
            <w:vAlign w:val="bottom"/>
            <w:shd w:val="clear" w:color="auto" w:fill="CFF0FC"/>
          </w:tcPr>
          <w:p>
            <w:pPr>
              <w:spacing w:after="0" w:line="206" w:lineRule="exact"/>
              <w:rPr>
                <w:sz w:val="20"/>
                <w:szCs w:val="20"/>
                <w:color w:val="auto"/>
              </w:rPr>
            </w:pPr>
            <w:r>
              <w:rPr>
                <w:rFonts w:ascii="Arial" w:cs="Arial" w:eastAsia="Arial" w:hAnsi="Arial"/>
                <w:sz w:val="18"/>
                <w:szCs w:val="18"/>
                <w:color w:val="auto"/>
              </w:rPr>
              <w:t>Supplemental disclosures -</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380" w:type="dxa"/>
            <w:vAlign w:val="bottom"/>
          </w:tcPr>
          <w:p>
            <w:pPr>
              <w:ind w:left="260"/>
              <w:spacing w:after="0"/>
              <w:rPr>
                <w:sz w:val="20"/>
                <w:szCs w:val="20"/>
                <w:color w:val="auto"/>
              </w:rPr>
            </w:pPr>
            <w:r>
              <w:rPr>
                <w:rFonts w:ascii="Arial" w:cs="Arial" w:eastAsia="Arial" w:hAnsi="Arial"/>
                <w:sz w:val="18"/>
                <w:szCs w:val="18"/>
                <w:color w:val="auto"/>
              </w:rPr>
              <w:t>Cash paid for income taxes</w:t>
            </w:r>
          </w:p>
        </w:tc>
        <w:tc>
          <w:tcPr>
            <w:tcW w:w="34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850</w:t>
            </w:r>
          </w:p>
        </w:tc>
        <w:tc>
          <w:tcPr>
            <w:tcW w:w="280" w:type="dxa"/>
            <w:vAlign w:val="bottom"/>
          </w:tcPr>
          <w:p>
            <w:pPr>
              <w:spacing w:after="0"/>
              <w:rPr>
                <w:sz w:val="20"/>
                <w:szCs w:val="20"/>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2,439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18" w:lineRule="exact"/>
        <w:rPr>
          <w:sz w:val="20"/>
          <w:szCs w:val="20"/>
          <w:color w:val="auto"/>
        </w:rPr>
      </w:pPr>
    </w:p>
    <w:p>
      <w:pPr>
        <w:jc w:val="both"/>
        <w:ind w:firstLine="510"/>
        <w:spacing w:after="0" w:line="266" w:lineRule="auto"/>
        <w:rPr>
          <w:sz w:val="20"/>
          <w:szCs w:val="20"/>
          <w:color w:val="auto"/>
        </w:rPr>
      </w:pPr>
      <w:r>
        <w:rPr>
          <w:rFonts w:ascii="Arial" w:cs="Arial" w:eastAsia="Arial" w:hAnsi="Arial"/>
          <w:sz w:val="17"/>
          <w:szCs w:val="17"/>
          <w:i w:val="1"/>
          <w:iCs w:val="1"/>
          <w:color w:val="auto"/>
        </w:rPr>
        <w:t>Organization</w:t>
      </w:r>
      <w:r>
        <w:rPr>
          <w:rFonts w:ascii="Arial" w:cs="Arial" w:eastAsia="Arial" w:hAnsi="Arial"/>
          <w:sz w:val="17"/>
          <w:szCs w:val="17"/>
          <w:color w:val="auto"/>
        </w:rPr>
        <w:t>. We (NYSE American: CIX) were approximately 87% owned by NL Industries, Inc. (NYSE: NL) at June 30, 2021. We manufacture</w:t>
      </w:r>
      <w:r>
        <w:rPr>
          <w:rFonts w:ascii="Arial" w:cs="Arial" w:eastAsia="Arial" w:hAnsi="Arial"/>
          <w:sz w:val="17"/>
          <w:szCs w:val="17"/>
          <w:i w:val="1"/>
          <w:iCs w:val="1"/>
          <w:color w:val="auto"/>
        </w:rPr>
        <w:t xml:space="preserve"> </w:t>
      </w:r>
      <w:r>
        <w:rPr>
          <w:rFonts w:ascii="Arial" w:cs="Arial" w:eastAsia="Arial" w:hAnsi="Arial"/>
          <w:sz w:val="17"/>
          <w:szCs w:val="17"/>
          <w:color w:val="auto"/>
        </w:rPr>
        <w:t>and sell component products (security products and recreational marine components). At June 30, 2021, Valhi, Inc. (NYSE: VHI) owned approximately 83% of NL’s outstanding common stock and a wholly-owned subsidiary of Contran Corporation owned approximately 92% of Valhi’s outstanding common stock. A majority of Contran's outstanding voting stock is held directly by Lisa K. Simmons and various family trusts established for the benefit of Ms. Simmons, Thomas C. Connelly (the husband of Ms. Simmons’ late sister) and their children and for which Ms. Simmons or Mr. Connelly, as applicable, serve as trustee (collectively, the “Other Trusts”). With respect to the Other Trusts for which Mr. Connelly serves as trustee, he is required to vote the shares of Contran voting stock held in such trusts in the same manner as Ms. Simmons. Such voting rights of Ms. Simmons last through April 22, 2030 and are personal to Ms. Simmons. The remainder of Contran’s outstanding voting stock is held by another trust (the “Family Trust”), which was established for the benefit of Ms. Simmons and her late sister and their children and for which a third-party financial institution serves as trustee. Consequently, at June 30, 2021 Ms. Simmons and the Family Trust may be deemed to control Contran, and therefore may be deemed to indirectly control the wholly-owned subsidiary of Contran, Valhi, NL and us.</w:t>
      </w:r>
    </w:p>
    <w:p>
      <w:pPr>
        <w:spacing w:after="0" w:line="185" w:lineRule="exact"/>
        <w:rPr>
          <w:sz w:val="20"/>
          <w:szCs w:val="20"/>
          <w:color w:val="auto"/>
        </w:rPr>
      </w:pPr>
    </w:p>
    <w:p>
      <w:pPr>
        <w:jc w:val="both"/>
        <w:ind w:firstLine="510"/>
        <w:spacing w:after="0" w:line="284" w:lineRule="auto"/>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Consolidated in this Quarterly Report are the results of CompX International Inc. and its subsidiaries. The unaudited</w:t>
      </w:r>
      <w:r>
        <w:rPr>
          <w:rFonts w:ascii="Arial" w:cs="Arial" w:eastAsia="Arial" w:hAnsi="Arial"/>
          <w:sz w:val="16"/>
          <w:szCs w:val="16"/>
          <w:i w:val="1"/>
          <w:iCs w:val="1"/>
          <w:color w:val="auto"/>
        </w:rPr>
        <w:t xml:space="preserve"> </w:t>
      </w:r>
      <w:r>
        <w:rPr>
          <w:rFonts w:ascii="Arial" w:cs="Arial" w:eastAsia="Arial" w:hAnsi="Arial"/>
          <w:sz w:val="16"/>
          <w:szCs w:val="16"/>
          <w:color w:val="auto"/>
        </w:rPr>
        <w:t>Condensed Consolidated Financial Statements contained in this Quarterly Report have been prepared on the same basis as the audited Consolidated Financial Statements included in our Annual Report on Form 10-K for the year ended December 31, 2020 that we filed with the Securities and Exchange Commission (“SEC”) on March 3, 2021 (the “2020 Annual Report”). In our opinion, we have made all necessary adjustments (which include only normal recurring adjustments) in order to state fairly, in all material respects, our consolidated financial position, results of operations and cash flows as of the dates and for the periods presented. We have condensed the Consolidated Balance Sheet at December 31, 2020 contained in this Quarterly Report as compared to our audited Consolidated Financial Statements at that date, and we have omitted certain information and footnote disclosures (including those related to the Consolidated Balance Sheet at December 31, 2020) normally included in financial statements prepared in accordance with accounting principles generally accepted in the United States of America (“GAAP”). Our results of operations for the interim periods ended June 30, 2021 may not be indicative of our operating results for the full year. The Condensed Consolidated Financial Statements contained in this Quarterly Report should be read in conjunction with our 2020 Consolidated Financial Statements contained in our 2020 Annual Report.</w:t>
      </w:r>
    </w:p>
    <w:p>
      <w:pPr>
        <w:spacing w:after="0" w:line="66"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Our operations are reported on a 52 or 53-week year. For presentation purposes, annual and quarterly information in the Condensed Consolidated Financial Statements and accompanying notes are presented as ended June 30, 2020, December 31, 2020 and June 30, 2021. The actual dates of our annual and quarterly periods are June 28, 2020, January 3, 2021 and July 4, 2021, respectively. Unless otherwise indicated, references in this report to “we”, “us” or “our” refer to CompX International Inc. and its subsidiaries, taken as a whole.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1"/>
        </w:trPr>
        <w:tc>
          <w:tcPr>
            <w:tcW w:w="4260" w:type="dxa"/>
            <w:vAlign w:val="bottom"/>
          </w:tcPr>
          <w:p>
            <w:pPr>
              <w:spacing w:after="0"/>
              <w:rPr>
                <w:sz w:val="20"/>
                <w:szCs w:val="20"/>
                <w:color w:val="auto"/>
              </w:rPr>
            </w:pPr>
            <w:r>
              <w:rPr>
                <w:rFonts w:ascii="Arial" w:cs="Arial" w:eastAsia="Arial" w:hAnsi="Arial"/>
                <w:sz w:val="18"/>
                <w:szCs w:val="18"/>
                <w:b w:val="1"/>
                <w:bCs w:val="1"/>
                <w:color w:val="auto"/>
              </w:rPr>
              <w:t>Note 2 – Business segment information:</w:t>
            </w:r>
          </w:p>
        </w:tc>
        <w:tc>
          <w:tcPr>
            <w:tcW w:w="2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4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w w:val="92"/>
              </w:rPr>
              <w:t>Three months ended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9"/>
          </w:tcPr>
          <w:p>
            <w:pPr>
              <w:jc w:val="right"/>
              <w:ind w:right="5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2"/>
        </w:trPr>
        <w:tc>
          <w:tcPr>
            <w:tcW w:w="42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3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8"/>
                <w:szCs w:val="18"/>
                <w:b w:val="1"/>
                <w:bCs w:val="1"/>
                <w:color w:val="auto"/>
              </w:rPr>
              <w:t>June 30,</w:t>
            </w:r>
          </w:p>
        </w:tc>
        <w:tc>
          <w:tcPr>
            <w:tcW w:w="5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2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218"/>
              <w:spacing w:after="0"/>
              <w:rPr>
                <w:sz w:val="20"/>
                <w:szCs w:val="20"/>
                <w:color w:val="auto"/>
              </w:rPr>
            </w:pPr>
            <w:r>
              <w:rPr>
                <w:rFonts w:ascii="Arial" w:cs="Arial" w:eastAsia="Arial" w:hAnsi="Arial"/>
                <w:sz w:val="18"/>
                <w:szCs w:val="18"/>
                <w:b w:val="1"/>
                <w:bCs w:val="1"/>
                <w:color w:val="auto"/>
                <w:w w:val="94"/>
              </w:rPr>
              <w:t>2021</w:t>
            </w:r>
          </w:p>
        </w:tc>
        <w:tc>
          <w:tcPr>
            <w:tcW w:w="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191"/>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5"/>
          </w:tcPr>
          <w:p>
            <w:pPr>
              <w:jc w:val="right"/>
              <w:ind w:right="71"/>
              <w:spacing w:after="0"/>
              <w:rPr>
                <w:sz w:val="20"/>
                <w:szCs w:val="20"/>
                <w:color w:val="auto"/>
              </w:rPr>
            </w:pPr>
            <w:r>
              <w:rPr>
                <w:rFonts w:ascii="Arial" w:cs="Arial" w:eastAsia="Arial" w:hAnsi="Arial"/>
                <w:sz w:val="18"/>
                <w:szCs w:val="18"/>
                <w:b w:val="1"/>
                <w:bCs w:val="1"/>
                <w:color w:val="auto"/>
                <w:w w:val="93"/>
              </w:rPr>
              <w:t>(In thousands)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26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2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18,573</w:t>
            </w:r>
          </w:p>
        </w:tc>
        <w:tc>
          <w:tcPr>
            <w:tcW w:w="240" w:type="dxa"/>
            <w:vAlign w:val="bottom"/>
          </w:tcPr>
          <w:p>
            <w:pPr>
              <w:spacing w:after="0"/>
              <w:rPr>
                <w:sz w:val="20"/>
                <w:szCs w:val="20"/>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27,587</w:t>
            </w:r>
          </w:p>
        </w:tc>
        <w:tc>
          <w:tcPr>
            <w:tcW w:w="46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44,042</w:t>
            </w:r>
          </w:p>
        </w:tc>
        <w:tc>
          <w:tcPr>
            <w:tcW w:w="100" w:type="dxa"/>
            <w:vAlign w:val="bottom"/>
          </w:tcPr>
          <w:p>
            <w:pPr>
              <w:spacing w:after="0"/>
              <w:rPr>
                <w:sz w:val="20"/>
                <w:szCs w:val="20"/>
                <w:color w:val="auto"/>
              </w:rPr>
            </w:pPr>
          </w:p>
        </w:tc>
        <w:tc>
          <w:tcPr>
            <w:tcW w:w="5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7"/>
              </w:rPr>
              <w:t>53,472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Marine Components</w:t>
            </w:r>
          </w:p>
        </w:tc>
        <w:tc>
          <w:tcPr>
            <w:tcW w:w="21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24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8,666</w:t>
            </w:r>
          </w:p>
        </w:tc>
        <w:tc>
          <w:tcPr>
            <w:tcW w:w="4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12,069</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w w:val="87"/>
              </w:rPr>
              <w:t>18,705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4260" w:type="dxa"/>
            <w:vAlign w:val="bottom"/>
          </w:tcPr>
          <w:p>
            <w:pPr>
              <w:ind w:left="740"/>
              <w:spacing w:after="0"/>
              <w:rPr>
                <w:sz w:val="20"/>
                <w:szCs w:val="20"/>
                <w:color w:val="auto"/>
              </w:rPr>
            </w:pPr>
            <w:r>
              <w:rPr>
                <w:rFonts w:ascii="Arial" w:cs="Arial" w:eastAsia="Arial" w:hAnsi="Arial"/>
                <w:sz w:val="18"/>
                <w:szCs w:val="18"/>
                <w:color w:val="auto"/>
              </w:rPr>
              <w:t>Total net sales</w:t>
            </w:r>
          </w:p>
        </w:tc>
        <w:tc>
          <w:tcPr>
            <w:tcW w:w="2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23,800</w:t>
            </w:r>
          </w:p>
        </w:tc>
        <w:tc>
          <w:tcPr>
            <w:tcW w:w="240" w:type="dxa"/>
            <w:vAlign w:val="bottom"/>
          </w:tcPr>
          <w:p>
            <w:pPr>
              <w:spacing w:after="0"/>
              <w:rPr>
                <w:sz w:val="23"/>
                <w:szCs w:val="23"/>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36,253</w:t>
            </w:r>
          </w:p>
        </w:tc>
        <w:tc>
          <w:tcPr>
            <w:tcW w:w="46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56,111</w:t>
            </w:r>
          </w:p>
        </w:tc>
        <w:tc>
          <w:tcPr>
            <w:tcW w:w="100" w:type="dxa"/>
            <w:vAlign w:val="bottom"/>
          </w:tcPr>
          <w:p>
            <w:pPr>
              <w:spacing w:after="0"/>
              <w:rPr>
                <w:sz w:val="23"/>
                <w:szCs w:val="23"/>
                <w:color w:val="auto"/>
              </w:rPr>
            </w:pPr>
          </w:p>
        </w:tc>
        <w:tc>
          <w:tcPr>
            <w:tcW w:w="5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7"/>
              </w:rPr>
              <w:t>72,177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4260" w:type="dxa"/>
            <w:vAlign w:val="bottom"/>
            <w:tcBorders>
              <w:top w:val="single" w:sz="8" w:color="CFF0FC"/>
            </w:tcBorders>
            <w:shd w:val="clear" w:color="auto" w:fill="CFF0FC"/>
          </w:tcPr>
          <w:p>
            <w:pPr>
              <w:spacing w:after="0"/>
              <w:rPr>
                <w:sz w:val="19"/>
                <w:szCs w:val="19"/>
                <w:color w:val="auto"/>
              </w:rPr>
            </w:pPr>
          </w:p>
        </w:tc>
        <w:tc>
          <w:tcPr>
            <w:tcW w:w="2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260" w:type="dxa"/>
            <w:vAlign w:val="bottom"/>
          </w:tcPr>
          <w:p>
            <w:pPr>
              <w:spacing w:after="0"/>
              <w:rPr>
                <w:sz w:val="20"/>
                <w:szCs w:val="20"/>
                <w:color w:val="auto"/>
              </w:rPr>
            </w:pPr>
            <w:r>
              <w:rPr>
                <w:rFonts w:ascii="Arial" w:cs="Arial" w:eastAsia="Arial" w:hAnsi="Arial"/>
                <w:sz w:val="18"/>
                <w:szCs w:val="18"/>
                <w:color w:val="auto"/>
              </w:rPr>
              <w:t>Operating income (loss):</w:t>
            </w:r>
          </w:p>
        </w:tc>
        <w:tc>
          <w:tcPr>
            <w:tcW w:w="2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Security Products</w:t>
            </w:r>
          </w:p>
        </w:tc>
        <w:tc>
          <w:tcPr>
            <w:tcW w:w="2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3,361</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5,845</w:t>
            </w:r>
          </w:p>
        </w:tc>
        <w:tc>
          <w:tcPr>
            <w:tcW w:w="46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7"/>
              </w:rPr>
              <w:t>9,074</w:t>
            </w:r>
          </w:p>
        </w:tc>
        <w:tc>
          <w:tcPr>
            <w:tcW w:w="10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w w:val="87"/>
              </w:rPr>
              <w:t>11,335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260" w:type="dxa"/>
            <w:vAlign w:val="bottom"/>
          </w:tcPr>
          <w:p>
            <w:pPr>
              <w:ind w:left="500"/>
              <w:spacing w:after="0"/>
              <w:rPr>
                <w:sz w:val="20"/>
                <w:szCs w:val="20"/>
                <w:color w:val="auto"/>
              </w:rPr>
            </w:pPr>
            <w:r>
              <w:rPr>
                <w:rFonts w:ascii="Arial" w:cs="Arial" w:eastAsia="Arial" w:hAnsi="Arial"/>
                <w:sz w:val="18"/>
                <w:szCs w:val="18"/>
                <w:color w:val="auto"/>
              </w:rPr>
              <w:t>Marine Components</w:t>
            </w:r>
          </w:p>
        </w:tc>
        <w:tc>
          <w:tcPr>
            <w:tcW w:w="2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1,598</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7"/>
              </w:rPr>
              <w:t>1,881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3,541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Corporate operating expenses</w:t>
            </w:r>
          </w:p>
        </w:tc>
        <w:tc>
          <w:tcPr>
            <w:tcW w:w="2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(1,791)</w:t>
            </w:r>
          </w:p>
        </w:tc>
        <w:tc>
          <w:tcPr>
            <w:tcW w:w="240" w:type="dxa"/>
            <w:vAlign w:val="bottom"/>
            <w:shd w:val="clear" w:color="auto" w:fill="CFF0FC"/>
          </w:tcPr>
          <w:p>
            <w:pPr>
              <w:spacing w:after="0"/>
              <w:rPr>
                <w:sz w:val="20"/>
                <w:szCs w:val="20"/>
                <w:color w:val="auto"/>
              </w:rPr>
            </w:pPr>
          </w:p>
        </w:tc>
        <w:tc>
          <w:tcPr>
            <w:tcW w:w="1160" w:type="dxa"/>
            <w:vAlign w:val="bottom"/>
            <w:gridSpan w:val="3"/>
            <w:shd w:val="clear" w:color="auto" w:fill="CFF0FC"/>
          </w:tcPr>
          <w:p>
            <w:pPr>
              <w:jc w:val="right"/>
              <w:ind w:right="400"/>
              <w:spacing w:after="0"/>
              <w:rPr>
                <w:sz w:val="20"/>
                <w:szCs w:val="20"/>
                <w:color w:val="auto"/>
              </w:rPr>
            </w:pPr>
            <w:r>
              <w:rPr>
                <w:rFonts w:ascii="Arial" w:cs="Arial" w:eastAsia="Arial" w:hAnsi="Arial"/>
                <w:sz w:val="18"/>
                <w:szCs w:val="18"/>
                <w:b w:val="1"/>
                <w:bCs w:val="1"/>
                <w:color w:val="auto"/>
              </w:rPr>
              <w:t>(1,685)</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5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w w:val="91"/>
              </w:rPr>
              <w:t>(3,566)</w:t>
            </w: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6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b w:val="1"/>
                <w:bCs w:val="1"/>
                <w:color w:val="auto"/>
                <w:w w:val="98"/>
              </w:rPr>
              <w:t>(3,301)</w:t>
            </w:r>
          </w:p>
        </w:tc>
        <w:tc>
          <w:tcPr>
            <w:tcW w:w="0" w:type="dxa"/>
            <w:vAlign w:val="bottom"/>
          </w:tcPr>
          <w:p>
            <w:pPr>
              <w:spacing w:after="0"/>
              <w:rPr>
                <w:sz w:val="1"/>
                <w:szCs w:val="1"/>
                <w:color w:val="auto"/>
              </w:rPr>
            </w:pPr>
          </w:p>
        </w:tc>
      </w:tr>
      <w:tr>
        <w:trPr>
          <w:trHeight w:val="234"/>
        </w:trPr>
        <w:tc>
          <w:tcPr>
            <w:tcW w:w="4260" w:type="dxa"/>
            <w:vAlign w:val="bottom"/>
          </w:tcPr>
          <w:p>
            <w:pPr>
              <w:ind w:left="740"/>
              <w:spacing w:after="0"/>
              <w:rPr>
                <w:sz w:val="20"/>
                <w:szCs w:val="20"/>
                <w:color w:val="auto"/>
              </w:rPr>
            </w:pPr>
            <w:r>
              <w:rPr>
                <w:rFonts w:ascii="Arial" w:cs="Arial" w:eastAsia="Arial" w:hAnsi="Arial"/>
                <w:sz w:val="18"/>
                <w:szCs w:val="18"/>
                <w:color w:val="auto"/>
              </w:rPr>
              <w:t>Total operating income</w:t>
            </w:r>
          </w:p>
        </w:tc>
        <w:tc>
          <w:tcPr>
            <w:tcW w:w="21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2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5,758</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7,389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87"/>
              </w:rPr>
              <w:t>11,575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income</w:t>
            </w:r>
          </w:p>
        </w:tc>
        <w:tc>
          <w:tcPr>
            <w:tcW w:w="21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24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318</w:t>
            </w:r>
          </w:p>
        </w:tc>
        <w:tc>
          <w:tcPr>
            <w:tcW w:w="4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977</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656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2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2,739</w:t>
            </w:r>
          </w:p>
        </w:tc>
        <w:tc>
          <w:tcPr>
            <w:tcW w:w="240" w:type="dxa"/>
            <w:vAlign w:val="bottom"/>
          </w:tcPr>
          <w:p>
            <w:pPr>
              <w:spacing w:after="0"/>
              <w:rPr>
                <w:sz w:val="20"/>
                <w:szCs w:val="20"/>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6,076</w:t>
            </w:r>
          </w:p>
        </w:tc>
        <w:tc>
          <w:tcPr>
            <w:tcW w:w="46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7"/>
              </w:rPr>
              <w:t>8,366</w:t>
            </w:r>
          </w:p>
        </w:tc>
        <w:tc>
          <w:tcPr>
            <w:tcW w:w="100" w:type="dxa"/>
            <w:vAlign w:val="bottom"/>
          </w:tcPr>
          <w:p>
            <w:pPr>
              <w:spacing w:after="0"/>
              <w:rPr>
                <w:sz w:val="20"/>
                <w:szCs w:val="20"/>
                <w:color w:val="auto"/>
              </w:rPr>
            </w:pPr>
          </w:p>
        </w:tc>
        <w:tc>
          <w:tcPr>
            <w:tcW w:w="5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7"/>
              </w:rPr>
              <w:t>12,231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ind w:left="520"/>
              <w:spacing w:after="0"/>
              <w:rPr>
                <w:sz w:val="20"/>
                <w:szCs w:val="20"/>
                <w:color w:val="auto"/>
              </w:rPr>
            </w:pPr>
            <w:r>
              <w:rPr>
                <w:rFonts w:ascii="Arial" w:cs="Arial" w:eastAsia="Arial" w:hAnsi="Arial"/>
                <w:sz w:val="18"/>
                <w:szCs w:val="18"/>
                <w:color w:val="auto"/>
              </w:rPr>
              <w:t>Intersegment sales are not material.</w:t>
            </w:r>
          </w:p>
        </w:tc>
        <w:tc>
          <w:tcPr>
            <w:tcW w:w="2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4260" w:type="dxa"/>
            <w:vAlign w:val="bottom"/>
            <w:vMerge w:val="continue"/>
          </w:tcPr>
          <w:p>
            <w:pPr>
              <w:spacing w:after="0"/>
              <w:rPr>
                <w:sz w:val="24"/>
                <w:szCs w:val="24"/>
                <w:color w:val="auto"/>
              </w:rPr>
            </w:pPr>
          </w:p>
        </w:tc>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260" w:type="dxa"/>
            <w:vAlign w:val="bottom"/>
          </w:tcPr>
          <w:p>
            <w:pPr>
              <w:spacing w:after="0"/>
              <w:rPr>
                <w:sz w:val="20"/>
                <w:szCs w:val="20"/>
                <w:color w:val="auto"/>
              </w:rPr>
            </w:pPr>
            <w:r>
              <w:rPr>
                <w:rFonts w:ascii="Arial" w:cs="Arial" w:eastAsia="Arial" w:hAnsi="Arial"/>
                <w:sz w:val="18"/>
                <w:szCs w:val="18"/>
                <w:b w:val="1"/>
                <w:bCs w:val="1"/>
                <w:color w:val="auto"/>
              </w:rPr>
              <w:t>Note 3 – Accounts receivable, net:</w:t>
            </w:r>
          </w:p>
        </w:tc>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4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5"/>
              </w:rPr>
              <w:t>June 30,</w:t>
            </w:r>
          </w:p>
        </w:tc>
        <w:tc>
          <w:tcPr>
            <w:tcW w:w="0" w:type="dxa"/>
            <w:vAlign w:val="bottom"/>
          </w:tcPr>
          <w:p>
            <w:pPr>
              <w:spacing w:after="0"/>
              <w:rPr>
                <w:sz w:val="1"/>
                <w:szCs w:val="1"/>
                <w:color w:val="auto"/>
              </w:rPr>
            </w:pPr>
          </w:p>
        </w:tc>
      </w:tr>
      <w:tr>
        <w:trPr>
          <w:trHeight w:val="232"/>
        </w:trPr>
        <w:tc>
          <w:tcPr>
            <w:tcW w:w="42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3"/>
          </w:tcPr>
          <w:p>
            <w:pPr>
              <w:jc w:val="center"/>
              <w:ind w:left="711"/>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center"/>
              <w:ind w:left="111"/>
              <w:spacing w:after="0"/>
              <w:rPr>
                <w:sz w:val="20"/>
                <w:szCs w:val="20"/>
                <w:color w:val="auto"/>
              </w:rPr>
            </w:pPr>
            <w:r>
              <w:rPr>
                <w:rFonts w:ascii="Arial" w:cs="Arial" w:eastAsia="Arial" w:hAnsi="Arial"/>
                <w:sz w:val="18"/>
                <w:szCs w:val="18"/>
                <w:b w:val="1"/>
                <w:bCs w:val="1"/>
                <w:color w:val="auto"/>
                <w:w w:val="89"/>
              </w:rPr>
              <w:t>2021</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2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7"/>
          </w:tcPr>
          <w:p>
            <w:pPr>
              <w:jc w:val="right"/>
              <w:ind w:right="440"/>
              <w:spacing w:after="0"/>
              <w:rPr>
                <w:sz w:val="20"/>
                <w:szCs w:val="20"/>
                <w:color w:val="auto"/>
              </w:rPr>
            </w:pPr>
            <w:r>
              <w:rPr>
                <w:rFonts w:ascii="Arial" w:cs="Arial" w:eastAsia="Arial" w:hAnsi="Arial"/>
                <w:sz w:val="18"/>
                <w:szCs w:val="18"/>
                <w:b w:val="1"/>
                <w:bCs w:val="1"/>
                <w:color w:val="auto"/>
                <w:w w:val="93"/>
              </w:rPr>
              <w:t>(In thousands)</w:t>
            </w: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2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218"/>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8,797</w:t>
            </w:r>
          </w:p>
        </w:tc>
        <w:tc>
          <w:tcPr>
            <w:tcW w:w="48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3"/>
              </w:rPr>
              <w:t>13,731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2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2,004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2,981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ind w:left="260"/>
              <w:spacing w:after="0"/>
              <w:rPr>
                <w:sz w:val="20"/>
                <w:szCs w:val="20"/>
                <w:color w:val="auto"/>
              </w:rPr>
            </w:pPr>
            <w:r>
              <w:rPr>
                <w:rFonts w:ascii="Arial" w:cs="Arial" w:eastAsia="Arial" w:hAnsi="Arial"/>
                <w:sz w:val="18"/>
                <w:szCs w:val="18"/>
                <w:color w:val="auto"/>
              </w:rPr>
              <w:t>Allowance for doubtful accounts</w:t>
            </w: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131"/>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(70)</w:t>
            </w:r>
          </w:p>
        </w:tc>
        <w:tc>
          <w:tcPr>
            <w:tcW w:w="0" w:type="dxa"/>
            <w:vAlign w:val="bottom"/>
          </w:tcPr>
          <w:p>
            <w:pPr>
              <w:spacing w:after="0"/>
              <w:rPr>
                <w:sz w:val="1"/>
                <w:szCs w:val="1"/>
                <w:color w:val="auto"/>
              </w:rPr>
            </w:pPr>
          </w:p>
        </w:tc>
      </w:tr>
      <w:tr>
        <w:trPr>
          <w:trHeight w:val="221"/>
        </w:trPr>
        <w:tc>
          <w:tcPr>
            <w:tcW w:w="426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accounts receivable, net</w:t>
            </w:r>
          </w:p>
        </w:tc>
        <w:tc>
          <w:tcPr>
            <w:tcW w:w="21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18"/>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7"/>
              </w:rPr>
              <w:t>10,731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3"/>
              </w:rPr>
              <w:t>16,642</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b w:val="1"/>
                <w:bCs w:val="1"/>
                <w:color w:val="auto"/>
              </w:rPr>
              <w:t>Note 4 – Inventories, net:</w:t>
            </w:r>
          </w:p>
        </w:tc>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260" w:type="dxa"/>
            <w:vAlign w:val="bottom"/>
            <w:vMerge w:val="continue"/>
          </w:tcPr>
          <w:p>
            <w:pPr>
              <w:spacing w:after="0"/>
              <w:rPr>
                <w:sz w:val="24"/>
                <w:szCs w:val="24"/>
                <w:color w:val="auto"/>
              </w:rPr>
            </w:pPr>
          </w:p>
        </w:tc>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4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5"/>
              </w:rPr>
              <w:t>June 30,</w:t>
            </w:r>
          </w:p>
        </w:tc>
        <w:tc>
          <w:tcPr>
            <w:tcW w:w="0" w:type="dxa"/>
            <w:vAlign w:val="bottom"/>
          </w:tcPr>
          <w:p>
            <w:pPr>
              <w:spacing w:after="0"/>
              <w:rPr>
                <w:sz w:val="1"/>
                <w:szCs w:val="1"/>
                <w:color w:val="auto"/>
              </w:rPr>
            </w:pPr>
          </w:p>
        </w:tc>
      </w:tr>
      <w:tr>
        <w:trPr>
          <w:trHeight w:val="232"/>
        </w:trPr>
        <w:tc>
          <w:tcPr>
            <w:tcW w:w="42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3"/>
          </w:tcPr>
          <w:p>
            <w:pPr>
              <w:jc w:val="center"/>
              <w:ind w:left="711"/>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center"/>
              <w:ind w:left="111"/>
              <w:spacing w:after="0"/>
              <w:rPr>
                <w:sz w:val="20"/>
                <w:szCs w:val="20"/>
                <w:color w:val="auto"/>
              </w:rPr>
            </w:pPr>
            <w:r>
              <w:rPr>
                <w:rFonts w:ascii="Arial" w:cs="Arial" w:eastAsia="Arial" w:hAnsi="Arial"/>
                <w:sz w:val="18"/>
                <w:szCs w:val="18"/>
                <w:b w:val="1"/>
                <w:bCs w:val="1"/>
                <w:color w:val="auto"/>
                <w:w w:val="89"/>
              </w:rPr>
              <w:t>2021</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2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7"/>
          </w:tcPr>
          <w:p>
            <w:pPr>
              <w:jc w:val="right"/>
              <w:ind w:right="440"/>
              <w:spacing w:after="0"/>
              <w:rPr>
                <w:sz w:val="20"/>
                <w:szCs w:val="20"/>
                <w:color w:val="auto"/>
              </w:rPr>
            </w:pPr>
            <w:r>
              <w:rPr>
                <w:rFonts w:ascii="Arial" w:cs="Arial" w:eastAsia="Arial" w:hAnsi="Arial"/>
                <w:sz w:val="18"/>
                <w:szCs w:val="18"/>
                <w:b w:val="1"/>
                <w:bCs w:val="1"/>
                <w:color w:val="auto"/>
                <w:w w:val="93"/>
              </w:rPr>
              <w:t>(In thousands)</w:t>
            </w: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218"/>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2,318</w:t>
            </w:r>
          </w:p>
        </w:tc>
        <w:tc>
          <w:tcPr>
            <w:tcW w:w="48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3,470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2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902</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940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raw materials</w:t>
            </w:r>
          </w:p>
        </w:tc>
        <w:tc>
          <w:tcPr>
            <w:tcW w:w="21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3,220</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4,410</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Work-in-process:</w:t>
            </w:r>
          </w:p>
        </w:tc>
        <w:tc>
          <w:tcPr>
            <w:tcW w:w="2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9,214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9,282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2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2,454</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3,122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work-in-process</w:t>
            </w:r>
          </w:p>
        </w:tc>
        <w:tc>
          <w:tcPr>
            <w:tcW w:w="21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11,668</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12,404</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2,235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1,908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2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1,214</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1,226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finished goods</w:t>
            </w:r>
          </w:p>
        </w:tc>
        <w:tc>
          <w:tcPr>
            <w:tcW w:w="21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3,449</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3,134</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inventories, net</w:t>
            </w:r>
          </w:p>
        </w:tc>
        <w:tc>
          <w:tcPr>
            <w:tcW w:w="2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18"/>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7"/>
              </w:rPr>
              <w:t>18,337</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3"/>
              </w:rPr>
              <w:t>19,948</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160" w:type="dxa"/>
            <w:vAlign w:val="bottom"/>
            <w:vMerge w:val="restart"/>
          </w:tcPr>
          <w:p>
            <w:pPr>
              <w:jc w:val="right"/>
              <w:ind w:right="551"/>
              <w:spacing w:after="0"/>
              <w:rPr>
                <w:sz w:val="20"/>
                <w:szCs w:val="20"/>
                <w:color w:val="auto"/>
              </w:rPr>
            </w:pPr>
            <w:r>
              <w:rPr>
                <w:rFonts w:ascii="Arial" w:cs="Arial" w:eastAsia="Arial" w:hAnsi="Arial"/>
                <w:sz w:val="18"/>
                <w:szCs w:val="18"/>
                <w:color w:val="auto"/>
              </w:rPr>
              <w:t>- 8 -</w:t>
            </w: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426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6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1"/>
        </w:trPr>
        <w:tc>
          <w:tcPr>
            <w:tcW w:w="5960" w:type="dxa"/>
            <w:vAlign w:val="bottom"/>
          </w:tcPr>
          <w:p>
            <w:pPr>
              <w:spacing w:after="0"/>
              <w:rPr>
                <w:sz w:val="20"/>
                <w:szCs w:val="20"/>
                <w:color w:val="auto"/>
              </w:rPr>
            </w:pPr>
            <w:r>
              <w:rPr>
                <w:rFonts w:ascii="Arial" w:cs="Arial" w:eastAsia="Arial" w:hAnsi="Arial"/>
                <w:sz w:val="18"/>
                <w:szCs w:val="18"/>
                <w:b w:val="1"/>
                <w:bCs w:val="1"/>
                <w:color w:val="auto"/>
              </w:rPr>
              <w:t>Note 5 – Accounts payable and accrued liabilities:</w:t>
            </w: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8"/>
        </w:trPr>
        <w:tc>
          <w:tcPr>
            <w:tcW w:w="59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24"/>
                <w:szCs w:val="24"/>
                <w:color w:val="auto"/>
              </w:rPr>
            </w:pPr>
          </w:p>
        </w:tc>
        <w:tc>
          <w:tcPr>
            <w:tcW w:w="126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r>
      <w:tr>
        <w:trPr>
          <w:trHeight w:val="232"/>
        </w:trPr>
        <w:tc>
          <w:tcPr>
            <w:tcW w:w="59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r>
      <w:tr>
        <w:trPr>
          <w:trHeight w:val="221"/>
        </w:trPr>
        <w:tc>
          <w:tcPr>
            <w:tcW w:w="59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gridSpan w:val="4"/>
          </w:tcPr>
          <w:p>
            <w:pPr>
              <w:jc w:val="right"/>
              <w:ind w:right="851"/>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r>
      <w:tr>
        <w:trPr>
          <w:trHeight w:val="227"/>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596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1,859</w:t>
            </w:r>
          </w:p>
        </w:tc>
        <w:tc>
          <w:tcPr>
            <w:tcW w:w="28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2,645</w:t>
            </w:r>
          </w:p>
        </w:tc>
        <w:tc>
          <w:tcPr>
            <w:tcW w:w="120" w:type="dxa"/>
            <w:vAlign w:val="bottom"/>
          </w:tcPr>
          <w:p>
            <w:pPr>
              <w:spacing w:after="0"/>
              <w:rPr>
                <w:sz w:val="19"/>
                <w:szCs w:val="19"/>
                <w:color w:val="auto"/>
              </w:rPr>
            </w:pPr>
          </w:p>
        </w:tc>
      </w:tr>
      <w:tr>
        <w:trPr>
          <w:trHeight w:val="227"/>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Marine Components</w:t>
            </w:r>
          </w:p>
        </w:tc>
        <w:tc>
          <w:tcPr>
            <w:tcW w:w="2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1,109</w:t>
            </w:r>
          </w:p>
        </w:tc>
        <w:tc>
          <w:tcPr>
            <w:tcW w:w="120" w:type="dxa"/>
            <w:vAlign w:val="bottom"/>
            <w:shd w:val="clear" w:color="auto" w:fill="CFF0FC"/>
          </w:tcPr>
          <w:p>
            <w:pPr>
              <w:spacing w:after="0"/>
              <w:rPr>
                <w:sz w:val="19"/>
                <w:szCs w:val="19"/>
                <w:color w:val="auto"/>
              </w:rPr>
            </w:pPr>
          </w:p>
        </w:tc>
      </w:tr>
      <w:tr>
        <w:trPr>
          <w:trHeight w:val="227"/>
        </w:trPr>
        <w:tc>
          <w:tcPr>
            <w:tcW w:w="5960" w:type="dxa"/>
            <w:vAlign w:val="bottom"/>
          </w:tcPr>
          <w:p>
            <w:pPr>
              <w:spacing w:after="0"/>
              <w:rPr>
                <w:sz w:val="20"/>
                <w:szCs w:val="20"/>
                <w:color w:val="auto"/>
              </w:rPr>
            </w:pPr>
            <w:r>
              <w:rPr>
                <w:rFonts w:ascii="Arial" w:cs="Arial" w:eastAsia="Arial" w:hAnsi="Arial"/>
                <w:sz w:val="18"/>
                <w:szCs w:val="18"/>
                <w:color w:val="auto"/>
              </w:rPr>
              <w:t>Accrued liabilities:</w:t>
            </w: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8"/>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Employee benefits</w:t>
            </w:r>
          </w:p>
        </w:tc>
        <w:tc>
          <w:tcPr>
            <w:tcW w:w="2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6,806</w:t>
            </w:r>
          </w:p>
        </w:tc>
        <w:tc>
          <w:tcPr>
            <w:tcW w:w="120" w:type="dxa"/>
            <w:vAlign w:val="bottom"/>
            <w:shd w:val="clear" w:color="auto" w:fill="CFF0FC"/>
          </w:tcPr>
          <w:p>
            <w:pPr>
              <w:spacing w:after="0"/>
              <w:rPr>
                <w:sz w:val="19"/>
                <w:szCs w:val="19"/>
                <w:color w:val="auto"/>
              </w:rPr>
            </w:pPr>
          </w:p>
        </w:tc>
      </w:tr>
      <w:tr>
        <w:trPr>
          <w:trHeight w:val="227"/>
        </w:trPr>
        <w:tc>
          <w:tcPr>
            <w:tcW w:w="5960" w:type="dxa"/>
            <w:vAlign w:val="bottom"/>
          </w:tcPr>
          <w:p>
            <w:pPr>
              <w:ind w:left="500"/>
              <w:spacing w:after="0"/>
              <w:rPr>
                <w:sz w:val="20"/>
                <w:szCs w:val="20"/>
                <w:color w:val="auto"/>
              </w:rPr>
            </w:pPr>
            <w:r>
              <w:rPr>
                <w:rFonts w:ascii="Arial" w:cs="Arial" w:eastAsia="Arial" w:hAnsi="Arial"/>
                <w:sz w:val="18"/>
                <w:szCs w:val="18"/>
                <w:color w:val="auto"/>
              </w:rPr>
              <w:t>Taxes other than on income</w:t>
            </w: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406</w:t>
            </w:r>
          </w:p>
        </w:tc>
        <w:tc>
          <w:tcPr>
            <w:tcW w:w="120" w:type="dxa"/>
            <w:vAlign w:val="bottom"/>
          </w:tcPr>
          <w:p>
            <w:pPr>
              <w:spacing w:after="0"/>
              <w:rPr>
                <w:sz w:val="19"/>
                <w:szCs w:val="19"/>
                <w:color w:val="auto"/>
              </w:rPr>
            </w:pPr>
          </w:p>
        </w:tc>
      </w:tr>
      <w:tr>
        <w:trPr>
          <w:trHeight w:val="227"/>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Customer tooling</w:t>
            </w:r>
          </w:p>
        </w:tc>
        <w:tc>
          <w:tcPr>
            <w:tcW w:w="2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266</w:t>
            </w:r>
          </w:p>
        </w:tc>
        <w:tc>
          <w:tcPr>
            <w:tcW w:w="120" w:type="dxa"/>
            <w:vAlign w:val="bottom"/>
            <w:shd w:val="clear" w:color="auto" w:fill="CFF0FC"/>
          </w:tcPr>
          <w:p>
            <w:pPr>
              <w:spacing w:after="0"/>
              <w:rPr>
                <w:sz w:val="19"/>
                <w:szCs w:val="19"/>
                <w:color w:val="auto"/>
              </w:rPr>
            </w:pPr>
          </w:p>
        </w:tc>
      </w:tr>
      <w:tr>
        <w:trPr>
          <w:trHeight w:val="227"/>
        </w:trPr>
        <w:tc>
          <w:tcPr>
            <w:tcW w:w="59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w:t>
            </w:r>
          </w:p>
        </w:tc>
        <w:tc>
          <w:tcPr>
            <w:tcW w:w="2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642</w:t>
            </w:r>
          </w:p>
        </w:tc>
        <w:tc>
          <w:tcPr>
            <w:tcW w:w="120" w:type="dxa"/>
            <w:vAlign w:val="bottom"/>
            <w:tcBorders>
              <w:bottom w:val="single" w:sz="8" w:color="CFF0FC"/>
            </w:tcBorders>
          </w:tcPr>
          <w:p>
            <w:pPr>
              <w:spacing w:after="0"/>
              <w:rPr>
                <w:sz w:val="19"/>
                <w:szCs w:val="19"/>
                <w:color w:val="auto"/>
              </w:rPr>
            </w:pPr>
          </w:p>
        </w:tc>
      </w:tr>
      <w:tr>
        <w:trPr>
          <w:trHeight w:val="221"/>
        </w:trPr>
        <w:tc>
          <w:tcPr>
            <w:tcW w:w="59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accounts payable and accrued liabilities</w:t>
            </w:r>
          </w:p>
        </w:tc>
        <w:tc>
          <w:tcPr>
            <w:tcW w:w="2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12,198</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11,874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860" w:type="dxa"/>
            <w:vAlign w:val="bottom"/>
          </w:tcPr>
          <w:p>
            <w:pPr>
              <w:spacing w:after="0"/>
              <w:rPr>
                <w:sz w:val="20"/>
                <w:szCs w:val="20"/>
                <w:color w:val="auto"/>
              </w:rPr>
            </w:pPr>
            <w:r>
              <w:rPr>
                <w:rFonts w:ascii="Arial" w:cs="Arial" w:eastAsia="Arial" w:hAnsi="Arial"/>
                <w:sz w:val="18"/>
                <w:szCs w:val="18"/>
                <w:b w:val="1"/>
                <w:bCs w:val="1"/>
                <w:color w:val="auto"/>
              </w:rPr>
              <w:t>Note 6 – Provision for income taxes:</w:t>
            </w: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5860" w:type="dxa"/>
            <w:vAlign w:val="bottom"/>
          </w:tcPr>
          <w:p>
            <w:pPr>
              <w:spacing w:after="0"/>
              <w:rPr>
                <w:sz w:val="24"/>
                <w:szCs w:val="24"/>
                <w:color w:val="auto"/>
              </w:rPr>
            </w:pPr>
          </w:p>
        </w:tc>
        <w:tc>
          <w:tcPr>
            <w:tcW w:w="2520" w:type="dxa"/>
            <w:vAlign w:val="bottom"/>
            <w:gridSpan w:val="7"/>
          </w:tcPr>
          <w:p>
            <w:pPr>
              <w:jc w:val="right"/>
              <w:ind w:right="60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2"/>
        </w:trPr>
        <w:tc>
          <w:tcPr>
            <w:tcW w:w="58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8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w w:val="94"/>
              </w:rPr>
              <w:t>2021</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860" w:type="dxa"/>
            <w:vAlign w:val="bottom"/>
          </w:tcPr>
          <w:p>
            <w:pPr>
              <w:spacing w:after="0"/>
              <w:rPr>
                <w:sz w:val="20"/>
                <w:szCs w:val="20"/>
                <w:color w:val="auto"/>
              </w:rPr>
            </w:pPr>
            <w:r>
              <w:rPr>
                <w:rFonts w:ascii="Arial" w:cs="Arial" w:eastAsia="Arial" w:hAnsi="Arial"/>
                <w:sz w:val="18"/>
                <w:szCs w:val="18"/>
                <w:color w:val="auto"/>
              </w:rPr>
              <w:t>Expected tax expense, at the U.S. federal statutory</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vMerge w:val="restart"/>
          </w:tcPr>
          <w:p>
            <w:pPr>
              <w:jc w:val="right"/>
              <w:ind w:right="188"/>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1,276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2,569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860" w:type="dxa"/>
            <w:vAlign w:val="bottom"/>
          </w:tcPr>
          <w:p>
            <w:pPr>
              <w:ind w:left="140"/>
              <w:spacing w:after="0"/>
              <w:rPr>
                <w:sz w:val="20"/>
                <w:szCs w:val="20"/>
                <w:color w:val="auto"/>
              </w:rPr>
            </w:pPr>
            <w:r>
              <w:rPr>
                <w:rFonts w:ascii="Arial" w:cs="Arial" w:eastAsia="Arial" w:hAnsi="Arial"/>
                <w:sz w:val="18"/>
                <w:szCs w:val="18"/>
                <w:color w:val="auto"/>
              </w:rPr>
              <w:t>income tax rate of 21%</w:t>
            </w:r>
          </w:p>
        </w:tc>
        <w:tc>
          <w:tcPr>
            <w:tcW w:w="620" w:type="dxa"/>
            <w:vAlign w:val="bottom"/>
          </w:tcPr>
          <w:p>
            <w:pPr>
              <w:jc w:val="right"/>
              <w:ind w:right="459"/>
              <w:spacing w:after="0"/>
              <w:rPr>
                <w:sz w:val="20"/>
                <w:szCs w:val="20"/>
                <w:color w:val="auto"/>
              </w:rPr>
            </w:pPr>
            <w:r>
              <w:rPr>
                <w:rFonts w:ascii="Arial" w:cs="Arial" w:eastAsia="Arial" w:hAnsi="Arial"/>
                <w:sz w:val="14"/>
                <w:szCs w:val="14"/>
                <w:color w:val="auto"/>
                <w:w w:val="76"/>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575</w:t>
            </w:r>
          </w:p>
        </w:tc>
        <w:tc>
          <w:tcPr>
            <w:tcW w:w="160" w:type="dxa"/>
            <w:vAlign w:val="bottom"/>
          </w:tcPr>
          <w:p>
            <w:pPr>
              <w:spacing w:after="0"/>
              <w:rPr>
                <w:sz w:val="19"/>
                <w:szCs w:val="19"/>
                <w:color w:val="auto"/>
              </w:rPr>
            </w:pPr>
          </w:p>
        </w:tc>
        <w:tc>
          <w:tcPr>
            <w:tcW w:w="44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1,757</w:t>
            </w:r>
          </w:p>
        </w:tc>
        <w:tc>
          <w:tcPr>
            <w:tcW w:w="26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State income taxes</w:t>
            </w: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60" w:type="dxa"/>
            <w:vAlign w:val="bottom"/>
          </w:tcPr>
          <w:p>
            <w:pPr>
              <w:spacing w:after="0"/>
              <w:rPr>
                <w:sz w:val="20"/>
                <w:szCs w:val="20"/>
                <w:color w:val="auto"/>
              </w:rPr>
            </w:pPr>
            <w:r>
              <w:rPr>
                <w:rFonts w:ascii="Arial" w:cs="Arial" w:eastAsia="Arial" w:hAnsi="Arial"/>
                <w:sz w:val="18"/>
                <w:szCs w:val="18"/>
                <w:color w:val="auto"/>
              </w:rPr>
              <w:t>FDII benefit</w:t>
            </w:r>
          </w:p>
        </w:tc>
        <w:tc>
          <w:tcPr>
            <w:tcW w:w="62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27"/>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Other, net</w:t>
            </w: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(3)</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21"/>
        </w:trPr>
        <w:tc>
          <w:tcPr>
            <w:tcW w:w="5860" w:type="dxa"/>
            <w:vAlign w:val="bottom"/>
          </w:tcPr>
          <w:p>
            <w:pPr>
              <w:ind w:left="260"/>
              <w:spacing w:after="0"/>
              <w:rPr>
                <w:sz w:val="20"/>
                <w:szCs w:val="20"/>
                <w:color w:val="auto"/>
              </w:rPr>
            </w:pPr>
            <w:r>
              <w:rPr>
                <w:rFonts w:ascii="Arial" w:cs="Arial" w:eastAsia="Arial" w:hAnsi="Arial"/>
                <w:sz w:val="18"/>
                <w:szCs w:val="18"/>
                <w:color w:val="auto"/>
              </w:rPr>
              <w:t>Total provision for income taxes</w:t>
            </w:r>
          </w:p>
        </w:tc>
        <w:tc>
          <w:tcPr>
            <w:tcW w:w="6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674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2,030</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118"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Our board of directors has previously authorized the repurchase of our Class A common stock in open market transactions, including block purchases, or in privately-negotiated transactions at unspecified prices and over an unspecified period of time. We may repurchase our common stock from time to time as market conditions permit. The stock repurchase program does not include specific price targets or timetables and may be suspended at any time. Depending on market conditions, we may terminate the program prior to its completion. We will use cash on hand to acquire the shares. Repurchased shares will be added to our treasury and cancelled.</w:t>
      </w:r>
    </w:p>
    <w:p>
      <w:pPr>
        <w:spacing w:after="0" w:line="193"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During the first quarter of 2021, we purchased 50,000 shares of our Class A common stock in a market transaction for approximately $755,000. We cancelled these treasury shares and allocated their cost to common stock at par value and additional paid-in capital. At June 30, 2021, 627,547 shares were available for purchase under prior repurchase authorizations.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Financial instruments:</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financial instruments that are not carried at fair value but which require fair value disclosure: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center"/>
              <w:ind w:left="571"/>
              <w:spacing w:after="0"/>
              <w:rPr>
                <w:sz w:val="20"/>
                <w:szCs w:val="20"/>
                <w:color w:val="auto"/>
              </w:rPr>
            </w:pPr>
            <w:r>
              <w:rPr>
                <w:rFonts w:ascii="Arial" w:cs="Arial" w:eastAsia="Arial" w:hAnsi="Arial"/>
                <w:sz w:val="18"/>
                <w:szCs w:val="18"/>
                <w:b w:val="1"/>
                <w:bCs w:val="1"/>
                <w:color w:val="auto"/>
                <w:w w:val="88"/>
              </w:rPr>
              <w:t>December 31,</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center"/>
              <w:ind w:left="651"/>
              <w:spacing w:after="0"/>
              <w:rPr>
                <w:sz w:val="20"/>
                <w:szCs w:val="20"/>
                <w:color w:val="auto"/>
              </w:rPr>
            </w:pPr>
            <w:r>
              <w:rPr>
                <w:rFonts w:ascii="Arial" w:cs="Arial" w:eastAsia="Arial" w:hAnsi="Arial"/>
                <w:sz w:val="18"/>
                <w:szCs w:val="18"/>
                <w:b w:val="1"/>
                <w:bCs w:val="1"/>
                <w:color w:val="auto"/>
                <w:w w:val="88"/>
              </w:rPr>
              <w:t>June 30,</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2"/>
        </w:trPr>
        <w:tc>
          <w:tcPr>
            <w:tcW w:w="5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251"/>
              <w:spacing w:after="0"/>
              <w:rPr>
                <w:sz w:val="20"/>
                <w:szCs w:val="20"/>
                <w:color w:val="auto"/>
              </w:rPr>
            </w:pPr>
            <w:r>
              <w:rPr>
                <w:rFonts w:ascii="Arial" w:cs="Arial" w:eastAsia="Arial" w:hAnsi="Arial"/>
                <w:sz w:val="18"/>
                <w:szCs w:val="18"/>
                <w:b w:val="1"/>
                <w:bCs w:val="1"/>
                <w:color w:val="auto"/>
              </w:rPr>
              <w:t>2020</w:t>
            </w:r>
          </w:p>
        </w:tc>
        <w:tc>
          <w:tcPr>
            <w:tcW w:w="8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right"/>
              <w:ind w:right="171"/>
              <w:spacing w:after="0"/>
              <w:rPr>
                <w:sz w:val="20"/>
                <w:szCs w:val="20"/>
                <w:color w:val="auto"/>
              </w:rPr>
            </w:pPr>
            <w:r>
              <w:rPr>
                <w:rFonts w:ascii="Arial" w:cs="Arial" w:eastAsia="Arial" w:hAnsi="Arial"/>
                <w:sz w:val="18"/>
                <w:szCs w:val="18"/>
                <w:b w:val="1"/>
                <w:bCs w:val="1"/>
                <w:color w:val="auto"/>
              </w:rPr>
              <w:t>2021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291"/>
              <w:spacing w:after="0"/>
              <w:rPr>
                <w:sz w:val="20"/>
                <w:szCs w:val="20"/>
                <w:color w:val="auto"/>
              </w:rPr>
            </w:pPr>
            <w:r>
              <w:rPr>
                <w:rFonts w:ascii="Arial" w:cs="Arial" w:eastAsia="Arial" w:hAnsi="Arial"/>
                <w:sz w:val="18"/>
                <w:szCs w:val="18"/>
                <w:b w:val="1"/>
                <w:bCs w:val="1"/>
                <w:color w:val="auto"/>
              </w:rPr>
              <w:t>Carrying</w:t>
            </w:r>
          </w:p>
        </w:tc>
        <w:tc>
          <w:tcPr>
            <w:tcW w:w="540" w:type="dxa"/>
            <w:vAlign w:val="bottom"/>
          </w:tcPr>
          <w:p>
            <w:pPr>
              <w:spacing w:after="0"/>
              <w:rPr>
                <w:sz w:val="18"/>
                <w:szCs w:val="18"/>
                <w:color w:val="auto"/>
              </w:rPr>
            </w:pPr>
          </w:p>
        </w:tc>
        <w:tc>
          <w:tcPr>
            <w:tcW w:w="840" w:type="dxa"/>
            <w:vAlign w:val="bottom"/>
          </w:tcPr>
          <w:p>
            <w:pPr>
              <w:jc w:val="center"/>
              <w:ind w:right="311"/>
              <w:spacing w:after="0"/>
              <w:rPr>
                <w:sz w:val="20"/>
                <w:szCs w:val="20"/>
                <w:color w:val="auto"/>
              </w:rPr>
            </w:pPr>
            <w:r>
              <w:rPr>
                <w:rFonts w:ascii="Arial" w:cs="Arial" w:eastAsia="Arial" w:hAnsi="Arial"/>
                <w:sz w:val="18"/>
                <w:szCs w:val="18"/>
                <w:b w:val="1"/>
                <w:bCs w:val="1"/>
                <w:color w:val="auto"/>
                <w:w w:val="96"/>
              </w:rPr>
              <w:t>Fair</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11"/>
              <w:spacing w:after="0"/>
              <w:rPr>
                <w:sz w:val="20"/>
                <w:szCs w:val="20"/>
                <w:color w:val="auto"/>
              </w:rPr>
            </w:pPr>
            <w:r>
              <w:rPr>
                <w:rFonts w:ascii="Arial" w:cs="Arial" w:eastAsia="Arial" w:hAnsi="Arial"/>
                <w:sz w:val="18"/>
                <w:szCs w:val="18"/>
                <w:b w:val="1"/>
                <w:bCs w:val="1"/>
                <w:color w:val="auto"/>
              </w:rPr>
              <w:t>Carrying</w:t>
            </w:r>
          </w:p>
        </w:tc>
        <w:tc>
          <w:tcPr>
            <w:tcW w:w="440" w:type="dxa"/>
            <w:vAlign w:val="bottom"/>
          </w:tcPr>
          <w:p>
            <w:pPr>
              <w:spacing w:after="0"/>
              <w:rPr>
                <w:sz w:val="18"/>
                <w:szCs w:val="18"/>
                <w:color w:val="auto"/>
              </w:rPr>
            </w:pPr>
          </w:p>
        </w:tc>
        <w:tc>
          <w:tcPr>
            <w:tcW w:w="940" w:type="dxa"/>
            <w:vAlign w:val="bottom"/>
          </w:tcPr>
          <w:p>
            <w:pPr>
              <w:jc w:val="center"/>
              <w:ind w:right="231"/>
              <w:spacing w:after="0"/>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8"/>
                <w:szCs w:val="18"/>
                <w:color w:val="auto"/>
              </w:rPr>
            </w:pPr>
          </w:p>
        </w:tc>
      </w:tr>
      <w:tr>
        <w:trPr>
          <w:trHeight w:val="232"/>
        </w:trPr>
        <w:tc>
          <w:tcPr>
            <w:tcW w:w="5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351"/>
              <w:spacing w:after="0"/>
              <w:rPr>
                <w:sz w:val="20"/>
                <w:szCs w:val="20"/>
                <w:color w:val="auto"/>
              </w:rPr>
            </w:pPr>
            <w:r>
              <w:rPr>
                <w:rFonts w:ascii="Arial" w:cs="Arial" w:eastAsia="Arial" w:hAnsi="Arial"/>
                <w:sz w:val="18"/>
                <w:szCs w:val="18"/>
                <w:b w:val="1"/>
                <w:bCs w:val="1"/>
                <w:color w:val="auto"/>
              </w:rPr>
              <w:t>amount</w:t>
            </w:r>
          </w:p>
        </w:tc>
        <w:tc>
          <w:tcPr>
            <w:tcW w:w="540" w:type="dxa"/>
            <w:vAlign w:val="bottom"/>
          </w:tcPr>
          <w:p>
            <w:pPr>
              <w:spacing w:after="0"/>
              <w:rPr>
                <w:sz w:val="20"/>
                <w:szCs w:val="20"/>
                <w:color w:val="auto"/>
              </w:rPr>
            </w:pPr>
          </w:p>
        </w:tc>
        <w:tc>
          <w:tcPr>
            <w:tcW w:w="110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6"/>
              </w:rPr>
              <w:t>value</w:t>
            </w:r>
          </w:p>
        </w:tc>
        <w:tc>
          <w:tcPr>
            <w:tcW w:w="180" w:type="dxa"/>
            <w:vAlign w:val="bottom"/>
          </w:tcPr>
          <w:p>
            <w:pPr>
              <w:spacing w:after="0"/>
              <w:rPr>
                <w:sz w:val="20"/>
                <w:szCs w:val="20"/>
                <w:color w:val="auto"/>
              </w:rPr>
            </w:pPr>
          </w:p>
        </w:tc>
        <w:tc>
          <w:tcPr>
            <w:tcW w:w="1180" w:type="dxa"/>
            <w:vAlign w:val="bottom"/>
          </w:tcPr>
          <w:p>
            <w:pPr>
              <w:jc w:val="right"/>
              <w:ind w:right="371"/>
              <w:spacing w:after="0"/>
              <w:rPr>
                <w:sz w:val="20"/>
                <w:szCs w:val="20"/>
                <w:color w:val="auto"/>
              </w:rPr>
            </w:pPr>
            <w:r>
              <w:rPr>
                <w:rFonts w:ascii="Arial" w:cs="Arial" w:eastAsia="Arial" w:hAnsi="Arial"/>
                <w:sz w:val="18"/>
                <w:szCs w:val="18"/>
                <w:b w:val="1"/>
                <w:bCs w:val="1"/>
                <w:color w:val="auto"/>
              </w:rPr>
              <w:t>amount</w:t>
            </w:r>
          </w:p>
        </w:tc>
        <w:tc>
          <w:tcPr>
            <w:tcW w:w="440" w:type="dxa"/>
            <w:vAlign w:val="bottom"/>
          </w:tcPr>
          <w:p>
            <w:pPr>
              <w:spacing w:after="0"/>
              <w:rPr>
                <w:sz w:val="20"/>
                <w:szCs w:val="20"/>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value</w:t>
            </w:r>
          </w:p>
        </w:tc>
      </w:tr>
      <w:tr>
        <w:trPr>
          <w:trHeight w:val="221"/>
        </w:trPr>
        <w:tc>
          <w:tcPr>
            <w:tcW w:w="5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60" w:type="dxa"/>
            <w:vAlign w:val="bottom"/>
            <w:tcBorders>
              <w:top w:val="single" w:sz="8" w:color="auto"/>
            </w:tcBorders>
            <w:gridSpan w:val="4"/>
          </w:tcPr>
          <w:p>
            <w:pPr>
              <w:jc w:val="right"/>
              <w:ind w:right="851"/>
              <w:spacing w:after="0"/>
              <w:rPr>
                <w:sz w:val="20"/>
                <w:szCs w:val="20"/>
                <w:color w:val="auto"/>
              </w:rPr>
            </w:pPr>
            <w:r>
              <w:rPr>
                <w:rFonts w:ascii="Arial" w:cs="Arial" w:eastAsia="Arial" w:hAnsi="Arial"/>
                <w:sz w:val="18"/>
                <w:szCs w:val="18"/>
                <w:b w:val="1"/>
                <w:bCs w:val="1"/>
                <w:color w:val="auto"/>
              </w:rPr>
              <w:t>(In thousands)</w:t>
            </w:r>
          </w:p>
        </w:tc>
        <w:tc>
          <w:tcPr>
            <w:tcW w:w="4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70,637</w:t>
            </w:r>
          </w:p>
        </w:tc>
        <w:tc>
          <w:tcPr>
            <w:tcW w:w="540" w:type="dxa"/>
            <w:vAlign w:val="bottom"/>
            <w:shd w:val="clear" w:color="auto" w:fill="CFF0FC"/>
          </w:tcPr>
          <w:p>
            <w:pPr>
              <w:jc w:val="right"/>
              <w:ind w:right="211"/>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70,637</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70,374</w:t>
            </w:r>
          </w:p>
        </w:tc>
        <w:tc>
          <w:tcPr>
            <w:tcW w:w="440" w:type="dxa"/>
            <w:vAlign w:val="bottom"/>
            <w:shd w:val="clear" w:color="auto" w:fill="CFF0FC"/>
          </w:tcPr>
          <w:p>
            <w:pPr>
              <w:jc w:val="right"/>
              <w:ind w:right="111"/>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70,374</w:t>
            </w:r>
          </w:p>
        </w:tc>
        <w:tc>
          <w:tcPr>
            <w:tcW w:w="100" w:type="dxa"/>
            <w:vAlign w:val="bottom"/>
            <w:shd w:val="clear" w:color="auto" w:fill="CFF0FC"/>
          </w:tcPr>
          <w:p>
            <w:pPr>
              <w:spacing w:after="0"/>
              <w:rPr>
                <w:sz w:val="20"/>
                <w:szCs w:val="20"/>
                <w:color w:val="auto"/>
              </w:rPr>
            </w:pPr>
          </w:p>
        </w:tc>
      </w:tr>
      <w:tr>
        <w:trPr>
          <w:trHeight w:val="240"/>
        </w:trPr>
        <w:tc>
          <w:tcPr>
            <w:tcW w:w="54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10,731</w:t>
            </w:r>
          </w:p>
        </w:tc>
        <w:tc>
          <w:tcPr>
            <w:tcW w:w="5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10,731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16,642</w:t>
            </w: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16,642</w:t>
            </w:r>
          </w:p>
        </w:tc>
        <w:tc>
          <w:tcPr>
            <w:tcW w:w="100" w:type="dxa"/>
            <w:vAlign w:val="bottom"/>
          </w:tcPr>
          <w:p>
            <w:pPr>
              <w:spacing w:after="0"/>
              <w:rPr>
                <w:sz w:val="20"/>
                <w:szCs w:val="20"/>
                <w:color w:val="auto"/>
              </w:rPr>
            </w:pPr>
          </w:p>
        </w:tc>
      </w:tr>
      <w:tr>
        <w:trPr>
          <w:trHeight w:val="241"/>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2,632</w:t>
            </w:r>
          </w:p>
        </w:tc>
        <w:tc>
          <w:tcPr>
            <w:tcW w:w="5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2,632</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3,754</w:t>
            </w:r>
          </w:p>
        </w:tc>
        <w:tc>
          <w:tcPr>
            <w:tcW w:w="4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3,754</w:t>
            </w:r>
          </w:p>
        </w:tc>
        <w:tc>
          <w:tcPr>
            <w:tcW w:w="100" w:type="dxa"/>
            <w:vAlign w:val="bottom"/>
            <w:shd w:val="clear" w:color="auto" w:fill="CFF0FC"/>
          </w:tcPr>
          <w:p>
            <w:pPr>
              <w:spacing w:after="0"/>
              <w:rPr>
                <w:sz w:val="20"/>
                <w:szCs w:val="20"/>
                <w:color w:val="auto"/>
              </w:rPr>
            </w:pPr>
          </w:p>
        </w:tc>
      </w:tr>
    </w:tbl>
    <w:p>
      <w:pPr>
        <w:spacing w:after="0" w:line="24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Due to their near-term maturities, the carrying amounts of accounts receivable and accounts payable are considered equivalent to fair value.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9 – Related party transactions:</w:t>
      </w:r>
    </w:p>
    <w:p>
      <w:pPr>
        <w:spacing w:after="0" w:line="118" w:lineRule="exact"/>
        <w:rPr>
          <w:sz w:val="20"/>
          <w:szCs w:val="20"/>
          <w:color w:val="auto"/>
        </w:rPr>
      </w:pPr>
    </w:p>
    <w:p>
      <w:pPr>
        <w:jc w:val="both"/>
        <w:ind w:firstLine="510"/>
        <w:spacing w:after="0" w:line="267" w:lineRule="auto"/>
        <w:rPr>
          <w:sz w:val="20"/>
          <w:szCs w:val="20"/>
          <w:color w:val="auto"/>
        </w:rPr>
      </w:pPr>
      <w:r>
        <w:rPr>
          <w:rFonts w:ascii="Arial" w:cs="Arial" w:eastAsia="Arial" w:hAnsi="Arial"/>
          <w:sz w:val="17"/>
          <w:szCs w:val="17"/>
          <w:color w:val="auto"/>
        </w:rPr>
        <w:t>From time to time, we may have loans and advances outstanding between us and various related parties pursuant to term and demand notes. We generally enter into these loans and advances for cash management purposes. When we loan funds to related parties, we are generally able to earn a higher rate of return on the loan than we would earn if we invested the funds in other instruments, and when we borrow from related parties, we are generally able to pay a lower rate of interest than we would pay if we had incurred third-party indebtedness. While certain of these loans to affiliates may be of a lesser credit quality than cash equivalent instruments otherwise available to us, we believe we have considered the credit risks in the terms of the applicable loans. In this regard, we have an unsecured revolving demand promissory note with Valhi whereby we agreed to loan Valhi up to $40 million. Our loan to Valhi, as amended, bears interest at prime plus 1.00%, payable quarterly, with all principal due on demand, but in any event no earlier than December 31, 2022. Loans made to Valhi at any time under the agreement are at our discretion. At June 30, 2021, the outstanding principal balance receivable from Valhi under the promissory note was $26.0 million. Interest income (including unused commitment fees) on our loan to Valhi was $0.8 million and $0.6 million for the six months ended June 30, 2020 and 2021, respectively.</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10" w:name="page11"/>
    <w:bookmarkEnd w:id="10"/>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18"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We are a leading manufacturer of engineered components utilized in a variety of applications and industries. Through our Security Products segment we manufacture mechanical and electrical cabinet locks and other locking mechanisms used in recreational transportation, postal, office and institutional furniture, cabinetry, tool storage and healthcare applications. We also manufacture stainless steel exhaust systems, gauges, throttle controls, wake enhancement systems, trim tabs and related hardware and accessories for the recreational marine and other industries through our Marine Components segment.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8"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as amended. Statements in this Quarterly Report that are not historical facts are forward-looking in nature and represent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that the expectations reflected in such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actual future results to differ materially from those described herein are the risks and uncertainties discussed in this Quarterly Report and those described from time to time in our other filings with the SEC and include, but are not limited to, the following:</w:t>
      </w:r>
    </w:p>
    <w:p>
      <w:pPr>
        <w:spacing w:after="0" w:line="59" w:lineRule="exact"/>
        <w:rPr>
          <w:sz w:val="20"/>
          <w:szCs w:val="20"/>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demand for our products,</w:t>
      </w:r>
    </w:p>
    <w:p>
      <w:pPr>
        <w:spacing w:after="0" w:line="113" w:lineRule="exact"/>
        <w:rPr>
          <w:rFonts w:ascii="Arial" w:cs="Arial" w:eastAsia="Arial" w:hAnsi="Arial"/>
          <w:sz w:val="18"/>
          <w:szCs w:val="18"/>
          <w:color w:val="auto"/>
        </w:rPr>
      </w:pPr>
    </w:p>
    <w:p>
      <w:pPr>
        <w:ind w:left="1020" w:hanging="505"/>
        <w:spacing w:after="0" w:line="27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raw material and other operating costs (such as zinc, brass, aluminum, steel and energy costs) and our ability to pass those costs on to our customers or offset them with reductions in other operating costs,</w:t>
      </w:r>
    </w:p>
    <w:p>
      <w:pPr>
        <w:spacing w:after="0" w:line="67"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and product competition from low-cost manufacturing sources (such as China),</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pricing and production decisions,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and competitor strategies including substitute products,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associated with the development of new products and product features,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litigation,</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or defend our intellectual property rights,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difficulties in integrating future acquisitions,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Decisions to sell operating assets other than in the ordinary course of business,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matters (such as those requiring emission and discharge standards for existing and new facilities),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ultimate outcome of income tax audits, tax settlement initiatives or other tax matters, including future tax reform,</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current or future government regulations (including employee healthcare benefit related regulations),</w:t>
      </w:r>
    </w:p>
    <w:p>
      <w:pPr>
        <w:spacing w:after="0" w:line="113" w:lineRule="exact"/>
        <w:rPr>
          <w:rFonts w:ascii="Arial" w:cs="Arial" w:eastAsia="Arial" w:hAnsi="Arial"/>
          <w:sz w:val="18"/>
          <w:szCs w:val="18"/>
          <w:color w:val="auto"/>
        </w:rPr>
      </w:pPr>
    </w:p>
    <w:p>
      <w:pPr>
        <w:jc w:val="both"/>
        <w:ind w:left="1020" w:hanging="505"/>
        <w:spacing w:after="0" w:line="307"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General global economic and political conditions that disrupt or introduce instability into our supply chain, impact our customers’ level of demand or our customers’ perception regarding demand or impair our ability to operate our facilities (including changes in the level of gross domestic product in various regions of the world, natural disasters, terrorist acts, global conflicts and public health crises such as COVID-19),</w:t>
      </w:r>
    </w:p>
    <w:p>
      <w:pPr>
        <w:spacing w:after="0" w:line="42" w:lineRule="exact"/>
        <w:rPr>
          <w:rFonts w:ascii="Arial" w:cs="Arial" w:eastAsia="Arial" w:hAnsi="Arial"/>
          <w:sz w:val="16"/>
          <w:szCs w:val="16"/>
          <w:color w:val="auto"/>
        </w:rPr>
      </w:pPr>
    </w:p>
    <w:p>
      <w:pPr>
        <w:ind w:left="1020" w:hanging="505"/>
        <w:spacing w:after="0" w:line="301"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Operating interruptions (including, but not limited to labor disputes, hazardous chemical leaks, natural disasters, fires, explosions, unscheduled or unplanned downtime, transportation interruptions, cyber-attacks and public health crises such as COVID-19); and</w:t>
      </w:r>
    </w:p>
    <w:p>
      <w:pPr>
        <w:spacing w:after="0" w:line="44" w:lineRule="exact"/>
        <w:rPr>
          <w:rFonts w:ascii="Arial" w:cs="Arial" w:eastAsia="Arial" w:hAnsi="Arial"/>
          <w:sz w:val="17"/>
          <w:szCs w:val="17"/>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disruption of our business or increases in the cost of doing business resulting from terrorist activities or global conflicts.</w:t>
      </w:r>
    </w:p>
    <w:p>
      <w:pPr>
        <w:spacing w:after="0" w:line="22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Should one or more of these risks materialize or if the consequences worsen, or if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Operating Income Overview</w:t>
      </w:r>
    </w:p>
    <w:p>
      <w:pPr>
        <w:spacing w:after="0" w:line="225" w:lineRule="exact"/>
        <w:rPr>
          <w:sz w:val="20"/>
          <w:szCs w:val="20"/>
          <w:color w:val="auto"/>
        </w:rPr>
      </w:pPr>
    </w:p>
    <w:p>
      <w:pPr>
        <w:jc w:val="both"/>
        <w:ind w:firstLine="510"/>
        <w:spacing w:after="0" w:line="251" w:lineRule="auto"/>
        <w:rPr>
          <w:sz w:val="20"/>
          <w:szCs w:val="20"/>
          <w:color w:val="auto"/>
        </w:rPr>
      </w:pPr>
      <w:r>
        <w:rPr>
          <w:rFonts w:ascii="Arial" w:cs="Arial" w:eastAsia="Arial" w:hAnsi="Arial"/>
          <w:sz w:val="18"/>
          <w:szCs w:val="18"/>
          <w:color w:val="auto"/>
        </w:rPr>
        <w:t>In the second quarter of 2021 operating income increased to $5.8 million compared to $2.4 million in the second quarter of 2020. Operating income for the first six months of 2021 was $11.6 million compared to $7.4 million in the first six months of 2020. The increase in operating income in the second quarter and first six months of 2021 compared to the same periods in 2020 primarily resulted from higher sales at both of our business segments. We sustained the greatest negative operating impact from COVID-19 in the second quarter of 2020 which significantly impacts operating income comparisons across both periods. Beginning in the third quarter of 2020 and continuing through the second quarter of 2021, Marine Components sales exceeded pre-pandemic levels. Security Products sales generally improved sequentially since the third quarter of 2020, but did not recover to pre-pandemic levels until the second quarter of 2021 when sales improved in markets that had been slower to recover from the COVID-19 pandemic, particularly sales to distributors and the office furniture market.</w:t>
      </w:r>
    </w:p>
    <w:p>
      <w:pPr>
        <w:spacing w:after="0" w:line="194" w:lineRule="exact"/>
        <w:rPr>
          <w:sz w:val="20"/>
          <w:szCs w:val="20"/>
          <w:color w:val="auto"/>
        </w:rPr>
      </w:pPr>
    </w:p>
    <w:p>
      <w:pPr>
        <w:jc w:val="both"/>
        <w:ind w:firstLine="510"/>
        <w:spacing w:after="0" w:line="307" w:lineRule="auto"/>
        <w:rPr>
          <w:sz w:val="20"/>
          <w:szCs w:val="20"/>
          <w:color w:val="auto"/>
        </w:rPr>
      </w:pPr>
      <w:r>
        <w:rPr>
          <w:rFonts w:ascii="Arial" w:cs="Arial" w:eastAsia="Arial" w:hAnsi="Arial"/>
          <w:sz w:val="16"/>
          <w:szCs w:val="16"/>
          <w:color w:val="auto"/>
        </w:rPr>
        <w:t>We sell a large number of products that have a wide variation in selling price and manufacturing cost, which results in certain practical limitations on our ability to quantify the impact of changes in individual product sales quantities and selling prices on our net sales, cost of goods sold and gross profit. In addition, small variations in period-to-period net sales, cost of goods sold and gross profit can result from changes in the relative mix of our products sold.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30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gridSpan w:val="5"/>
            <w:vMerge w:val="restart"/>
          </w:tcPr>
          <w:p>
            <w:pPr>
              <w:jc w:val="center"/>
              <w:ind w:right="660"/>
              <w:spacing w:after="0"/>
              <w:rPr>
                <w:sz w:val="20"/>
                <w:szCs w:val="20"/>
                <w:color w:val="auto"/>
              </w:rPr>
            </w:pPr>
            <w:r>
              <w:rPr>
                <w:rFonts w:ascii="Arial" w:cs="Arial" w:eastAsia="Arial" w:hAnsi="Arial"/>
                <w:sz w:val="18"/>
                <w:szCs w:val="18"/>
                <w:b w:val="1"/>
                <w:bCs w:val="1"/>
                <w:color w:val="auto"/>
                <w:w w:val="88"/>
              </w:rPr>
              <w:t>Three months ended</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gridSpan w:val="5"/>
            <w:vMerge w:val="continue"/>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3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371"/>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gridSpan w:val="5"/>
          </w:tcPr>
          <w:p>
            <w:pPr>
              <w:jc w:val="center"/>
              <w:ind w:right="660"/>
              <w:spacing w:after="0"/>
              <w:rPr>
                <w:sz w:val="20"/>
                <w:szCs w:val="20"/>
                <w:color w:val="auto"/>
              </w:rPr>
            </w:pPr>
            <w:r>
              <w:rPr>
                <w:rFonts w:ascii="Arial" w:cs="Arial" w:eastAsia="Arial" w:hAnsi="Arial"/>
                <w:sz w:val="18"/>
                <w:szCs w:val="18"/>
                <w:b w:val="1"/>
                <w:bCs w:val="1"/>
                <w:color w:val="auto"/>
                <w:w w:val="88"/>
              </w:rPr>
              <w:t>(Dollars in thousands)</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440" w:type="dxa"/>
            <w:vAlign w:val="bottom"/>
            <w:gridSpan w:val="2"/>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23,800</w:t>
            </w:r>
          </w:p>
        </w:tc>
        <w:tc>
          <w:tcPr>
            <w:tcW w:w="2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36,253</w:t>
            </w:r>
          </w:p>
        </w:tc>
        <w:tc>
          <w:tcPr>
            <w:tcW w:w="2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40"/>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22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16,434</w:t>
            </w:r>
          </w:p>
        </w:tc>
        <w:tc>
          <w:tcPr>
            <w:tcW w:w="280" w:type="dxa"/>
            <w:vAlign w:val="bottom"/>
            <w:tcBorders>
              <w:bottom w:val="single" w:sz="8" w:color="CFF0FC"/>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r>
              <w:rPr>
                <w:rFonts w:ascii="Arial" w:cs="Arial" w:eastAsia="Arial" w:hAnsi="Arial"/>
                <w:sz w:val="18"/>
                <w:szCs w:val="18"/>
                <w:u w:val="single" w:color="auto"/>
                <w:color w:val="auto"/>
              </w:rPr>
              <w:t>1</w:t>
            </w:r>
          </w:p>
        </w:tc>
        <w:tc>
          <w:tcPr>
            <w:tcW w:w="36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24,947</w:t>
            </w:r>
          </w:p>
        </w:tc>
        <w:tc>
          <w:tcPr>
            <w:tcW w:w="280" w:type="dxa"/>
            <w:vAlign w:val="bottom"/>
            <w:tcBorders>
              <w:bottom w:val="single" w:sz="8" w:color="CFF0FC"/>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68.8</w:t>
            </w:r>
          </w:p>
        </w:tc>
        <w:tc>
          <w:tcPr>
            <w:tcW w:w="2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margin</w:t>
            </w:r>
          </w:p>
        </w:tc>
        <w:tc>
          <w:tcPr>
            <w:tcW w:w="2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7,366</w:t>
            </w: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11,306</w:t>
            </w:r>
          </w:p>
        </w:tc>
        <w:tc>
          <w:tcPr>
            <w:tcW w:w="2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31.2</w:t>
            </w:r>
          </w:p>
        </w:tc>
        <w:tc>
          <w:tcPr>
            <w:tcW w:w="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costs and expenses</w:t>
            </w:r>
          </w:p>
        </w:tc>
        <w:tc>
          <w:tcPr>
            <w:tcW w:w="22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4,997</w:t>
            </w:r>
          </w:p>
        </w:tc>
        <w:tc>
          <w:tcPr>
            <w:tcW w:w="280" w:type="dxa"/>
            <w:vAlign w:val="bottom"/>
            <w:tcBorders>
              <w:bottom w:val="single" w:sz="8" w:color="CFF0FC"/>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36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5,548</w:t>
            </w:r>
          </w:p>
        </w:tc>
        <w:tc>
          <w:tcPr>
            <w:tcW w:w="280" w:type="dxa"/>
            <w:vAlign w:val="bottom"/>
            <w:tcBorders>
              <w:bottom w:val="single" w:sz="8" w:color="CFF0FC"/>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w:t>
            </w:r>
          </w:p>
        </w:tc>
        <w:tc>
          <w:tcPr>
            <w:tcW w:w="2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3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2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2,369</w:t>
            </w:r>
          </w:p>
        </w:tc>
        <w:tc>
          <w:tcPr>
            <w:tcW w:w="28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5,758</w:t>
            </w:r>
          </w:p>
        </w:tc>
        <w:tc>
          <w:tcPr>
            <w:tcW w:w="28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15.9</w:t>
            </w:r>
          </w:p>
        </w:tc>
        <w:tc>
          <w:tcPr>
            <w:tcW w:w="2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4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gridSpan w:val="5"/>
          </w:tcPr>
          <w:p>
            <w:pPr>
              <w:jc w:val="center"/>
              <w:ind w:right="640"/>
              <w:spacing w:after="0"/>
              <w:rPr>
                <w:sz w:val="20"/>
                <w:szCs w:val="20"/>
                <w:color w:val="auto"/>
              </w:rPr>
            </w:pPr>
            <w:r>
              <w:rPr>
                <w:rFonts w:ascii="Arial" w:cs="Arial" w:eastAsia="Arial" w:hAnsi="Arial"/>
                <w:sz w:val="18"/>
                <w:szCs w:val="18"/>
                <w:b w:val="1"/>
                <w:bCs w:val="1"/>
                <w:color w:val="auto"/>
                <w:w w:val="86"/>
              </w:rPr>
              <w:t>Six months ended</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3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371"/>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gridSpan w:val="5"/>
          </w:tcPr>
          <w:p>
            <w:pPr>
              <w:jc w:val="center"/>
              <w:ind w:right="660"/>
              <w:spacing w:after="0"/>
              <w:rPr>
                <w:sz w:val="20"/>
                <w:szCs w:val="20"/>
                <w:color w:val="auto"/>
              </w:rPr>
            </w:pPr>
            <w:r>
              <w:rPr>
                <w:rFonts w:ascii="Arial" w:cs="Arial" w:eastAsia="Arial" w:hAnsi="Arial"/>
                <w:sz w:val="18"/>
                <w:szCs w:val="18"/>
                <w:b w:val="1"/>
                <w:bCs w:val="1"/>
                <w:color w:val="auto"/>
                <w:w w:val="88"/>
              </w:rPr>
              <w:t>(Dollars in thousands)</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300" w:type="dxa"/>
            <w:vAlign w:val="bottom"/>
          </w:tcPr>
          <w:p>
            <w:pPr>
              <w:spacing w:after="0"/>
              <w:rPr>
                <w:sz w:val="20"/>
                <w:szCs w:val="20"/>
                <w:color w:val="auto"/>
              </w:rPr>
            </w:pPr>
            <w:r>
              <w:rPr>
                <w:rFonts w:ascii="Arial" w:cs="Arial" w:eastAsia="Arial" w:hAnsi="Arial"/>
                <w:sz w:val="18"/>
                <w:szCs w:val="18"/>
                <w:color w:val="auto"/>
              </w:rPr>
              <w:t>Net sales</w:t>
            </w:r>
          </w:p>
        </w:tc>
        <w:tc>
          <w:tcPr>
            <w:tcW w:w="244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56,111</w:t>
            </w:r>
          </w:p>
        </w:tc>
        <w:tc>
          <w:tcPr>
            <w:tcW w:w="2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72,177</w:t>
            </w:r>
          </w:p>
        </w:tc>
        <w:tc>
          <w:tcPr>
            <w:tcW w:w="2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41"/>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Cost of sales</w:t>
            </w:r>
          </w:p>
        </w:tc>
        <w:tc>
          <w:tcPr>
            <w:tcW w:w="220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38,314</w:t>
            </w:r>
          </w:p>
        </w:tc>
        <w:tc>
          <w:tcPr>
            <w:tcW w:w="280" w:type="dxa"/>
            <w:vAlign w:val="bottom"/>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r>
              <w:rPr>
                <w:rFonts w:ascii="Arial" w:cs="Arial" w:eastAsia="Arial" w:hAnsi="Arial"/>
                <w:sz w:val="18"/>
                <w:szCs w:val="18"/>
                <w:u w:val="single" w:color="auto"/>
                <w:color w:val="auto"/>
              </w:rPr>
              <w:t>3</w:t>
            </w:r>
          </w:p>
        </w:tc>
        <w:tc>
          <w:tcPr>
            <w:tcW w:w="36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49,836</w:t>
            </w:r>
          </w:p>
        </w:tc>
        <w:tc>
          <w:tcPr>
            <w:tcW w:w="280" w:type="dxa"/>
            <w:vAlign w:val="bottom"/>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69.0</w:t>
            </w:r>
          </w:p>
        </w:tc>
        <w:tc>
          <w:tcPr>
            <w:tcW w:w="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300" w:type="dxa"/>
            <w:vAlign w:val="bottom"/>
          </w:tcPr>
          <w:p>
            <w:pPr>
              <w:ind w:left="260"/>
              <w:spacing w:after="0"/>
              <w:rPr>
                <w:sz w:val="20"/>
                <w:szCs w:val="20"/>
                <w:color w:val="auto"/>
              </w:rPr>
            </w:pPr>
            <w:r>
              <w:rPr>
                <w:rFonts w:ascii="Arial" w:cs="Arial" w:eastAsia="Arial" w:hAnsi="Arial"/>
                <w:sz w:val="18"/>
                <w:szCs w:val="18"/>
                <w:color w:val="auto"/>
              </w:rPr>
              <w:t>Gross margin</w:t>
            </w: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17,797</w:t>
            </w: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31.7</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22,341</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31.0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Operating costs and expenses</w:t>
            </w:r>
          </w:p>
        </w:tc>
        <w:tc>
          <w:tcPr>
            <w:tcW w:w="220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10,408</w:t>
            </w:r>
          </w:p>
        </w:tc>
        <w:tc>
          <w:tcPr>
            <w:tcW w:w="280" w:type="dxa"/>
            <w:vAlign w:val="bottom"/>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36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10,766</w:t>
            </w:r>
          </w:p>
        </w:tc>
        <w:tc>
          <w:tcPr>
            <w:tcW w:w="280" w:type="dxa"/>
            <w:vAlign w:val="bottom"/>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15.0</w:t>
            </w:r>
          </w:p>
        </w:tc>
        <w:tc>
          <w:tcPr>
            <w:tcW w:w="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300" w:type="dxa"/>
            <w:vAlign w:val="bottom"/>
          </w:tcPr>
          <w:p>
            <w:pPr>
              <w:ind w:left="260"/>
              <w:spacing w:after="0"/>
              <w:rPr>
                <w:sz w:val="20"/>
                <w:szCs w:val="20"/>
                <w:color w:val="auto"/>
              </w:rPr>
            </w:pPr>
            <w:r>
              <w:rPr>
                <w:rFonts w:ascii="Arial" w:cs="Arial" w:eastAsia="Arial" w:hAnsi="Arial"/>
                <w:sz w:val="18"/>
                <w:szCs w:val="18"/>
                <w:color w:val="auto"/>
              </w:rPr>
              <w:t>Operating income</w:t>
            </w:r>
          </w:p>
        </w:tc>
        <w:tc>
          <w:tcPr>
            <w:tcW w:w="244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7,389</w:t>
            </w: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13.2</w:t>
            </w:r>
          </w:p>
        </w:tc>
        <w:tc>
          <w:tcPr>
            <w:tcW w:w="360" w:type="dxa"/>
            <w:vAlign w:val="bottom"/>
          </w:tcPr>
          <w:p>
            <w:pPr>
              <w:spacing w:after="0"/>
              <w:rPr>
                <w:sz w:val="20"/>
                <w:szCs w:val="20"/>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11,575</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16.0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firstLine="510"/>
        <w:spacing w:after="0" w:line="297"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Net sales increased $12.5 million and $16.1 million in the second quarter and for the first six months of 2021, respectively,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periods in 2020. The significant increase in sales is primarily due to higher sales volumes at both of our segments in the second quarter of 2021 as many of our customers were temporarily closed or reduced production during the second quarter of 2020 due to government ordered closures or reduced demand resulting from the COVID-19 pandemic. Relative changes in selling prices did not have a material impact on net sales comparisons.</w:t>
      </w:r>
    </w:p>
    <w:p>
      <w:pPr>
        <w:spacing w:after="0" w:line="159"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i w:val="1"/>
          <w:iCs w:val="1"/>
          <w:color w:val="auto"/>
        </w:rPr>
        <w:t xml:space="preserve">Cost of sales and gross margin. </w:t>
      </w:r>
      <w:r>
        <w:rPr>
          <w:rFonts w:ascii="Arial" w:cs="Arial" w:eastAsia="Arial" w:hAnsi="Arial"/>
          <w:sz w:val="17"/>
          <w:szCs w:val="17"/>
          <w:color w:val="auto"/>
        </w:rPr>
        <w:t>Cost of sales and gross margin as a percentage of sales for the second quarter of 2021 were comparable to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2020. Cost of sales as a percentage of net sales for the first six months of 2021 was higher than the same period in 2020. As a result, gross margin as a percentage of sales decreased over the same period. The decrease in gross margin percentage in the first six months of 2021 is primarily due to the decline in the Security Products gross margin percentage in the first quarter of 2021, partially offset by a slight increase in the Marine Components gross margin percentage for the first six months of 2021. See segment discussion below.</w:t>
      </w:r>
    </w:p>
    <w:p>
      <w:pPr>
        <w:spacing w:after="0" w:line="176"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Operating costs and expenses consist primarily of sales and administrative-related personnel costs, sales commissions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advertising expenses directly related to product sales and administrative costs relating to business unit and corporate management activities, as well as gains and losses on property and equipment. Operating costs and expenses for the second quarter and first six months of 2021 were higher than the same periods last year. The increase was predominantly due to higher salary and benefit costs which increased by $0.5 million for each of the second quarter and first six months compared to the same prior year periods. Operating costs and expenses as a percentage of net sales decreased in both periods as a result of higher sales.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12" w:name="page13"/>
    <w:bookmarkEnd w:id="12"/>
    <w:p>
      <w:pPr>
        <w:jc w:val="both"/>
        <w:ind w:right="20" w:firstLine="510"/>
        <w:spacing w:after="0" w:line="335" w:lineRule="auto"/>
        <w:rPr>
          <w:sz w:val="20"/>
          <w:szCs w:val="20"/>
          <w:color w:val="auto"/>
        </w:rPr>
      </w:pPr>
      <w:r>
        <w:rPr>
          <w:rFonts w:ascii="Arial" w:cs="Arial" w:eastAsia="Arial" w:hAnsi="Arial"/>
          <w:sz w:val="16"/>
          <w:szCs w:val="16"/>
          <w:i w:val="1"/>
          <w:iCs w:val="1"/>
          <w:color w:val="auto"/>
        </w:rPr>
        <w:t xml:space="preserve">Operating income. </w:t>
      </w:r>
      <w:r>
        <w:rPr>
          <w:rFonts w:ascii="Arial" w:cs="Arial" w:eastAsia="Arial" w:hAnsi="Arial"/>
          <w:sz w:val="16"/>
          <w:szCs w:val="16"/>
          <w:color w:val="auto"/>
        </w:rPr>
        <w:t>As a percentage of net sales, operating income for the second quarter and first six months of 2021 increased compared to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periods of 2020 and was primarily impacted by the factors impacting cost of goods sold, gross margin and operating costs. See segment discussion below.</w:t>
      </w:r>
    </w:p>
    <w:p>
      <w:pPr>
        <w:spacing w:after="0" w:line="128"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A tabular reconciliation of our actual tax provision to the U.S. federal statutory income tax rate is included in Note 6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Condensed Consolidated Financial Statements. Our operations are wholly within the U.S. and therefore our effective income tax rate is primarily reflective of the U.S. federal statutory rate and applicable state taxes.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key performance indicator for our segments is operating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8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Three months ended</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2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Six months ended</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restart"/>
          </w:tcPr>
          <w:p>
            <w:pPr>
              <w:jc w:val="right"/>
              <w:ind w:right="331"/>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restart"/>
          </w:tcPr>
          <w:p>
            <w:pPr>
              <w:jc w:val="right"/>
              <w:ind w:right="331"/>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1020" w:type="dxa"/>
            <w:vAlign w:val="bottom"/>
          </w:tcPr>
          <w:p>
            <w:pPr>
              <w:jc w:val="center"/>
              <w:ind w:right="191"/>
              <w:spacing w:after="0"/>
              <w:rPr>
                <w:sz w:val="20"/>
                <w:szCs w:val="20"/>
                <w:color w:val="auto"/>
              </w:rPr>
            </w:pPr>
            <w:r>
              <w:rPr>
                <w:rFonts w:ascii="Arial" w:cs="Arial" w:eastAsia="Arial" w:hAnsi="Arial"/>
                <w:sz w:val="18"/>
                <w:szCs w:val="18"/>
                <w:color w:val="auto"/>
                <w:w w:val="87"/>
              </w:rPr>
              <w:t>%</w:t>
            </w:r>
          </w:p>
        </w:tc>
        <w:tc>
          <w:tcPr>
            <w:tcW w:w="300" w:type="dxa"/>
            <w:vAlign w:val="bottom"/>
          </w:tcPr>
          <w:p>
            <w:pPr>
              <w:spacing w:after="0"/>
              <w:rPr>
                <w:sz w:val="18"/>
                <w:szCs w:val="18"/>
                <w:color w:val="auto"/>
              </w:rPr>
            </w:pPr>
          </w:p>
        </w:tc>
        <w:tc>
          <w:tcPr>
            <w:tcW w:w="880" w:type="dxa"/>
            <w:vAlign w:val="bottom"/>
            <w:vMerge w:val="restart"/>
          </w:tcPr>
          <w:p>
            <w:pPr>
              <w:jc w:val="right"/>
              <w:ind w:right="331"/>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vMerge w:val="restart"/>
          </w:tcPr>
          <w:p>
            <w:pPr>
              <w:jc w:val="right"/>
              <w:ind w:right="331"/>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18"/>
                <w:szCs w:val="18"/>
                <w:color w:val="auto"/>
              </w:rPr>
            </w:pP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center"/>
              <w:ind w:right="191"/>
              <w:spacing w:after="0"/>
              <w:rPr>
                <w:sz w:val="20"/>
                <w:szCs w:val="20"/>
                <w:color w:val="auto"/>
              </w:rPr>
            </w:pPr>
            <w:r>
              <w:rPr>
                <w:rFonts w:ascii="Arial" w:cs="Arial" w:eastAsia="Arial" w:hAnsi="Arial"/>
                <w:sz w:val="18"/>
                <w:szCs w:val="18"/>
                <w:color w:val="auto"/>
                <w:w w:val="85"/>
              </w:rPr>
              <w:t>Change</w:t>
            </w:r>
          </w:p>
        </w:tc>
        <w:tc>
          <w:tcPr>
            <w:tcW w:w="3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21"/>
        </w:trPr>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500" w:type="dxa"/>
            <w:vAlign w:val="bottom"/>
            <w:tcBorders>
              <w:top w:val="single" w:sz="8" w:color="auto"/>
            </w:tcBorders>
            <w:gridSpan w:val="4"/>
          </w:tcPr>
          <w:p>
            <w:pPr>
              <w:jc w:val="center"/>
              <w:ind w:left="531"/>
              <w:spacing w:after="0"/>
              <w:rPr>
                <w:sz w:val="20"/>
                <w:szCs w:val="20"/>
                <w:color w:val="auto"/>
              </w:rPr>
            </w:pPr>
            <w:r>
              <w:rPr>
                <w:rFonts w:ascii="Arial" w:cs="Arial" w:eastAsia="Arial" w:hAnsi="Arial"/>
                <w:sz w:val="18"/>
                <w:szCs w:val="18"/>
                <w:b w:val="1"/>
                <w:bCs w:val="1"/>
                <w:color w:val="auto"/>
                <w:w w:val="88"/>
              </w:rPr>
              <w:t>(Dollars in thousands)</w:t>
            </w:r>
          </w:p>
        </w:tc>
        <w:tc>
          <w:tcPr>
            <w:tcW w:w="8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Security Products:</w:t>
            </w:r>
          </w:p>
        </w:tc>
        <w:tc>
          <w:tcPr>
            <w:tcW w:w="4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020" w:type="dxa"/>
            <w:vAlign w:val="bottom"/>
          </w:tcPr>
          <w:p>
            <w:pPr>
              <w:ind w:left="500"/>
              <w:spacing w:after="0"/>
              <w:rPr>
                <w:sz w:val="20"/>
                <w:szCs w:val="20"/>
                <w:color w:val="auto"/>
              </w:rPr>
            </w:pPr>
            <w:r>
              <w:rPr>
                <w:rFonts w:ascii="Arial" w:cs="Arial" w:eastAsia="Arial" w:hAnsi="Arial"/>
                <w:sz w:val="18"/>
                <w:szCs w:val="18"/>
                <w:color w:val="auto"/>
              </w:rPr>
              <w:t>Net sales</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18,573</w:t>
            </w:r>
          </w:p>
        </w:tc>
        <w:tc>
          <w:tcPr>
            <w:tcW w:w="300" w:type="dxa"/>
            <w:vAlign w:val="bottom"/>
          </w:tcPr>
          <w:p>
            <w:pPr>
              <w:spacing w:after="0"/>
              <w:rPr>
                <w:sz w:val="20"/>
                <w:szCs w:val="20"/>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27,587</w:t>
            </w:r>
          </w:p>
        </w:tc>
        <w:tc>
          <w:tcPr>
            <w:tcW w:w="280" w:type="dxa"/>
            <w:vAlign w:val="bottom"/>
          </w:tcPr>
          <w:p>
            <w:pPr>
              <w:spacing w:after="0"/>
              <w:rPr>
                <w:sz w:val="20"/>
                <w:szCs w:val="20"/>
                <w:color w:val="auto"/>
              </w:rPr>
            </w:pPr>
          </w:p>
        </w:tc>
        <w:tc>
          <w:tcPr>
            <w:tcW w:w="1020" w:type="dxa"/>
            <w:vAlign w:val="bottom"/>
          </w:tcPr>
          <w:p>
            <w:pPr>
              <w:ind w:left="500"/>
              <w:spacing w:after="0"/>
              <w:rPr>
                <w:sz w:val="20"/>
                <w:szCs w:val="20"/>
                <w:color w:val="auto"/>
              </w:rPr>
            </w:pPr>
            <w:r>
              <w:rPr>
                <w:rFonts w:ascii="Arial" w:cs="Arial" w:eastAsia="Arial" w:hAnsi="Arial"/>
                <w:sz w:val="18"/>
                <w:szCs w:val="18"/>
                <w:b w:val="1"/>
                <w:bCs w:val="1"/>
                <w:color w:val="auto"/>
              </w:rPr>
              <w:t>49%</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44,042</w:t>
            </w:r>
          </w:p>
        </w:tc>
        <w:tc>
          <w:tcPr>
            <w:tcW w:w="220" w:type="dxa"/>
            <w:vAlign w:val="bottom"/>
          </w:tcPr>
          <w:p>
            <w:pPr>
              <w:spacing w:after="0"/>
              <w:rPr>
                <w:sz w:val="20"/>
                <w:szCs w:val="20"/>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53,472</w:t>
            </w:r>
          </w:p>
        </w:tc>
        <w:tc>
          <w:tcPr>
            <w:tcW w:w="3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54"/>
        </w:trPr>
        <w:tc>
          <w:tcPr>
            <w:tcW w:w="3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Cost of sales</w:t>
            </w:r>
          </w:p>
        </w:tc>
        <w:tc>
          <w:tcPr>
            <w:tcW w:w="420" w:type="dxa"/>
            <w:vAlign w:val="bottom"/>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12,679</w:t>
            </w:r>
          </w:p>
        </w:tc>
        <w:tc>
          <w:tcPr>
            <w:tcW w:w="300" w:type="dxa"/>
            <w:vAlign w:val="bottom"/>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18,738</w:t>
            </w: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48</w:t>
            </w:r>
          </w:p>
        </w:tc>
        <w:tc>
          <w:tcPr>
            <w:tcW w:w="30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29,590</w:t>
            </w:r>
          </w:p>
        </w:tc>
        <w:tc>
          <w:tcPr>
            <w:tcW w:w="2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36,390</w:t>
            </w:r>
          </w:p>
        </w:tc>
        <w:tc>
          <w:tcPr>
            <w:tcW w:w="34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w:t>
            </w:r>
          </w:p>
        </w:tc>
        <w:tc>
          <w:tcPr>
            <w:tcW w:w="2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020" w:type="dxa"/>
            <w:vAlign w:val="bottom"/>
          </w:tcPr>
          <w:p>
            <w:pPr>
              <w:ind w:left="740"/>
              <w:spacing w:after="0"/>
              <w:rPr>
                <w:sz w:val="20"/>
                <w:szCs w:val="20"/>
                <w:color w:val="auto"/>
              </w:rPr>
            </w:pPr>
            <w:r>
              <w:rPr>
                <w:rFonts w:ascii="Arial" w:cs="Arial" w:eastAsia="Arial" w:hAnsi="Arial"/>
                <w:sz w:val="18"/>
                <w:szCs w:val="18"/>
                <w:color w:val="auto"/>
              </w:rPr>
              <w:t>Gross margin</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5,894</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8,849</w:t>
            </w:r>
          </w:p>
        </w:tc>
        <w:tc>
          <w:tcPr>
            <w:tcW w:w="280" w:type="dxa"/>
            <w:vAlign w:val="bottom"/>
          </w:tcPr>
          <w:p>
            <w:pPr>
              <w:spacing w:after="0"/>
              <w:rPr>
                <w:sz w:val="21"/>
                <w:szCs w:val="21"/>
                <w:color w:val="auto"/>
              </w:rPr>
            </w:pPr>
          </w:p>
        </w:tc>
        <w:tc>
          <w:tcPr>
            <w:tcW w:w="1020" w:type="dxa"/>
            <w:vAlign w:val="bottom"/>
          </w:tcPr>
          <w:p>
            <w:pPr>
              <w:ind w:left="500"/>
              <w:spacing w:after="0"/>
              <w:rPr>
                <w:sz w:val="20"/>
                <w:szCs w:val="20"/>
                <w:color w:val="auto"/>
              </w:rPr>
            </w:pPr>
            <w:r>
              <w:rPr>
                <w:rFonts w:ascii="Arial" w:cs="Arial" w:eastAsia="Arial" w:hAnsi="Arial"/>
                <w:sz w:val="18"/>
                <w:szCs w:val="18"/>
                <w:b w:val="1"/>
                <w:bCs w:val="1"/>
                <w:color w:val="auto"/>
              </w:rPr>
              <w:t>50</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14,452</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17,082</w:t>
            </w:r>
          </w:p>
        </w:tc>
        <w:tc>
          <w:tcPr>
            <w:tcW w:w="3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3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costs and expenses</w:t>
            </w:r>
          </w:p>
        </w:tc>
        <w:tc>
          <w:tcPr>
            <w:tcW w:w="420" w:type="dxa"/>
            <w:vAlign w:val="bottom"/>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2,533</w:t>
            </w:r>
          </w:p>
        </w:tc>
        <w:tc>
          <w:tcPr>
            <w:tcW w:w="300" w:type="dxa"/>
            <w:vAlign w:val="bottom"/>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3,004</w:t>
            </w: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19</w:t>
            </w:r>
          </w:p>
        </w:tc>
        <w:tc>
          <w:tcPr>
            <w:tcW w:w="30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5,378</w:t>
            </w:r>
          </w:p>
        </w:tc>
        <w:tc>
          <w:tcPr>
            <w:tcW w:w="2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5,747</w:t>
            </w:r>
          </w:p>
        </w:tc>
        <w:tc>
          <w:tcPr>
            <w:tcW w:w="34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w:t>
            </w:r>
          </w:p>
        </w:tc>
        <w:tc>
          <w:tcPr>
            <w:tcW w:w="2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020" w:type="dxa"/>
            <w:vAlign w:val="bottom"/>
          </w:tcPr>
          <w:p>
            <w:pPr>
              <w:ind w:left="740"/>
              <w:spacing w:after="0"/>
              <w:rPr>
                <w:sz w:val="20"/>
                <w:szCs w:val="20"/>
                <w:color w:val="auto"/>
              </w:rPr>
            </w:pPr>
            <w:r>
              <w:rPr>
                <w:rFonts w:ascii="Arial" w:cs="Arial" w:eastAsia="Arial" w:hAnsi="Arial"/>
                <w:sz w:val="18"/>
                <w:szCs w:val="18"/>
                <w:color w:val="auto"/>
              </w:rPr>
              <w:t>Operating income</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3,361</w:t>
            </w:r>
          </w:p>
        </w:tc>
        <w:tc>
          <w:tcPr>
            <w:tcW w:w="300" w:type="dxa"/>
            <w:vAlign w:val="bottom"/>
          </w:tcPr>
          <w:p>
            <w:pPr>
              <w:spacing w:after="0"/>
              <w:rPr>
                <w:sz w:val="21"/>
                <w:szCs w:val="21"/>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5,845</w:t>
            </w:r>
          </w:p>
        </w:tc>
        <w:tc>
          <w:tcPr>
            <w:tcW w:w="280" w:type="dxa"/>
            <w:vAlign w:val="bottom"/>
          </w:tcPr>
          <w:p>
            <w:pPr>
              <w:spacing w:after="0"/>
              <w:rPr>
                <w:sz w:val="21"/>
                <w:szCs w:val="21"/>
                <w:color w:val="auto"/>
              </w:rPr>
            </w:pPr>
          </w:p>
        </w:tc>
        <w:tc>
          <w:tcPr>
            <w:tcW w:w="1020" w:type="dxa"/>
            <w:vAlign w:val="bottom"/>
          </w:tcPr>
          <w:p>
            <w:pPr>
              <w:ind w:left="500"/>
              <w:spacing w:after="0"/>
              <w:rPr>
                <w:sz w:val="20"/>
                <w:szCs w:val="20"/>
                <w:color w:val="auto"/>
              </w:rPr>
            </w:pPr>
            <w:r>
              <w:rPr>
                <w:rFonts w:ascii="Arial" w:cs="Arial" w:eastAsia="Arial" w:hAnsi="Arial"/>
                <w:sz w:val="18"/>
                <w:szCs w:val="18"/>
                <w:b w:val="1"/>
                <w:bCs w:val="1"/>
                <w:color w:val="auto"/>
              </w:rPr>
              <w:t>74</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9,074</w:t>
            </w:r>
          </w:p>
        </w:tc>
        <w:tc>
          <w:tcPr>
            <w:tcW w:w="220" w:type="dxa"/>
            <w:vAlign w:val="bottom"/>
          </w:tcPr>
          <w:p>
            <w:pPr>
              <w:spacing w:after="0"/>
              <w:rPr>
                <w:sz w:val="21"/>
                <w:szCs w:val="21"/>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11,335</w:t>
            </w:r>
          </w:p>
        </w:tc>
        <w:tc>
          <w:tcPr>
            <w:tcW w:w="3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3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31.7%</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32.1%</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32.8%</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31.9%</w:t>
            </w: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02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21.2</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21.2</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i w:val="1"/>
          <w:iCs w:val="1"/>
          <w:color w:val="auto"/>
        </w:rPr>
        <w:t>Security Products</w:t>
      </w:r>
      <w:r>
        <w:rPr>
          <w:rFonts w:ascii="Arial" w:cs="Arial" w:eastAsia="Arial" w:hAnsi="Arial"/>
          <w:sz w:val="17"/>
          <w:szCs w:val="17"/>
          <w:color w:val="auto"/>
        </w:rPr>
        <w:t>. Security Products net sales in the second quarter of 2021 increased 49% compared to the same period in 2020 when it experienced</w:t>
      </w:r>
      <w:r>
        <w:rPr>
          <w:rFonts w:ascii="Arial" w:cs="Arial" w:eastAsia="Arial" w:hAnsi="Arial"/>
          <w:sz w:val="17"/>
          <w:szCs w:val="17"/>
          <w:i w:val="1"/>
          <w:iCs w:val="1"/>
          <w:color w:val="auto"/>
        </w:rPr>
        <w:t xml:space="preserve"> </w:t>
      </w:r>
      <w:r>
        <w:rPr>
          <w:rFonts w:ascii="Arial" w:cs="Arial" w:eastAsia="Arial" w:hAnsi="Arial"/>
          <w:sz w:val="17"/>
          <w:szCs w:val="17"/>
          <w:color w:val="auto"/>
        </w:rPr>
        <w:t>reduced demand attributed to COVID-19 as discussed above. Relative to prior year, second quarter sales were $3.0 million higher to the government security market, $2.5 million higher to the transportation market, and $1.7 million higher to distribution customers during the quarter. Gross margin as a percentage of net sales increased for the second quarter of 2021 due to increased coverage of fixed costs from higher production and sales volumes, partially offset by higher production costs including higher labor and shipping costs. Operating income as a percentage of net sales increased in the second quarter of 2021 as compared to the second quarter of 2020 primarily due to increased coverage of operating costs and expenses on higher sales as well as the factors impacting gross margin for the second quarter.</w:t>
      </w:r>
    </w:p>
    <w:p>
      <w:pPr>
        <w:spacing w:after="0" w:line="178"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18"/>
          <w:szCs w:val="18"/>
          <w:color w:val="auto"/>
        </w:rPr>
        <w:t>Security Products net sales increased 21% in the first six months of 2021 compared to the same period last year primarily due to the higher second quarter 2021 sales as compared to the second quarter 2020 sales. Gross margin as a percentage of net sales for the first six months of 2021 declined as compared to the same period last year due to less favorable customer and product mix and higher production costs including increased labor and shipping costs, partially offset by increased fixed cost coverage from higher production and sales volumes. Operating income as a percentage of net sales for the first six months of 2021 increased compared to the same period of 2020 due to increased coverage of operating costs and expenses on higher sales, partially offset by the factors impacting gross margin.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7"/>
        </w:trPr>
        <w:tc>
          <w:tcPr>
            <w:tcW w:w="3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6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Three months ended</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8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Six months ended</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restart"/>
          </w:tcPr>
          <w:p>
            <w:pPr>
              <w:jc w:val="right"/>
              <w:ind w:right="311"/>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18"/>
                <w:szCs w:val="18"/>
                <w:color w:val="auto"/>
              </w:rPr>
            </w:pPr>
          </w:p>
        </w:tc>
        <w:tc>
          <w:tcPr>
            <w:tcW w:w="1100" w:type="dxa"/>
            <w:vAlign w:val="bottom"/>
          </w:tcPr>
          <w:p>
            <w:pPr>
              <w:jc w:val="center"/>
              <w:ind w:right="211"/>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900" w:type="dxa"/>
            <w:vAlign w:val="bottom"/>
            <w:vMerge w:val="restart"/>
          </w:tcPr>
          <w:p>
            <w:pPr>
              <w:jc w:val="right"/>
              <w:ind w:right="331"/>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vMerge w:val="restart"/>
          </w:tcPr>
          <w:p>
            <w:pPr>
              <w:jc w:val="right"/>
              <w:ind w:right="331"/>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center"/>
              <w:ind w:right="211"/>
              <w:spacing w:after="0"/>
              <w:rPr>
                <w:sz w:val="20"/>
                <w:szCs w:val="20"/>
                <w:color w:val="auto"/>
              </w:rPr>
            </w:pPr>
            <w:r>
              <w:rPr>
                <w:rFonts w:ascii="Arial" w:cs="Arial" w:eastAsia="Arial" w:hAnsi="Arial"/>
                <w:sz w:val="18"/>
                <w:szCs w:val="18"/>
                <w:color w:val="auto"/>
                <w:w w:val="88"/>
              </w:rPr>
              <w:t>Change</w:t>
            </w:r>
          </w:p>
        </w:tc>
        <w:tc>
          <w:tcPr>
            <w:tcW w:w="2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25"/>
        </w:trPr>
        <w:tc>
          <w:tcPr>
            <w:tcW w:w="3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560" w:type="dxa"/>
            <w:vAlign w:val="bottom"/>
            <w:tcBorders>
              <w:top w:val="single" w:sz="8" w:color="auto"/>
            </w:tcBorders>
            <w:gridSpan w:val="4"/>
          </w:tcPr>
          <w:p>
            <w:pPr>
              <w:jc w:val="center"/>
              <w:ind w:left="551"/>
              <w:spacing w:after="0"/>
              <w:rPr>
                <w:sz w:val="20"/>
                <w:szCs w:val="20"/>
                <w:color w:val="auto"/>
              </w:rPr>
            </w:pPr>
            <w:r>
              <w:rPr>
                <w:rFonts w:ascii="Arial" w:cs="Arial" w:eastAsia="Arial" w:hAnsi="Arial"/>
                <w:sz w:val="18"/>
                <w:szCs w:val="18"/>
                <w:b w:val="1"/>
                <w:bCs w:val="1"/>
                <w:color w:val="auto"/>
                <w:w w:val="88"/>
              </w:rPr>
              <w:t>(Dollars in thousands)</w:t>
            </w:r>
          </w:p>
        </w:tc>
        <w:tc>
          <w:tcPr>
            <w:tcW w:w="9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Marine Components:</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300" w:type="dxa"/>
            <w:vAlign w:val="bottom"/>
          </w:tcPr>
          <w:p>
            <w:pPr>
              <w:ind w:left="500"/>
              <w:spacing w:after="0"/>
              <w:rPr>
                <w:sz w:val="20"/>
                <w:szCs w:val="20"/>
                <w:color w:val="auto"/>
              </w:rPr>
            </w:pPr>
            <w:r>
              <w:rPr>
                <w:rFonts w:ascii="Arial" w:cs="Arial" w:eastAsia="Arial" w:hAnsi="Arial"/>
                <w:sz w:val="18"/>
                <w:szCs w:val="18"/>
                <w:color w:val="auto"/>
              </w:rPr>
              <w:t>Net sales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5,227</w:t>
            </w:r>
          </w:p>
        </w:tc>
        <w:tc>
          <w:tcPr>
            <w:tcW w:w="300" w:type="dxa"/>
            <w:vAlign w:val="bottom"/>
          </w:tcPr>
          <w:p>
            <w:pPr>
              <w:spacing w:after="0"/>
              <w:rPr>
                <w:sz w:val="20"/>
                <w:szCs w:val="20"/>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8,666</w:t>
            </w:r>
          </w:p>
        </w:tc>
        <w:tc>
          <w:tcPr>
            <w:tcW w:w="300" w:type="dxa"/>
            <w:vAlign w:val="bottom"/>
          </w:tcPr>
          <w:p>
            <w:pPr>
              <w:spacing w:after="0"/>
              <w:rPr>
                <w:sz w:val="20"/>
                <w:szCs w:val="20"/>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b w:val="1"/>
                <w:bCs w:val="1"/>
                <w:color w:val="auto"/>
              </w:rPr>
              <w:t>66%</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12,069</w:t>
            </w:r>
          </w:p>
        </w:tc>
        <w:tc>
          <w:tcPr>
            <w:tcW w:w="220" w:type="dxa"/>
            <w:vAlign w:val="bottom"/>
          </w:tcPr>
          <w:p>
            <w:pPr>
              <w:spacing w:after="0"/>
              <w:rPr>
                <w:sz w:val="20"/>
                <w:szCs w:val="20"/>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18,705</w:t>
            </w:r>
          </w:p>
        </w:tc>
        <w:tc>
          <w:tcPr>
            <w:tcW w:w="32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241"/>
        </w:trPr>
        <w:tc>
          <w:tcPr>
            <w:tcW w:w="3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3,755</w:t>
            </w:r>
          </w:p>
        </w:tc>
        <w:tc>
          <w:tcPr>
            <w:tcW w:w="30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6,209</w:t>
            </w: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231"/>
              <w:spacing w:after="0"/>
              <w:rPr>
                <w:sz w:val="20"/>
                <w:szCs w:val="20"/>
                <w:color w:val="auto"/>
              </w:rPr>
            </w:pPr>
            <w:r>
              <w:rPr>
                <w:rFonts w:ascii="Arial" w:cs="Arial" w:eastAsia="Arial" w:hAnsi="Arial"/>
                <w:sz w:val="18"/>
                <w:szCs w:val="18"/>
                <w:b w:val="1"/>
                <w:bCs w:val="1"/>
                <w:color w:val="auto"/>
              </w:rPr>
              <w:t>65</w:t>
            </w:r>
          </w:p>
        </w:tc>
        <w:tc>
          <w:tcPr>
            <w:tcW w:w="2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8,724</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13,446</w:t>
            </w:r>
          </w:p>
        </w:tc>
        <w:tc>
          <w:tcPr>
            <w:tcW w:w="320" w:type="dxa"/>
            <w:vAlign w:val="bottom"/>
            <w:shd w:val="clear" w:color="auto" w:fill="CFF0FC"/>
          </w:tcPr>
          <w:p>
            <w:pPr>
              <w:spacing w:after="0"/>
              <w:rPr>
                <w:sz w:val="20"/>
                <w:szCs w:val="20"/>
                <w:color w:val="auto"/>
              </w:rPr>
            </w:pPr>
          </w:p>
        </w:tc>
        <w:tc>
          <w:tcPr>
            <w:tcW w:w="780" w:type="dxa"/>
            <w:vAlign w:val="bottom"/>
            <w:shd w:val="clear" w:color="auto" w:fill="CFF0FC"/>
          </w:tcPr>
          <w:p>
            <w:pPr>
              <w:ind w:left="580"/>
              <w:spacing w:after="0"/>
              <w:rPr>
                <w:sz w:val="20"/>
                <w:szCs w:val="20"/>
                <w:color w:val="auto"/>
              </w:rPr>
            </w:pPr>
            <w:r>
              <w:rPr>
                <w:rFonts w:ascii="Arial" w:cs="Arial" w:eastAsia="Arial" w:hAnsi="Arial"/>
                <w:sz w:val="18"/>
                <w:szCs w:val="18"/>
                <w:b w:val="1"/>
                <w:bCs w:val="1"/>
                <w:color w:val="auto"/>
                <w:w w:val="89"/>
              </w:rPr>
              <w:t>54</w:t>
            </w:r>
          </w:p>
        </w:tc>
        <w:tc>
          <w:tcPr>
            <w:tcW w:w="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300" w:type="dxa"/>
            <w:vAlign w:val="bottom"/>
          </w:tcPr>
          <w:p>
            <w:pPr>
              <w:ind w:left="740"/>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1,472</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2,457</w:t>
            </w:r>
          </w:p>
        </w:tc>
        <w:tc>
          <w:tcPr>
            <w:tcW w:w="300" w:type="dxa"/>
            <w:vAlign w:val="bottom"/>
          </w:tcPr>
          <w:p>
            <w:pPr>
              <w:spacing w:after="0"/>
              <w:rPr>
                <w:sz w:val="20"/>
                <w:szCs w:val="20"/>
                <w:color w:val="auto"/>
              </w:rPr>
            </w:pPr>
          </w:p>
        </w:tc>
        <w:tc>
          <w:tcPr>
            <w:tcW w:w="1100" w:type="dxa"/>
            <w:vAlign w:val="bottom"/>
          </w:tcPr>
          <w:p>
            <w:pPr>
              <w:jc w:val="right"/>
              <w:ind w:right="231"/>
              <w:spacing w:after="0"/>
              <w:rPr>
                <w:sz w:val="20"/>
                <w:szCs w:val="20"/>
                <w:color w:val="auto"/>
              </w:rPr>
            </w:pPr>
            <w:r>
              <w:rPr>
                <w:rFonts w:ascii="Arial" w:cs="Arial" w:eastAsia="Arial" w:hAnsi="Arial"/>
                <w:sz w:val="18"/>
                <w:szCs w:val="18"/>
                <w:b w:val="1"/>
                <w:bCs w:val="1"/>
                <w:color w:val="auto"/>
              </w:rPr>
              <w:t>67</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3,345</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5,259</w:t>
            </w:r>
          </w:p>
        </w:tc>
        <w:tc>
          <w:tcPr>
            <w:tcW w:w="320" w:type="dxa"/>
            <w:vAlign w:val="bottom"/>
          </w:tcPr>
          <w:p>
            <w:pPr>
              <w:spacing w:after="0"/>
              <w:rPr>
                <w:sz w:val="20"/>
                <w:szCs w:val="20"/>
                <w:color w:val="auto"/>
              </w:rPr>
            </w:pPr>
          </w:p>
        </w:tc>
        <w:tc>
          <w:tcPr>
            <w:tcW w:w="780" w:type="dxa"/>
            <w:vAlign w:val="bottom"/>
          </w:tcPr>
          <w:p>
            <w:pPr>
              <w:ind w:left="580"/>
              <w:spacing w:after="0"/>
              <w:rPr>
                <w:sz w:val="20"/>
                <w:szCs w:val="20"/>
                <w:color w:val="auto"/>
              </w:rPr>
            </w:pPr>
            <w:r>
              <w:rPr>
                <w:rFonts w:ascii="Arial" w:cs="Arial" w:eastAsia="Arial" w:hAnsi="Arial"/>
                <w:sz w:val="18"/>
                <w:szCs w:val="18"/>
                <w:b w:val="1"/>
                <w:bCs w:val="1"/>
                <w:color w:val="auto"/>
                <w:w w:val="89"/>
              </w:rPr>
              <w:t>57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costs and expenses</w:t>
            </w: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30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859</w:t>
            </w: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231"/>
              <w:spacing w:after="0"/>
              <w:rPr>
                <w:sz w:val="20"/>
                <w:szCs w:val="20"/>
                <w:color w:val="auto"/>
              </w:rPr>
            </w:pPr>
            <w:r>
              <w:rPr>
                <w:rFonts w:ascii="Arial" w:cs="Arial" w:eastAsia="Arial" w:hAnsi="Arial"/>
                <w:sz w:val="18"/>
                <w:szCs w:val="18"/>
                <w:b w:val="1"/>
                <w:bCs w:val="1"/>
                <w:color w:val="auto"/>
              </w:rPr>
              <w:t>28</w:t>
            </w:r>
          </w:p>
        </w:tc>
        <w:tc>
          <w:tcPr>
            <w:tcW w:w="2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1,464</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1,718</w:t>
            </w:r>
          </w:p>
        </w:tc>
        <w:tc>
          <w:tcPr>
            <w:tcW w:w="320" w:type="dxa"/>
            <w:vAlign w:val="bottom"/>
            <w:shd w:val="clear" w:color="auto" w:fill="CFF0FC"/>
          </w:tcPr>
          <w:p>
            <w:pPr>
              <w:spacing w:after="0"/>
              <w:rPr>
                <w:sz w:val="20"/>
                <w:szCs w:val="20"/>
                <w:color w:val="auto"/>
              </w:rPr>
            </w:pPr>
          </w:p>
        </w:tc>
        <w:tc>
          <w:tcPr>
            <w:tcW w:w="780" w:type="dxa"/>
            <w:vAlign w:val="bottom"/>
            <w:shd w:val="clear" w:color="auto" w:fill="CFF0FC"/>
          </w:tcPr>
          <w:p>
            <w:pPr>
              <w:ind w:left="580"/>
              <w:spacing w:after="0"/>
              <w:rPr>
                <w:sz w:val="20"/>
                <w:szCs w:val="20"/>
                <w:color w:val="auto"/>
              </w:rPr>
            </w:pPr>
            <w:r>
              <w:rPr>
                <w:rFonts w:ascii="Arial" w:cs="Arial" w:eastAsia="Arial" w:hAnsi="Arial"/>
                <w:sz w:val="18"/>
                <w:szCs w:val="18"/>
                <w:b w:val="1"/>
                <w:bCs w:val="1"/>
                <w:color w:val="auto"/>
                <w:w w:val="89"/>
              </w:rPr>
              <w:t>17</w:t>
            </w:r>
          </w:p>
        </w:tc>
        <w:tc>
          <w:tcPr>
            <w:tcW w:w="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300" w:type="dxa"/>
            <w:vAlign w:val="bottom"/>
          </w:tcPr>
          <w:p>
            <w:pPr>
              <w:ind w:left="740"/>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799</w:t>
            </w:r>
          </w:p>
        </w:tc>
        <w:tc>
          <w:tcPr>
            <w:tcW w:w="300" w:type="dxa"/>
            <w:vAlign w:val="bottom"/>
          </w:tcPr>
          <w:p>
            <w:pPr>
              <w:spacing w:after="0"/>
              <w:rPr>
                <w:sz w:val="23"/>
                <w:szCs w:val="23"/>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1,598</w:t>
            </w:r>
          </w:p>
        </w:tc>
        <w:tc>
          <w:tcPr>
            <w:tcW w:w="300" w:type="dxa"/>
            <w:vAlign w:val="bottom"/>
          </w:tcPr>
          <w:p>
            <w:pPr>
              <w:spacing w:after="0"/>
              <w:rPr>
                <w:sz w:val="23"/>
                <w:szCs w:val="23"/>
                <w:color w:val="auto"/>
              </w:rPr>
            </w:pPr>
          </w:p>
        </w:tc>
        <w:tc>
          <w:tcPr>
            <w:tcW w:w="1100" w:type="dxa"/>
            <w:vAlign w:val="bottom"/>
          </w:tcPr>
          <w:p>
            <w:pPr>
              <w:jc w:val="right"/>
              <w:ind w:right="231"/>
              <w:spacing w:after="0"/>
              <w:rPr>
                <w:sz w:val="20"/>
                <w:szCs w:val="20"/>
                <w:color w:val="auto"/>
              </w:rPr>
            </w:pPr>
            <w:r>
              <w:rPr>
                <w:rFonts w:ascii="Arial" w:cs="Arial" w:eastAsia="Arial" w:hAnsi="Arial"/>
                <w:sz w:val="18"/>
                <w:szCs w:val="18"/>
                <w:b w:val="1"/>
                <w:bCs w:val="1"/>
                <w:color w:val="auto"/>
              </w:rPr>
              <w:t>100</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1,881</w:t>
            </w:r>
          </w:p>
        </w:tc>
        <w:tc>
          <w:tcPr>
            <w:tcW w:w="220" w:type="dxa"/>
            <w:vAlign w:val="bottom"/>
          </w:tcPr>
          <w:p>
            <w:pPr>
              <w:spacing w:after="0"/>
              <w:rPr>
                <w:sz w:val="23"/>
                <w:szCs w:val="23"/>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3,541</w:t>
            </w:r>
          </w:p>
        </w:tc>
        <w:tc>
          <w:tcPr>
            <w:tcW w:w="320" w:type="dxa"/>
            <w:vAlign w:val="bottom"/>
          </w:tcPr>
          <w:p>
            <w:pPr>
              <w:spacing w:after="0"/>
              <w:rPr>
                <w:sz w:val="23"/>
                <w:szCs w:val="23"/>
                <w:color w:val="auto"/>
              </w:rPr>
            </w:pPr>
          </w:p>
        </w:tc>
        <w:tc>
          <w:tcPr>
            <w:tcW w:w="780" w:type="dxa"/>
            <w:vAlign w:val="bottom"/>
          </w:tcPr>
          <w:p>
            <w:pPr>
              <w:ind w:left="580"/>
              <w:spacing w:after="0"/>
              <w:rPr>
                <w:sz w:val="20"/>
                <w:szCs w:val="20"/>
                <w:color w:val="auto"/>
              </w:rPr>
            </w:pPr>
            <w:r>
              <w:rPr>
                <w:rFonts w:ascii="Arial" w:cs="Arial" w:eastAsia="Arial" w:hAnsi="Arial"/>
                <w:sz w:val="18"/>
                <w:szCs w:val="18"/>
                <w:b w:val="1"/>
                <w:bCs w:val="1"/>
                <w:color w:val="auto"/>
                <w:w w:val="89"/>
              </w:rPr>
              <w:t>88</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3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28.2%</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28.4%</w:t>
            </w: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27.7%</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28.1%</w:t>
            </w: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30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18.4</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18.9</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firstLine="510"/>
        <w:spacing w:after="0" w:line="288" w:lineRule="auto"/>
        <w:rPr>
          <w:sz w:val="20"/>
          <w:szCs w:val="20"/>
          <w:color w:val="auto"/>
        </w:rPr>
      </w:pPr>
      <w:r>
        <w:rPr>
          <w:rFonts w:ascii="Arial" w:cs="Arial" w:eastAsia="Arial" w:hAnsi="Arial"/>
          <w:sz w:val="16"/>
          <w:szCs w:val="16"/>
          <w:i w:val="1"/>
          <w:iCs w:val="1"/>
          <w:color w:val="auto"/>
        </w:rPr>
        <w:t>Marine Components</w:t>
      </w:r>
      <w:r>
        <w:rPr>
          <w:rFonts w:ascii="Arial" w:cs="Arial" w:eastAsia="Arial" w:hAnsi="Arial"/>
          <w:sz w:val="16"/>
          <w:szCs w:val="16"/>
          <w:color w:val="auto"/>
        </w:rPr>
        <w:t>. Marine Components net sales in the second quarter and first six months of 2021 increased 66% and 55%,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periods in 2020 due to the reduced demand in 2020 related to COVID-19 as discussed above. Sales to the towboat market were $2.4 million higher for the second quarter and $5.1 million higher for the first six months of 2021 compared to the same periods in 2020. As a percentage of net sales, gross margin for the second quarter of 2021 was comparable to the same period in 2020. Operating income as a percentage of net sales increased in the second quarter of 2021 compared to the same period in 2020 primarily due to increased coverage of operating costs and expenses on higher sales. For the first six months of 2021, gross margin and operating income as a percentage of net sales increased compared to the same period in 2020 due to increased coverage of fixed costs and operating costs and expenses from higher production and sales volumes, partially offset by higher production costs.</w:t>
      </w:r>
    </w:p>
    <w:p>
      <w:pPr>
        <w:spacing w:after="0" w:line="166"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i w:val="1"/>
          <w:iCs w:val="1"/>
          <w:color w:val="auto"/>
        </w:rPr>
        <w:t xml:space="preserve">Outlook. </w:t>
      </w:r>
      <w:r>
        <w:rPr>
          <w:rFonts w:ascii="Arial" w:cs="Arial" w:eastAsia="Arial" w:hAnsi="Arial"/>
          <w:sz w:val="17"/>
          <w:szCs w:val="17"/>
          <w:color w:val="auto"/>
        </w:rPr>
        <w:t>Beginning in the second half of 2020, our sales began to recover from the historically low levels we experienced during the second quarter</w:t>
      </w:r>
      <w:r>
        <w:rPr>
          <w:rFonts w:ascii="Arial" w:cs="Arial" w:eastAsia="Arial" w:hAnsi="Arial"/>
          <w:sz w:val="17"/>
          <w:szCs w:val="17"/>
          <w:i w:val="1"/>
          <w:iCs w:val="1"/>
          <w:color w:val="auto"/>
        </w:rPr>
        <w:t xml:space="preserve"> </w:t>
      </w:r>
      <w:r>
        <w:rPr>
          <w:rFonts w:ascii="Arial" w:cs="Arial" w:eastAsia="Arial" w:hAnsi="Arial"/>
          <w:sz w:val="17"/>
          <w:szCs w:val="17"/>
          <w:color w:val="auto"/>
        </w:rPr>
        <w:t>of 2020, with sales steadily improving for the remainder of last year. Throughout the first half of 2021, we have experienced strong demand, particularly at our Marine Components segment. During the second quarter of 2021, our Security Products segment began to see improved demand from distributors and the office furniture market that had been slower to recover. In the first half of 2021, our manufacturing facilities operated at elevated production rates in-line with improved demand, although labor markets are tight in each of the regions in which we operate and, as a result, we are facing challenges maintaining staffing levels aligned with current and forecasted demand, particularly at our Marine Components segment.</w:t>
      </w:r>
    </w:p>
    <w:p>
      <w:pPr>
        <w:spacing w:after="0" w:line="178" w:lineRule="exact"/>
        <w:rPr>
          <w:sz w:val="20"/>
          <w:szCs w:val="20"/>
          <w:color w:val="auto"/>
        </w:rPr>
      </w:pPr>
    </w:p>
    <w:p>
      <w:pPr>
        <w:jc w:val="both"/>
        <w:ind w:firstLine="510"/>
        <w:spacing w:after="0" w:line="267" w:lineRule="auto"/>
        <w:rPr>
          <w:sz w:val="20"/>
          <w:szCs w:val="20"/>
          <w:color w:val="auto"/>
        </w:rPr>
      </w:pPr>
      <w:r>
        <w:rPr>
          <w:rFonts w:ascii="Arial" w:cs="Arial" w:eastAsia="Arial" w:hAnsi="Arial"/>
          <w:sz w:val="17"/>
          <w:szCs w:val="17"/>
          <w:color w:val="auto"/>
        </w:rPr>
        <w:t>Based on current market conditions, we expect demand levels to remain strong for the remainder of 2021 and we expect to report increased sales and operating income in 2021 compared to 2020. Our supply chains remain intact, although the current global and domestic supply chain disruptions have resulted in challenges in sourcing certain raw materials due to increased lead times along with availability shortages and transportation and logistics delays. Thus far our operations team has been able to manage through these disruptions with minimal impact on our operations. In addition, we are experiencing increased production costs including higher labor and shipping costs and increasing costs on many of the raw materials we use. In response, we began implementing price increases in the second quarter of 2021; however, the extent to which the price increases will mitigate the rising costs is uncertain and we expect increasing production costs will continue to challenge gross margins for the remainder of the year. Our operations teams meet frequently to ensure we are taking appropriate actions to maintain a safe working environment for all our employees, minimize material or supply related operational disruptions, manage inventory levels and improve operating margins.</w:t>
      </w:r>
    </w:p>
    <w:p>
      <w:pPr>
        <w:spacing w:after="0" w:line="183" w:lineRule="exact"/>
        <w:rPr>
          <w:sz w:val="20"/>
          <w:szCs w:val="20"/>
          <w:color w:val="auto"/>
        </w:rPr>
      </w:pPr>
    </w:p>
    <w:p>
      <w:pPr>
        <w:jc w:val="both"/>
        <w:ind w:firstLine="510"/>
        <w:spacing w:after="0" w:line="251" w:lineRule="auto"/>
        <w:rPr>
          <w:sz w:val="20"/>
          <w:szCs w:val="20"/>
          <w:color w:val="auto"/>
        </w:rPr>
      </w:pPr>
      <w:r>
        <w:rPr>
          <w:rFonts w:ascii="Arial" w:cs="Arial" w:eastAsia="Arial" w:hAnsi="Arial"/>
          <w:sz w:val="18"/>
          <w:szCs w:val="18"/>
          <w:color w:val="auto"/>
        </w:rPr>
        <w:t>Our expectations for our operations and the markets we serve are based on a number of factors outside our control, including the ongoing economic effects of the COVID-19 pandemic. As noted above, there are global and domestic supply chain challenges and any future impacts of COVID-19 on our operations will depend on, among other things, any future disruption in our operations or our suppliers’ operations, demand for our products and the timing and effectiveness of the global measures deployed to fight COVID-19, all of which remain uncertain and cannot be predicted. The success and timing of these mitigating actions depends in part on continued deployment of effective tools to fight COVID-19, including effective treatments and vaccine distribution. In this regard, we encouraged our employees to receive a COVID-19 vaccine and offered paid time off to hourly employees to facilitate participation.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Consolidated cash flows </w:t>
      </w:r>
      <w:r>
        <w:rPr>
          <w:rFonts w:ascii="Arial" w:cs="Arial" w:eastAsia="Arial" w:hAnsi="Arial"/>
          <w:sz w:val="18"/>
          <w:szCs w:val="18"/>
          <w:b w:val="1"/>
          <w:bCs w:val="1"/>
          <w:color w:val="auto"/>
        </w:rPr>
        <w:t>–</w:t>
      </w:r>
    </w:p>
    <w:p>
      <w:pPr>
        <w:spacing w:after="0" w:line="118"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Trends in cash flows from operating activities, excluding changes in assets and liabilities, have generally been similar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trends in operating earnings. Changes in assets and liabilities result primarily from the timing of production, sales and purchases. Changes in assets and liabilities generally tend to even out over time. However, period-to-period relative changes in assets and liabilities can significantly affect the comparability of cash flows from operating activities.</w:t>
      </w:r>
    </w:p>
    <w:p>
      <w:pPr>
        <w:spacing w:after="0" w:line="190" w:lineRule="exact"/>
        <w:rPr>
          <w:sz w:val="20"/>
          <w:szCs w:val="20"/>
          <w:color w:val="auto"/>
        </w:rPr>
      </w:pPr>
    </w:p>
    <w:p>
      <w:pPr>
        <w:ind w:firstLine="510"/>
        <w:spacing w:after="0" w:line="271" w:lineRule="auto"/>
        <w:rPr>
          <w:sz w:val="20"/>
          <w:szCs w:val="20"/>
          <w:color w:val="auto"/>
        </w:rPr>
      </w:pPr>
      <w:r>
        <w:rPr>
          <w:rFonts w:ascii="Arial" w:cs="Arial" w:eastAsia="Arial" w:hAnsi="Arial"/>
          <w:sz w:val="18"/>
          <w:szCs w:val="18"/>
          <w:color w:val="auto"/>
        </w:rPr>
        <w:t>Our net cash provided by operating activities for the first six months of 2021 decreased by $1.4 million as compared to the first six months of 2020. The decrease is primarily due to the net effects of:</w:t>
      </w:r>
    </w:p>
    <w:p>
      <w:pPr>
        <w:spacing w:after="0" w:line="134" w:lineRule="exact"/>
        <w:rPr>
          <w:sz w:val="20"/>
          <w:szCs w:val="20"/>
          <w:color w:val="auto"/>
        </w:rPr>
      </w:pPr>
    </w:p>
    <w:p>
      <w:pPr>
        <w:ind w:left="720" w:hanging="352"/>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$4.2 million increase in operating income in 2021,</w:t>
      </w:r>
    </w:p>
    <w:p>
      <w:pPr>
        <w:spacing w:after="0" w:line="301" w:lineRule="exact"/>
        <w:rPr>
          <w:rFonts w:ascii="Arial" w:cs="Arial" w:eastAsia="Arial" w:hAnsi="Arial"/>
          <w:sz w:val="18"/>
          <w:szCs w:val="18"/>
          <w:color w:val="auto"/>
        </w:rPr>
      </w:pPr>
    </w:p>
    <w:p>
      <w:pPr>
        <w:ind w:left="720" w:right="20" w:hanging="352"/>
        <w:spacing w:after="0" w:line="271"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higher amount of net cash used by relative changes in our inventories, receivables, prepaids, payables and non-tax related accruals of approximately $3.2 million in 2021,</w:t>
      </w:r>
    </w:p>
    <w:p>
      <w:pPr>
        <w:spacing w:after="0" w:line="228" w:lineRule="exact"/>
        <w:rPr>
          <w:rFonts w:ascii="Arial" w:cs="Arial" w:eastAsia="Arial" w:hAnsi="Arial"/>
          <w:sz w:val="18"/>
          <w:szCs w:val="18"/>
          <w:color w:val="auto"/>
        </w:rPr>
      </w:pPr>
    </w:p>
    <w:p>
      <w:pPr>
        <w:ind w:left="720" w:hanging="352"/>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$1.6 million increase in cash paid for taxes in 2021 due to higher operating income and the relative timing of payments, and</w:t>
      </w:r>
    </w:p>
    <w:p>
      <w:pPr>
        <w:spacing w:after="0" w:line="301" w:lineRule="exact"/>
        <w:rPr>
          <w:rFonts w:ascii="Arial" w:cs="Arial" w:eastAsia="Arial" w:hAnsi="Arial"/>
          <w:sz w:val="18"/>
          <w:szCs w:val="18"/>
          <w:color w:val="auto"/>
        </w:rPr>
      </w:pPr>
    </w:p>
    <w:p>
      <w:pPr>
        <w:ind w:left="720" w:hanging="352"/>
        <w:spacing w:after="0" w:line="271"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$0.9 million decrease in interest received in 2021 due to the relative timing of interest received and to a lesser extent a lower average affiliate receivable balance.</w:t>
      </w:r>
    </w:p>
    <w:p>
      <w:pPr>
        <w:spacing w:after="0" w:line="228" w:lineRule="exact"/>
        <w:rPr>
          <w:sz w:val="20"/>
          <w:szCs w:val="20"/>
          <w:color w:val="auto"/>
        </w:rPr>
      </w:pPr>
    </w:p>
    <w:p>
      <w:pPr>
        <w:jc w:val="both"/>
        <w:ind w:firstLine="510"/>
        <w:spacing w:after="0" w:line="307" w:lineRule="auto"/>
        <w:rPr>
          <w:sz w:val="20"/>
          <w:szCs w:val="20"/>
          <w:color w:val="auto"/>
        </w:rPr>
      </w:pPr>
      <w:r>
        <w:rPr>
          <w:rFonts w:ascii="Arial" w:cs="Arial" w:eastAsia="Arial" w:hAnsi="Arial"/>
          <w:sz w:val="16"/>
          <w:szCs w:val="16"/>
          <w:color w:val="auto"/>
        </w:rPr>
        <w:t>Relative changes in working capital can have a significant effect on cash flows from operating activities. As shown below, the change in our average days sales outstanding from December 31, 2020 to June 30, 2021 varied by segment, primarily as a result of relative changes in the timing of collections but is in line with prior year on a consolidated basis. For comparative purposes, we have provided December 31, 2019 and June 31, 2020 numbers below.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160" w:type="dxa"/>
            <w:vAlign w:val="bottom"/>
            <w:gridSpan w:val="2"/>
          </w:tcPr>
          <w:p>
            <w:pPr>
              <w:ind w:left="1100"/>
              <w:spacing w:after="0"/>
              <w:rPr>
                <w:sz w:val="20"/>
                <w:szCs w:val="20"/>
                <w:color w:val="auto"/>
              </w:rPr>
            </w:pPr>
            <w:r>
              <w:rPr>
                <w:rFonts w:ascii="Arial" w:cs="Arial" w:eastAsia="Arial" w:hAnsi="Arial"/>
                <w:sz w:val="18"/>
                <w:szCs w:val="18"/>
                <w:b w:val="1"/>
                <w:bCs w:val="1"/>
                <w:color w:val="auto"/>
              </w:rPr>
              <w:t>Days Sales Outstanding:</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December 31, 2019</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June 30, 2020</w:t>
            </w:r>
          </w:p>
        </w:tc>
        <w:tc>
          <w:tcPr>
            <w:tcW w:w="1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December 31, 2020</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8"/>
              </w:rPr>
              <w:t>June 30, 2021</w:t>
            </w:r>
          </w:p>
        </w:tc>
      </w:tr>
      <w:tr>
        <w:trPr>
          <w:trHeight w:val="208"/>
        </w:trPr>
        <w:tc>
          <w:tcPr>
            <w:tcW w:w="4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Security Products</w:t>
            </w:r>
          </w:p>
        </w:tc>
        <w:tc>
          <w:tcPr>
            <w:tcW w:w="10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38 Days</w:t>
            </w:r>
          </w:p>
        </w:tc>
        <w:tc>
          <w:tcPr>
            <w:tcW w:w="100" w:type="dxa"/>
            <w:vAlign w:val="bottom"/>
            <w:tcBorders>
              <w:top w:val="single" w:sz="8" w:color="CFF0FC"/>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44 Days</w:t>
            </w:r>
          </w:p>
        </w:tc>
        <w:tc>
          <w:tcPr>
            <w:tcW w:w="100" w:type="dxa"/>
            <w:vAlign w:val="bottom"/>
            <w:tcBorders>
              <w:top w:val="single" w:sz="8" w:color="CFF0FC"/>
            </w:tcBorders>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35 Days</w:t>
            </w:r>
          </w:p>
        </w:tc>
        <w:tc>
          <w:tcPr>
            <w:tcW w:w="100" w:type="dxa"/>
            <w:vAlign w:val="bottom"/>
            <w:tcBorders>
              <w:top w:val="single" w:sz="8" w:color="CFF0FC"/>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45 Days</w:t>
            </w:r>
          </w:p>
        </w:tc>
      </w:tr>
      <w:tr>
        <w:trPr>
          <w:trHeight w:val="214"/>
        </w:trPr>
        <w:tc>
          <w:tcPr>
            <w:tcW w:w="4160" w:type="dxa"/>
            <w:vAlign w:val="bottom"/>
            <w:gridSpan w:val="2"/>
          </w:tcPr>
          <w:p>
            <w:pPr>
              <w:spacing w:after="0"/>
              <w:rPr>
                <w:sz w:val="20"/>
                <w:szCs w:val="20"/>
                <w:color w:val="auto"/>
              </w:rPr>
            </w:pPr>
            <w:r>
              <w:rPr>
                <w:rFonts w:ascii="Arial" w:cs="Arial" w:eastAsia="Arial" w:hAnsi="Arial"/>
                <w:sz w:val="18"/>
                <w:szCs w:val="18"/>
                <w:color w:val="auto"/>
              </w:rPr>
              <w:t>Marine Components</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27 Days</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40 Days</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24 Days</w:t>
            </w:r>
          </w:p>
        </w:tc>
        <w:tc>
          <w:tcPr>
            <w:tcW w:w="1640" w:type="dxa"/>
            <w:vAlign w:val="bottom"/>
          </w:tcPr>
          <w:p>
            <w:pPr>
              <w:jc w:val="center"/>
              <w:spacing w:after="0"/>
              <w:rPr>
                <w:sz w:val="20"/>
                <w:szCs w:val="20"/>
                <w:color w:val="auto"/>
              </w:rPr>
            </w:pPr>
            <w:r>
              <w:rPr>
                <w:rFonts w:ascii="Arial" w:cs="Arial" w:eastAsia="Arial" w:hAnsi="Arial"/>
                <w:sz w:val="18"/>
                <w:szCs w:val="18"/>
                <w:color w:val="auto"/>
                <w:w w:val="87"/>
              </w:rPr>
              <w:t>31 Days</w:t>
            </w:r>
          </w:p>
        </w:tc>
      </w:tr>
      <w:tr>
        <w:trPr>
          <w:trHeight w:val="214"/>
        </w:trPr>
        <w:tc>
          <w:tcPr>
            <w:tcW w:w="4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Consolidated CompX</w:t>
            </w:r>
          </w:p>
        </w:tc>
        <w:tc>
          <w:tcPr>
            <w:tcW w:w="182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0"/>
              </w:rPr>
              <w:t>36 Days</w:t>
            </w:r>
          </w:p>
        </w:tc>
        <w:tc>
          <w:tcPr>
            <w:tcW w:w="170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0"/>
              </w:rPr>
              <w:t>43 Days</w:t>
            </w:r>
          </w:p>
        </w:tc>
        <w:tc>
          <w:tcPr>
            <w:tcW w:w="192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87"/>
              </w:rPr>
              <w:t>33 Days</w:t>
            </w:r>
          </w:p>
        </w:tc>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42 Days</w:t>
            </w:r>
          </w:p>
        </w:tc>
      </w:tr>
    </w:tbl>
    <w:p>
      <w:pPr>
        <w:spacing w:after="0" w:line="38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Our average number of days in inventory at June 30, 2021 is not comparable to prior year due to the record high inventory balances at June 30, 2020 resulting from a temporary pandemic related inventory build but is in-line with December 31, 2020 on a consolidated basis. For comparative purposes, we have provided December 31, 2019 and June 31, 2020 numbers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980" w:type="dxa"/>
            <w:vAlign w:val="bottom"/>
            <w:gridSpan w:val="2"/>
          </w:tcPr>
          <w:p>
            <w:pPr>
              <w:ind w:left="1220"/>
              <w:spacing w:after="0"/>
              <w:rPr>
                <w:sz w:val="20"/>
                <w:szCs w:val="20"/>
                <w:color w:val="auto"/>
              </w:rPr>
            </w:pPr>
            <w:r>
              <w:rPr>
                <w:rFonts w:ascii="Arial" w:cs="Arial" w:eastAsia="Arial" w:hAnsi="Arial"/>
                <w:sz w:val="18"/>
                <w:szCs w:val="18"/>
                <w:b w:val="1"/>
                <w:bCs w:val="1"/>
                <w:color w:val="auto"/>
              </w:rPr>
              <w:t>Days in Inventory:</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 2019</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June 30, 2020</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 2020</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8"/>
              </w:rPr>
              <w:t>June 30, 2021</w:t>
            </w:r>
          </w:p>
        </w:tc>
      </w:tr>
      <w:tr>
        <w:trPr>
          <w:trHeight w:val="208"/>
        </w:trPr>
        <w:tc>
          <w:tcPr>
            <w:tcW w:w="3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Security Products</w:t>
            </w:r>
          </w:p>
        </w:tc>
        <w:tc>
          <w:tcPr>
            <w:tcW w:w="140" w:type="dxa"/>
            <w:vAlign w:val="bottom"/>
            <w:tcBorders>
              <w:top w:val="single" w:sz="8" w:color="CFF0FC"/>
            </w:tcBorders>
            <w:shd w:val="clear" w:color="auto" w:fill="CFF0FC"/>
          </w:tcPr>
          <w:p>
            <w:pPr>
              <w:spacing w:after="0"/>
              <w:rPr>
                <w:sz w:val="18"/>
                <w:szCs w:val="18"/>
                <w:color w:val="auto"/>
              </w:rPr>
            </w:pPr>
          </w:p>
        </w:tc>
        <w:tc>
          <w:tcPr>
            <w:tcW w:w="18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76 Days</w:t>
            </w:r>
          </w:p>
        </w:tc>
        <w:tc>
          <w:tcPr>
            <w:tcW w:w="120" w:type="dxa"/>
            <w:vAlign w:val="bottom"/>
            <w:tcBorders>
              <w:top w:val="single" w:sz="8" w:color="CFF0FC"/>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120 Days</w:t>
            </w:r>
          </w:p>
        </w:tc>
        <w:tc>
          <w:tcPr>
            <w:tcW w:w="120" w:type="dxa"/>
            <w:vAlign w:val="bottom"/>
            <w:tcBorders>
              <w:top w:val="single" w:sz="8" w:color="CFF0FC"/>
            </w:tcBorders>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75 Days</w:t>
            </w:r>
          </w:p>
        </w:tc>
        <w:tc>
          <w:tcPr>
            <w:tcW w:w="10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71 Days</w:t>
            </w:r>
          </w:p>
        </w:tc>
      </w:tr>
      <w:tr>
        <w:trPr>
          <w:trHeight w:val="214"/>
        </w:trPr>
        <w:tc>
          <w:tcPr>
            <w:tcW w:w="3980" w:type="dxa"/>
            <w:vAlign w:val="bottom"/>
            <w:gridSpan w:val="2"/>
          </w:tcPr>
          <w:p>
            <w:pPr>
              <w:spacing w:after="0"/>
              <w:rPr>
                <w:sz w:val="20"/>
                <w:szCs w:val="20"/>
                <w:color w:val="auto"/>
              </w:rPr>
            </w:pPr>
            <w:r>
              <w:rPr>
                <w:rFonts w:ascii="Arial" w:cs="Arial" w:eastAsia="Arial" w:hAnsi="Arial"/>
                <w:sz w:val="18"/>
                <w:szCs w:val="18"/>
                <w:color w:val="auto"/>
              </w:rPr>
              <w:t>Marine Components</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100 Days</w:t>
            </w:r>
          </w:p>
        </w:tc>
        <w:tc>
          <w:tcPr>
            <w:tcW w:w="17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125 Days</w:t>
            </w: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75 Days</w:t>
            </w: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78 Days</w:t>
            </w:r>
          </w:p>
        </w:tc>
      </w:tr>
      <w:tr>
        <w:trPr>
          <w:trHeight w:val="214"/>
        </w:trPr>
        <w:tc>
          <w:tcPr>
            <w:tcW w:w="3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Consolidated CompX</w:t>
            </w:r>
          </w:p>
        </w:tc>
        <w:tc>
          <w:tcPr>
            <w:tcW w:w="19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7"/>
              </w:rPr>
              <w:t>81 Days</w:t>
            </w:r>
          </w:p>
        </w:tc>
        <w:tc>
          <w:tcPr>
            <w:tcW w:w="178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9"/>
              </w:rPr>
              <w:t>121 Days</w:t>
            </w:r>
          </w:p>
        </w:tc>
        <w:tc>
          <w:tcPr>
            <w:tcW w:w="188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87"/>
              </w:rPr>
              <w:t>75 Days</w:t>
            </w: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73 Days</w:t>
            </w:r>
          </w:p>
        </w:tc>
      </w:tr>
    </w:tbl>
    <w:p>
      <w:pPr>
        <w:spacing w:after="0" w:line="226"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Our capital expenditures were $1.6 million in the first six months of 2021 compared to $0.9 million in the first six months of</w:t>
      </w:r>
      <w:r>
        <w:rPr>
          <w:rFonts w:ascii="Arial" w:cs="Arial" w:eastAsia="Arial" w:hAnsi="Arial"/>
          <w:sz w:val="17"/>
          <w:szCs w:val="17"/>
          <w:i w:val="1"/>
          <w:iCs w:val="1"/>
          <w:color w:val="auto"/>
        </w:rPr>
        <w:t xml:space="preserve"> </w:t>
      </w:r>
      <w:r>
        <w:rPr>
          <w:rFonts w:ascii="Arial" w:cs="Arial" w:eastAsia="Arial" w:hAnsi="Arial"/>
          <w:sz w:val="17"/>
          <w:szCs w:val="17"/>
          <w:color w:val="auto"/>
        </w:rPr>
        <w:t>2020. We limited expenditures in 2020 to those required to meet our expected customer demand and those required to properly maintain our facilities and technology infrastructure as a result of the COVID-19 pandemic. Our capital expenditures in the first six months of 2021 are in line with pre-pandemic levels. During the first six months of 2021, Valhi repaid a net $3.5 million under the promissory note ($18.7 million of gross borrowings and $22.2 million of gross repayments). During the first six months of 2020, Valhi borrowed a net $2.4 million under the promissory note ($23.0 million of gross borrowings and $20.6 million of gross repayments). See Note 9 to the Condensed Consolidated Financial Statements.</w:t>
      </w:r>
    </w:p>
    <w:p>
      <w:pPr>
        <w:spacing w:after="0" w:line="178"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In March 2021, our board of directors increased our regular quarterly dividend from $.10 per share to $.20 per share beginning</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first quarter of 2021. The declaration and payment of future dividends and the amount thereof, if any, is discretionary and is dependent upon our results of operations, financial condition, cash requirements for our businesses, contractual requirements and restrictions and other factors deemed relevant by our board of directors. The amount and timing of past dividends is not necessarily indicative of the amount or timing of any future dividends which we might pay.</w:t>
      </w:r>
    </w:p>
    <w:p>
      <w:pPr>
        <w:spacing w:after="0" w:line="19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In addition, during the first quarter of 2021, we acquired 50,000 shares of our Class A common stock in a market transaction for $0.8 million.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 xml:space="preserve">Future cash requirements </w:t>
      </w:r>
      <w:r>
        <w:rPr>
          <w:rFonts w:ascii="Arial" w:cs="Arial" w:eastAsia="Arial" w:hAnsi="Arial"/>
          <w:sz w:val="18"/>
          <w:szCs w:val="18"/>
          <w:b w:val="1"/>
          <w:bCs w:val="1"/>
          <w:color w:val="auto"/>
        </w:rPr>
        <w:t>–</w:t>
      </w:r>
    </w:p>
    <w:p>
      <w:pPr>
        <w:spacing w:after="0" w:line="118"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i w:val="1"/>
          <w:iCs w:val="1"/>
          <w:color w:val="auto"/>
        </w:rPr>
        <w:t>Liquidity</w:t>
      </w:r>
      <w:r>
        <w:rPr>
          <w:rFonts w:ascii="Arial" w:cs="Arial" w:eastAsia="Arial" w:hAnsi="Arial"/>
          <w:sz w:val="18"/>
          <w:szCs w:val="18"/>
          <w:color w:val="auto"/>
        </w:rPr>
        <w:t>. Our primary source of liquidity on an ongoing basis is our cash flow from operating activities, which is generally used to (i) fund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(ii) repay short-term or long-term indebtedness incurred primarily for capital expenditures, investment activities or reducing our outstanding stock, (iii) provide for the payment of dividends (if declared), and (iv) lend to affiliates. From time-to-time, we will incur indebtedness, primarily to fund capital expenditures or business combinations.</w:t>
      </w:r>
    </w:p>
    <w:p>
      <w:pPr>
        <w:spacing w:after="0" w:line="190"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Periodically, we evaluate liquidity requirements, alternative uses of capital, capital needs and available resources in view of, among other things, our capital expenditure requirements, dividend policy and estimated future operating cash flows. As a result of this process, we have in the past and may in the future seek to raise additional capital, refinance or restructure indebtedness, issue additional securities, modify our dividend policy or take a combination of such steps to manage our liquidity and capital resources. In the normal course of business, we may review opportunities for acquisitions, joint ventures or other business combinations in the component products industry. In the event of any such transaction, we may consider using available cash, issuing additional equity securities or increasing our indebtedness or that of our subsidiaries.</w:t>
      </w:r>
    </w:p>
    <w:p>
      <w:pPr>
        <w:spacing w:after="0" w:line="178"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We believe that cash generated from operations together with cash on hand, as well as our ability to obtain external financing, will be sufficient to meet our liquidity needs for working capital, capital expenditures, debt service, dividends (if declared) and any amounts we might loan from time to time under the terms of our revolving loan to Valhi discussed in Note 9 to our Condensed Consolidated Financial Statements (which loans would be solely at our discretion) for both the next 12 months and five years. To the extent that our actual operating results or other developments differ from our expectations, our liquidity could be adversely affected.</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of our $70.4 million aggregate cash and cash equivalents at June 30, 2021 were held in the U.S.</w:t>
      </w:r>
    </w:p>
    <w:p>
      <w:pPr>
        <w:spacing w:after="0" w:line="221" w:lineRule="exact"/>
        <w:rPr>
          <w:sz w:val="20"/>
          <w:szCs w:val="20"/>
          <w:color w:val="auto"/>
        </w:rPr>
      </w:pPr>
    </w:p>
    <w:p>
      <w:pPr>
        <w:jc w:val="both"/>
        <w:ind w:firstLine="510"/>
        <w:spacing w:after="0" w:line="335"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Firm purchase commitments for capital projects in process at June 30, 2021 totaled $0.8 million. Our 2021 capital investments</w:t>
      </w:r>
      <w:r>
        <w:rPr>
          <w:rFonts w:ascii="Arial" w:cs="Arial" w:eastAsia="Arial" w:hAnsi="Arial"/>
          <w:sz w:val="16"/>
          <w:szCs w:val="16"/>
          <w:i w:val="1"/>
          <w:iCs w:val="1"/>
          <w:color w:val="auto"/>
        </w:rPr>
        <w:t xml:space="preserve"> </w:t>
      </w:r>
      <w:r>
        <w:rPr>
          <w:rFonts w:ascii="Arial" w:cs="Arial" w:eastAsia="Arial" w:hAnsi="Arial"/>
          <w:sz w:val="16"/>
          <w:szCs w:val="16"/>
          <w:color w:val="auto"/>
        </w:rPr>
        <w:t>are primarily expenditures to meet our expected customer demand, improve efficiency and properly maintain our facilities and technology infrastructure.</w:t>
      </w:r>
    </w:p>
    <w:p>
      <w:pPr>
        <w:spacing w:after="0" w:line="128"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i w:val="1"/>
          <w:iCs w:val="1"/>
          <w:color w:val="auto"/>
        </w:rPr>
        <w:t xml:space="preserve">Stock repurchase program. </w:t>
      </w:r>
      <w:r>
        <w:rPr>
          <w:rFonts w:ascii="Arial" w:cs="Arial" w:eastAsia="Arial" w:hAnsi="Arial"/>
          <w:sz w:val="18"/>
          <w:szCs w:val="18"/>
          <w:color w:val="auto"/>
        </w:rPr>
        <w:t>During the first quarter of 2021, we purchased 50,000 shares of our Class A common stock in a market transaction. At</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2021, we have 627,547 shares available for repurchase under a stock repurchase program authorized by our board of directors. See Note 7 to our Condensed Consolidated Financial Statements.</w:t>
      </w:r>
    </w:p>
    <w:p>
      <w:pPr>
        <w:spacing w:after="0" w:line="186"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There have been no material changes in our contractual obligations since we filed our 2020 Annual Report and we</w:t>
      </w:r>
      <w:r>
        <w:rPr>
          <w:rFonts w:ascii="Arial" w:cs="Arial" w:eastAsia="Arial" w:hAnsi="Arial"/>
          <w:sz w:val="18"/>
          <w:szCs w:val="18"/>
          <w:i w:val="1"/>
          <w:iCs w:val="1"/>
          <w:color w:val="auto"/>
        </w:rPr>
        <w:t xml:space="preserve"> </w:t>
      </w:r>
      <w:r>
        <w:rPr>
          <w:rFonts w:ascii="Arial" w:cs="Arial" w:eastAsia="Arial" w:hAnsi="Arial"/>
          <w:sz w:val="18"/>
          <w:szCs w:val="18"/>
          <w:color w:val="auto"/>
        </w:rPr>
        <w:t>refer you to that report for a complete description of these commitments.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Off-balance sheet financing arrangements </w:t>
      </w:r>
      <w:r>
        <w:rPr>
          <w:rFonts w:ascii="Arial" w:cs="Arial" w:eastAsia="Arial" w:hAnsi="Arial"/>
          <w:sz w:val="18"/>
          <w:szCs w:val="18"/>
          <w:b w:val="1"/>
          <w:bCs w:val="1"/>
          <w:color w:val="auto"/>
        </w:rPr>
        <w:t>–</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off-balance sheet financing agreements.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w:t>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w:t>
      </w:r>
    </w:p>
    <w:p>
      <w:pPr>
        <w:spacing w:after="0" w:line="114"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color w:val="auto"/>
        </w:rPr>
        <w:t>There have been no changes in the first six months of 2021 with respect to our critical accounting policies presented in Management’s Discussion and Analysis of Financial Condition and Results of Operations in our 2020 Annual Report.</w:t>
      </w:r>
    </w:p>
    <w:p>
      <w:pPr>
        <w:spacing w:after="0" w:line="3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18"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are exposed to market risk from changes in interest rates and raw material prices. There have been no material changes in these market risks since we filed our 2020 Annual Report, and we refer you to Part I, Item 7A – “Quantitative and Qualitative Disclosure About Market Risk” in our 2020 Annual Report. See also Note 8 to the Condensed Consolidated Financial Statements.</w:t>
      </w:r>
    </w:p>
    <w:p>
      <w:pPr>
        <w:spacing w:after="0" w:line="36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14"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b w:val="1"/>
          <w:bCs w:val="1"/>
          <w:color w:val="auto"/>
        </w:rPr>
        <w:t xml:space="preserve">Evaluation of Disclosure Controls and Procedures. </w:t>
      </w:r>
      <w:r>
        <w:rPr>
          <w:rFonts w:ascii="Arial" w:cs="Arial" w:eastAsia="Arial" w:hAnsi="Arial"/>
          <w:sz w:val="18"/>
          <w:szCs w:val="18"/>
          <w:color w:val="auto"/>
        </w:rPr>
        <w:t>We maintain disclosure controls and procedures which, as defined in Exchange Act Rule 13a-15(e), means controls and other procedures that are designed to ensure that information required to be disclosed in the reports that we file or submit to the SEC under the Securities Exchange Act of 1934, as amended (the “Act”), is recorded, processed, summarized and reported within the time periods specified in the SEC’s rules and forms. Disclosure controls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16" w:name="page17"/>
    <w:bookmarkEnd w:id="16"/>
    <w:p>
      <w:pPr>
        <w:jc w:val="both"/>
        <w:spacing w:after="0" w:line="290" w:lineRule="auto"/>
        <w:rPr>
          <w:sz w:val="20"/>
          <w:szCs w:val="20"/>
          <w:color w:val="auto"/>
        </w:rPr>
      </w:pPr>
      <w:r>
        <w:rPr>
          <w:rFonts w:ascii="Arial" w:cs="Arial" w:eastAsia="Arial" w:hAnsi="Arial"/>
          <w:sz w:val="16"/>
          <w:szCs w:val="16"/>
          <w:color w:val="auto"/>
        </w:rPr>
        <w:t>procedures include, without limitation, controls and procedures designed to ensure that information we are required to disclose in the reports that we file or submit to the SEC under the Act is accumulated and communicated to our management, including our principal executive officer and our principal financial officer, or persons performing similar functions, as appropriate to allow timely decisions to be made regarding required disclosure. Our management with the participation of Scott C. James, our President and Chief Executive Officer, and Michael S. Simmons, our Senior Vice President and Chief Financial Officer, has evaluated the design and operating effectiveness of our disclosure controls and procedures as of June 30, 2021. Based upon their evaluation, these executive officers have concluded that our disclosure controls and procedures are effective as of the date of such evaluation.</w:t>
      </w:r>
    </w:p>
    <w:p>
      <w:pPr>
        <w:spacing w:after="0" w:line="53"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b w:val="1"/>
          <w:bCs w:val="1"/>
          <w:color w:val="auto"/>
        </w:rPr>
        <w:t>Internal Control Over Financial Reporting</w:t>
      </w:r>
      <w:r>
        <w:rPr>
          <w:rFonts w:ascii="Arial" w:cs="Arial" w:eastAsia="Arial" w:hAnsi="Arial"/>
          <w:sz w:val="17"/>
          <w:szCs w:val="17"/>
          <w:color w:val="auto"/>
        </w:rPr>
        <w:t>. Our management is responsible for establishing and maintaining adequate internal control over</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reporting which, as defined in Exchange Act Rule 13a-15(f), means a process designed by, or under the 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69" w:lineRule="exact"/>
        <w:rPr>
          <w:sz w:val="20"/>
          <w:szCs w:val="20"/>
          <w:color w:val="auto"/>
        </w:rPr>
      </w:pPr>
    </w:p>
    <w:p>
      <w:pPr>
        <w:ind w:left="1020" w:hanging="505"/>
        <w:spacing w:after="0"/>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136" w:lineRule="exact"/>
        <w:rPr>
          <w:rFonts w:ascii="Arial" w:cs="Arial" w:eastAsia="Arial" w:hAnsi="Arial"/>
          <w:sz w:val="16"/>
          <w:szCs w:val="16"/>
          <w:color w:val="auto"/>
        </w:rPr>
      </w:pPr>
    </w:p>
    <w:p>
      <w:pPr>
        <w:ind w:left="1020" w:right="20" w:hanging="505"/>
        <w:spacing w:after="0" w:line="335"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GAAP, and that receipts and expenditures are being made only in accordance with authorizations of our management and directors, and</w:t>
      </w:r>
    </w:p>
    <w:p>
      <w:pPr>
        <w:spacing w:after="0" w:line="21" w:lineRule="exact"/>
        <w:rPr>
          <w:rFonts w:ascii="Arial" w:cs="Arial" w:eastAsia="Arial" w:hAnsi="Arial"/>
          <w:sz w:val="16"/>
          <w:szCs w:val="16"/>
          <w:color w:val="auto"/>
        </w:rPr>
      </w:pPr>
    </w:p>
    <w:p>
      <w:pPr>
        <w:ind w:left="1020" w:hanging="505"/>
        <w:spacing w:after="0" w:line="27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an unauthorized acquisition, use or disposition of our assets that could have a material effect on our Condensed Consolidated Financial Statements.</w:t>
      </w:r>
    </w:p>
    <w:p>
      <w:pPr>
        <w:spacing w:after="0" w:line="171" w:lineRule="exact"/>
        <w:rPr>
          <w:sz w:val="20"/>
          <w:szCs w:val="20"/>
          <w:color w:val="auto"/>
        </w:rPr>
      </w:pPr>
    </w:p>
    <w:p>
      <w:pPr>
        <w:ind w:firstLine="510"/>
        <w:spacing w:after="0" w:line="306" w:lineRule="auto"/>
        <w:rPr>
          <w:sz w:val="20"/>
          <w:szCs w:val="20"/>
          <w:color w:val="auto"/>
        </w:rPr>
      </w:pPr>
      <w:r>
        <w:rPr>
          <w:rFonts w:ascii="Arial" w:cs="Arial" w:eastAsia="Arial" w:hAnsi="Arial"/>
          <w:sz w:val="17"/>
          <w:szCs w:val="17"/>
          <w:b w:val="1"/>
          <w:bCs w:val="1"/>
          <w:color w:val="auto"/>
        </w:rPr>
        <w:t>Changes in Internal Control Over Financial Reporting</w:t>
      </w:r>
      <w:r>
        <w:rPr>
          <w:rFonts w:ascii="Arial" w:cs="Arial" w:eastAsia="Arial" w:hAnsi="Arial"/>
          <w:sz w:val="17"/>
          <w:szCs w:val="17"/>
          <w:color w:val="auto"/>
        </w:rPr>
        <w:t>. There have been no changes in our internal control over financial reporting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quarter ended June 30, 2021 that have materially affected, or are reasonably likely to materially affect, our internal control over financial reporting.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Part II. OTHER INFORMATION</w:t>
      </w:r>
    </w:p>
    <w:p>
      <w:pPr>
        <w:spacing w:after="0" w:line="12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Reference is made to the 2020 Annual Report for a discussion of risk factors related to our businesses.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0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160" w:type="dxa"/>
            <w:vAlign w:val="bottom"/>
            <w:gridSpan w:val="3"/>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369"/>
        </w:trPr>
        <w:tc>
          <w:tcPr>
            <w:tcW w:w="1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Item No.</w:t>
            </w:r>
          </w:p>
        </w:tc>
        <w:tc>
          <w:tcPr>
            <w:tcW w:w="200" w:type="dxa"/>
            <w:vAlign w:val="bottom"/>
          </w:tcPr>
          <w:p>
            <w:pPr>
              <w:spacing w:after="0"/>
              <w:rPr>
                <w:sz w:val="24"/>
                <w:szCs w:val="24"/>
                <w:color w:val="auto"/>
              </w:rPr>
            </w:pPr>
          </w:p>
        </w:tc>
        <w:tc>
          <w:tcPr>
            <w:tcW w:w="9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Exhibit Index</w:t>
            </w:r>
          </w:p>
        </w:tc>
      </w:tr>
      <w:tr>
        <w:trPr>
          <w:trHeight w:val="294"/>
        </w:trPr>
        <w:tc>
          <w:tcPr>
            <w:tcW w:w="106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900" w:type="dxa"/>
            <w:vAlign w:val="bottom"/>
            <w:tcBorders>
              <w:bottom w:val="single" w:sz="8" w:color="0000EE"/>
            </w:tcBorders>
          </w:tcPr>
          <w:p>
            <w:pPr>
              <w:spacing w:after="0"/>
              <w:rPr>
                <w:rFonts w:ascii="Arial" w:cs="Arial" w:eastAsia="Arial" w:hAnsi="Arial"/>
                <w:sz w:val="18"/>
                <w:szCs w:val="18"/>
                <w:color w:val="0000EE"/>
                <w:w w:val="92"/>
              </w:rPr>
            </w:pPr>
            <w:hyperlink w:anchor="page20">
              <w:r>
                <w:rPr>
                  <w:rFonts w:ascii="Arial" w:cs="Arial" w:eastAsia="Arial" w:hAnsi="Arial"/>
                  <w:sz w:val="18"/>
                  <w:szCs w:val="18"/>
                  <w:color w:val="0000EE"/>
                  <w:w w:val="92"/>
                </w:rPr>
                <w:t>Certification</w:t>
              </w:r>
            </w:hyperlink>
          </w:p>
        </w:tc>
        <w:tc>
          <w:tcPr>
            <w:tcW w:w="906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0"/>
                <w:szCs w:val="20"/>
                <w:color w:val="auto"/>
              </w:rPr>
            </w:pPr>
          </w:p>
        </w:tc>
        <w:tc>
          <w:tcPr>
            <w:tcW w:w="900" w:type="dxa"/>
            <w:vAlign w:val="bottom"/>
            <w:tcBorders>
              <w:bottom w:val="single" w:sz="8" w:color="0000EE"/>
            </w:tcBorders>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Certification</w:t>
              </w:r>
            </w:hyperlink>
          </w:p>
        </w:tc>
        <w:tc>
          <w:tcPr>
            <w:tcW w:w="9060" w:type="dxa"/>
            <w:vAlign w:val="bottom"/>
          </w:tcPr>
          <w:p>
            <w:pPr>
              <w:spacing w:after="0"/>
              <w:rPr>
                <w:sz w:val="20"/>
                <w:szCs w:val="20"/>
                <w:color w:val="auto"/>
              </w:rPr>
            </w:pPr>
          </w:p>
        </w:tc>
      </w:tr>
      <w:tr>
        <w:trPr>
          <w:trHeight w:val="234"/>
        </w:trPr>
        <w:tc>
          <w:tcPr>
            <w:tcW w:w="1060" w:type="dxa"/>
            <w:vAlign w:val="bottom"/>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0"/>
                <w:szCs w:val="20"/>
                <w:color w:val="auto"/>
              </w:rPr>
            </w:pPr>
          </w:p>
        </w:tc>
        <w:tc>
          <w:tcPr>
            <w:tcW w:w="900" w:type="dxa"/>
            <w:vAlign w:val="bottom"/>
            <w:tcBorders>
              <w:bottom w:val="single" w:sz="8" w:color="0000EE"/>
            </w:tcBorders>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Certification</w:t>
              </w:r>
            </w:hyperlink>
          </w:p>
        </w:tc>
        <w:tc>
          <w:tcPr>
            <w:tcW w:w="9060" w:type="dxa"/>
            <w:vAlign w:val="bottom"/>
          </w:tcPr>
          <w:p>
            <w:pPr>
              <w:spacing w:after="0"/>
              <w:rPr>
                <w:sz w:val="20"/>
                <w:szCs w:val="20"/>
                <w:color w:val="auto"/>
              </w:rPr>
            </w:pPr>
          </w:p>
        </w:tc>
      </w:tr>
      <w:tr>
        <w:trPr>
          <w:trHeight w:val="260"/>
        </w:trPr>
        <w:tc>
          <w:tcPr>
            <w:tcW w:w="1060" w:type="dxa"/>
            <w:vAlign w:val="bottom"/>
          </w:tcPr>
          <w:p>
            <w:pPr>
              <w:spacing w:after="0"/>
              <w:rPr>
                <w:sz w:val="20"/>
                <w:szCs w:val="20"/>
                <w:color w:val="auto"/>
              </w:rPr>
            </w:pPr>
            <w:r>
              <w:rPr>
                <w:rFonts w:ascii="Arial" w:cs="Arial" w:eastAsia="Arial" w:hAnsi="Arial"/>
                <w:sz w:val="18"/>
                <w:szCs w:val="18"/>
                <w:color w:val="auto"/>
              </w:rPr>
              <w:t>101.INS</w:t>
            </w:r>
          </w:p>
        </w:tc>
        <w:tc>
          <w:tcPr>
            <w:tcW w:w="200" w:type="dxa"/>
            <w:vAlign w:val="bottom"/>
          </w:tcPr>
          <w:p>
            <w:pPr>
              <w:spacing w:after="0"/>
              <w:rPr>
                <w:sz w:val="22"/>
                <w:szCs w:val="22"/>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89"/>
              </w:rPr>
              <w:t>Inline XBRL Instance Document – the instance document does not appear in the Interactive Data File because its XBRL tags are embedded</w:t>
            </w:r>
          </w:p>
        </w:tc>
      </w:tr>
      <w:tr>
        <w:trPr>
          <w:trHeight w:val="227"/>
        </w:trPr>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within the Inline XBRL document.</w:t>
            </w:r>
          </w:p>
        </w:tc>
      </w:tr>
      <w:tr>
        <w:trPr>
          <w:trHeight w:val="254"/>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200" w:type="dxa"/>
            <w:vAlign w:val="bottom"/>
          </w:tcPr>
          <w:p>
            <w:pPr>
              <w:spacing w:after="0"/>
              <w:rPr>
                <w:sz w:val="22"/>
                <w:szCs w:val="22"/>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Inline XBRL Taxonomy Extension Schema</w:t>
            </w:r>
          </w:p>
        </w:tc>
      </w:tr>
      <w:tr>
        <w:trPr>
          <w:trHeight w:val="254"/>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200" w:type="dxa"/>
            <w:vAlign w:val="bottom"/>
          </w:tcPr>
          <w:p>
            <w:pPr>
              <w:spacing w:after="0"/>
              <w:rPr>
                <w:sz w:val="22"/>
                <w:szCs w:val="22"/>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54"/>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200" w:type="dxa"/>
            <w:vAlign w:val="bottom"/>
          </w:tcPr>
          <w:p>
            <w:pPr>
              <w:spacing w:after="0"/>
              <w:rPr>
                <w:sz w:val="22"/>
                <w:szCs w:val="22"/>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54"/>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200" w:type="dxa"/>
            <w:vAlign w:val="bottom"/>
          </w:tcPr>
          <w:p>
            <w:pPr>
              <w:spacing w:after="0"/>
              <w:rPr>
                <w:sz w:val="22"/>
                <w:szCs w:val="22"/>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54"/>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200" w:type="dxa"/>
            <w:vAlign w:val="bottom"/>
          </w:tcPr>
          <w:p>
            <w:pPr>
              <w:spacing w:after="0"/>
              <w:rPr>
                <w:sz w:val="22"/>
                <w:szCs w:val="22"/>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Inline XBRL Taxonomy Extension Presentation Linkbase</w:t>
            </w:r>
          </w:p>
        </w:tc>
      </w:tr>
    </w:tbl>
    <w:p>
      <w:pPr>
        <w:ind w:left="1260" w:hanging="1253"/>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22" w:lineRule="exact"/>
        <w:rPr>
          <w:rFonts w:ascii="Arial" w:cs="Arial" w:eastAsia="Arial" w:hAnsi="Arial"/>
          <w:sz w:val="18"/>
          <w:szCs w:val="18"/>
          <w:color w:val="auto"/>
        </w:rPr>
      </w:pPr>
    </w:p>
    <w:p>
      <w:pPr>
        <w:ind w:left="5540" w:hanging="109"/>
        <w:spacing w:after="0"/>
        <w:tabs>
          <w:tab w:leader="none" w:pos="5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SIGNATURES</w:t>
      </w:r>
    </w:p>
    <w:p>
      <w:pPr>
        <w:spacing w:after="0" w:line="11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COMPX INTERNATIONAL INC.</w:t>
            </w:r>
          </w:p>
        </w:tc>
        <w:tc>
          <w:tcPr>
            <w:tcW w:w="2360" w:type="dxa"/>
            <w:vAlign w:val="bottom"/>
          </w:tcPr>
          <w:p>
            <w:pPr>
              <w:spacing w:after="0"/>
              <w:rPr>
                <w:sz w:val="17"/>
                <w:szCs w:val="17"/>
                <w:color w:val="auto"/>
              </w:rPr>
            </w:pPr>
          </w:p>
        </w:tc>
      </w:tr>
      <w:tr>
        <w:trPr>
          <w:trHeight w:val="233"/>
        </w:trPr>
        <w:tc>
          <w:tcPr>
            <w:tcW w:w="39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20" w:type="dxa"/>
            <w:vAlign w:val="bottom"/>
            <w:gridSpan w:val="2"/>
          </w:tcPr>
          <w:p>
            <w:pPr>
              <w:ind w:left="460"/>
              <w:spacing w:after="0"/>
              <w:rPr>
                <w:sz w:val="20"/>
                <w:szCs w:val="20"/>
                <w:color w:val="auto"/>
              </w:rPr>
            </w:pPr>
            <w:r>
              <w:rPr>
                <w:rFonts w:ascii="Arial" w:cs="Arial" w:eastAsia="Arial" w:hAnsi="Arial"/>
                <w:sz w:val="18"/>
                <w:szCs w:val="18"/>
                <w:b w:val="1"/>
                <w:bCs w:val="1"/>
                <w:color w:val="auto"/>
              </w:rPr>
              <w:t>(Registrant)</w:t>
            </w:r>
          </w:p>
        </w:tc>
      </w:tr>
      <w:tr>
        <w:trPr>
          <w:trHeight w:val="455"/>
        </w:trPr>
        <w:tc>
          <w:tcPr>
            <w:tcW w:w="3900" w:type="dxa"/>
            <w:vAlign w:val="bottom"/>
          </w:tcPr>
          <w:p>
            <w:pPr>
              <w:spacing w:after="0"/>
              <w:rPr>
                <w:sz w:val="20"/>
                <w:szCs w:val="20"/>
                <w:color w:val="auto"/>
              </w:rPr>
            </w:pPr>
            <w:r>
              <w:rPr>
                <w:rFonts w:ascii="Arial" w:cs="Arial" w:eastAsia="Arial" w:hAnsi="Arial"/>
                <w:sz w:val="18"/>
                <w:szCs w:val="18"/>
                <w:color w:val="auto"/>
              </w:rPr>
              <w:t>Date: August 3, 2021</w:t>
            </w:r>
          </w:p>
        </w:tc>
        <w:tc>
          <w:tcPr>
            <w:tcW w:w="7340" w:type="dxa"/>
            <w:vAlign w:val="bottom"/>
            <w:gridSpan w:val="4"/>
          </w:tcPr>
          <w:p>
            <w:pPr>
              <w:ind w:left="2320"/>
              <w:spacing w:after="0"/>
              <w:rPr>
                <w:sz w:val="20"/>
                <w:szCs w:val="20"/>
                <w:color w:val="auto"/>
              </w:rPr>
            </w:pPr>
            <w:r>
              <w:rPr>
                <w:rFonts w:ascii="Arial" w:cs="Arial" w:eastAsia="Arial" w:hAnsi="Arial"/>
                <w:sz w:val="18"/>
                <w:szCs w:val="18"/>
                <w:color w:val="auto"/>
              </w:rPr>
              <w:t>By:  /s/ Michael S. Simmons</w:t>
            </w:r>
          </w:p>
        </w:tc>
      </w:tr>
      <w:tr>
        <w:trPr>
          <w:trHeight w:val="194"/>
        </w:trPr>
        <w:tc>
          <w:tcPr>
            <w:tcW w:w="39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20" w:type="dxa"/>
            <w:vAlign w:val="bottom"/>
            <w:tcBorders>
              <w:top w:val="single" w:sz="8" w:color="auto"/>
            </w:tcBorders>
            <w:gridSpan w:val="2"/>
          </w:tcPr>
          <w:p>
            <w:pPr>
              <w:spacing w:after="0" w:line="194" w:lineRule="exact"/>
              <w:rPr>
                <w:sz w:val="20"/>
                <w:szCs w:val="20"/>
                <w:color w:val="auto"/>
              </w:rPr>
            </w:pPr>
            <w:r>
              <w:rPr>
                <w:rFonts w:ascii="Arial" w:cs="Arial" w:eastAsia="Arial" w:hAnsi="Arial"/>
                <w:sz w:val="18"/>
                <w:szCs w:val="18"/>
                <w:color w:val="auto"/>
              </w:rPr>
              <w:t>Michael S. Simmons</w:t>
            </w:r>
          </w:p>
        </w:tc>
      </w:tr>
      <w:tr>
        <w:trPr>
          <w:trHeight w:val="227"/>
        </w:trPr>
        <w:tc>
          <w:tcPr>
            <w:tcW w:w="39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643"/>
        </w:trPr>
        <w:tc>
          <w:tcPr>
            <w:tcW w:w="3900" w:type="dxa"/>
            <w:vAlign w:val="bottom"/>
          </w:tcPr>
          <w:p>
            <w:pPr>
              <w:spacing w:after="0"/>
              <w:rPr>
                <w:sz w:val="24"/>
                <w:szCs w:val="24"/>
                <w:color w:val="auto"/>
              </w:rPr>
            </w:pPr>
          </w:p>
        </w:tc>
        <w:tc>
          <w:tcPr>
            <w:tcW w:w="7340" w:type="dxa"/>
            <w:vAlign w:val="bottom"/>
            <w:gridSpan w:val="4"/>
          </w:tcPr>
          <w:p>
            <w:pPr>
              <w:ind w:left="2320"/>
              <w:spacing w:after="0"/>
              <w:rPr>
                <w:sz w:val="20"/>
                <w:szCs w:val="20"/>
                <w:color w:val="auto"/>
              </w:rPr>
            </w:pPr>
            <w:r>
              <w:rPr>
                <w:rFonts w:ascii="Arial" w:cs="Arial" w:eastAsia="Arial" w:hAnsi="Arial"/>
                <w:sz w:val="18"/>
                <w:szCs w:val="18"/>
                <w:color w:val="auto"/>
              </w:rPr>
              <w:t>By:  /s/ Amy E. Ruf</w:t>
            </w:r>
          </w:p>
        </w:tc>
      </w:tr>
      <w:tr>
        <w:trPr>
          <w:trHeight w:val="194"/>
        </w:trPr>
        <w:tc>
          <w:tcPr>
            <w:tcW w:w="39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20" w:type="dxa"/>
            <w:vAlign w:val="bottom"/>
            <w:tcBorders>
              <w:top w:val="single" w:sz="8" w:color="auto"/>
            </w:tcBorders>
            <w:gridSpan w:val="2"/>
          </w:tcPr>
          <w:p>
            <w:pPr>
              <w:spacing w:after="0" w:line="194" w:lineRule="exact"/>
              <w:rPr>
                <w:sz w:val="20"/>
                <w:szCs w:val="20"/>
                <w:color w:val="auto"/>
              </w:rPr>
            </w:pPr>
            <w:r>
              <w:rPr>
                <w:rFonts w:ascii="Arial" w:cs="Arial" w:eastAsia="Arial" w:hAnsi="Arial"/>
                <w:sz w:val="18"/>
                <w:szCs w:val="18"/>
                <w:color w:val="auto"/>
              </w:rPr>
              <w:t>Amy E. Ruf</w:t>
            </w:r>
          </w:p>
        </w:tc>
      </w:tr>
      <w:tr>
        <w:trPr>
          <w:trHeight w:val="227"/>
        </w:trPr>
        <w:tc>
          <w:tcPr>
            <w:tcW w:w="39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Vice President and Controller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240"/>
          </w:cols>
          <w:pgMar w:left="320" w:top="335"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Scott C. James, certify that:</w:t>
      </w:r>
    </w:p>
    <w:p>
      <w:pPr>
        <w:spacing w:after="0" w:line="114" w:lineRule="exact"/>
        <w:rPr>
          <w:sz w:val="20"/>
          <w:szCs w:val="20"/>
          <w:color w:val="auto"/>
        </w:rPr>
      </w:pPr>
    </w:p>
    <w:p>
      <w:pPr>
        <w:ind w:left="520" w:hanging="513"/>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CompX International Inc.;</w:t>
      </w:r>
    </w:p>
    <w:p>
      <w:pPr>
        <w:spacing w:after="0" w:line="113" w:lineRule="exact"/>
        <w:rPr>
          <w:rFonts w:ascii="Arial" w:cs="Arial" w:eastAsia="Arial" w:hAnsi="Arial"/>
          <w:sz w:val="18"/>
          <w:szCs w:val="18"/>
          <w:color w:val="auto"/>
        </w:rPr>
      </w:pPr>
    </w:p>
    <w:p>
      <w:pPr>
        <w:jc w:val="both"/>
        <w:ind w:left="520" w:hanging="513"/>
        <w:spacing w:after="0" w:line="259"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18"/>
          <w:szCs w:val="18"/>
          <w:color w:val="auto"/>
        </w:rPr>
      </w:pPr>
    </w:p>
    <w:p>
      <w:pPr>
        <w:ind w:left="520" w:hanging="513"/>
        <w:spacing w:after="0" w:line="301" w:lineRule="auto"/>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7"/>
          <w:szCs w:val="17"/>
          <w:color w:val="auto"/>
        </w:rPr>
      </w:pPr>
    </w:p>
    <w:p>
      <w:pPr>
        <w:jc w:val="both"/>
        <w:ind w:left="520" w:hanging="513"/>
        <w:spacing w:after="0" w:line="259"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have:</w:t>
      </w:r>
    </w:p>
    <w:p>
      <w:pPr>
        <w:spacing w:after="0" w:line="78" w:lineRule="exact"/>
        <w:rPr>
          <w:rFonts w:ascii="Arial" w:cs="Arial" w:eastAsia="Arial" w:hAnsi="Arial"/>
          <w:sz w:val="18"/>
          <w:szCs w:val="18"/>
          <w:color w:val="auto"/>
        </w:rPr>
      </w:pPr>
    </w:p>
    <w:p>
      <w:pPr>
        <w:jc w:val="both"/>
        <w:ind w:left="1020" w:hanging="505"/>
        <w:spacing w:after="0" w:line="259"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jc w:val="both"/>
        <w:ind w:left="1020" w:hanging="505"/>
        <w:spacing w:after="0" w:line="259"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ind w:left="1020" w:hanging="505"/>
        <w:spacing w:after="0" w:line="335" w:lineRule="auto"/>
        <w:tabs>
          <w:tab w:leader="none" w:pos="102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16"/>
          <w:szCs w:val="16"/>
          <w:color w:val="auto"/>
        </w:rPr>
      </w:pPr>
    </w:p>
    <w:p>
      <w:pPr>
        <w:jc w:val="both"/>
        <w:ind w:left="1020" w:hanging="505"/>
        <w:spacing w:after="0" w:line="259"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520" w:hanging="513"/>
        <w:spacing w:after="0" w:line="301" w:lineRule="auto"/>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44" w:lineRule="exact"/>
        <w:rPr>
          <w:rFonts w:ascii="Arial" w:cs="Arial" w:eastAsia="Arial" w:hAnsi="Arial"/>
          <w:sz w:val="17"/>
          <w:szCs w:val="17"/>
          <w:color w:val="auto"/>
        </w:rPr>
      </w:pPr>
    </w:p>
    <w:p>
      <w:pPr>
        <w:ind w:left="1020" w:hanging="505"/>
        <w:spacing w:after="0" w:line="301" w:lineRule="auto"/>
        <w:tabs>
          <w:tab w:leader="none" w:pos="1020"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7"/>
          <w:szCs w:val="17"/>
          <w:color w:val="auto"/>
        </w:rPr>
      </w:pPr>
    </w:p>
    <w:p>
      <w:pPr>
        <w:ind w:left="1020" w:right="20" w:hanging="505"/>
        <w:spacing w:after="0" w:line="271"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p>
      <w:pPr>
        <w:spacing w:after="0" w:line="2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Scott C. James</w:t>
      </w:r>
    </w:p>
    <w:p>
      <w:pPr>
        <w:spacing w:after="0" w:line="2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-130175</wp:posOffset>
            </wp:positionV>
            <wp:extent cx="25901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90165" cy="8255"/>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335"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Michael S. Simmons, certify that:</w:t>
      </w:r>
    </w:p>
    <w:p>
      <w:pPr>
        <w:spacing w:after="0" w:line="114" w:lineRule="exact"/>
        <w:rPr>
          <w:sz w:val="20"/>
          <w:szCs w:val="20"/>
          <w:color w:val="auto"/>
        </w:rPr>
      </w:pPr>
    </w:p>
    <w:p>
      <w:pPr>
        <w:ind w:left="520" w:hanging="513"/>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CompX International Inc.;</w:t>
      </w:r>
    </w:p>
    <w:p>
      <w:pPr>
        <w:spacing w:after="0" w:line="113" w:lineRule="exact"/>
        <w:rPr>
          <w:rFonts w:ascii="Arial" w:cs="Arial" w:eastAsia="Arial" w:hAnsi="Arial"/>
          <w:sz w:val="18"/>
          <w:szCs w:val="18"/>
          <w:color w:val="auto"/>
        </w:rPr>
      </w:pPr>
    </w:p>
    <w:p>
      <w:pPr>
        <w:jc w:val="both"/>
        <w:ind w:left="520" w:hanging="513"/>
        <w:spacing w:after="0" w:line="259"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18"/>
          <w:szCs w:val="18"/>
          <w:color w:val="auto"/>
        </w:rPr>
      </w:pPr>
    </w:p>
    <w:p>
      <w:pPr>
        <w:ind w:left="520" w:hanging="513"/>
        <w:spacing w:after="0" w:line="301" w:lineRule="auto"/>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7"/>
          <w:szCs w:val="17"/>
          <w:color w:val="auto"/>
        </w:rPr>
      </w:pPr>
    </w:p>
    <w:p>
      <w:pPr>
        <w:jc w:val="both"/>
        <w:ind w:left="520" w:hanging="513"/>
        <w:spacing w:after="0" w:line="259"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13d-15(f)) for the registrant and have:</w:t>
      </w:r>
    </w:p>
    <w:p>
      <w:pPr>
        <w:spacing w:after="0" w:line="78" w:lineRule="exact"/>
        <w:rPr>
          <w:rFonts w:ascii="Arial" w:cs="Arial" w:eastAsia="Arial" w:hAnsi="Arial"/>
          <w:sz w:val="18"/>
          <w:szCs w:val="18"/>
          <w:color w:val="auto"/>
        </w:rPr>
      </w:pPr>
    </w:p>
    <w:p>
      <w:pPr>
        <w:jc w:val="both"/>
        <w:ind w:left="1020" w:hanging="505"/>
        <w:spacing w:after="0" w:line="259" w:lineRule="auto"/>
        <w:tabs>
          <w:tab w:leader="none" w:pos="10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jc w:val="both"/>
        <w:ind w:left="1020" w:hanging="505"/>
        <w:spacing w:after="0" w:line="259" w:lineRule="auto"/>
        <w:tabs>
          <w:tab w:leader="none" w:pos="10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ind w:left="1020" w:hanging="505"/>
        <w:spacing w:after="0" w:line="335" w:lineRule="auto"/>
        <w:tabs>
          <w:tab w:leader="none" w:pos="102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16"/>
          <w:szCs w:val="16"/>
          <w:color w:val="auto"/>
        </w:rPr>
      </w:pPr>
    </w:p>
    <w:p>
      <w:pPr>
        <w:jc w:val="both"/>
        <w:ind w:left="1020" w:hanging="505"/>
        <w:spacing w:after="0" w:line="259" w:lineRule="auto"/>
        <w:tabs>
          <w:tab w:leader="none" w:pos="10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520" w:hanging="513"/>
        <w:spacing w:after="0" w:line="301" w:lineRule="auto"/>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44" w:lineRule="exact"/>
        <w:rPr>
          <w:rFonts w:ascii="Arial" w:cs="Arial" w:eastAsia="Arial" w:hAnsi="Arial"/>
          <w:sz w:val="17"/>
          <w:szCs w:val="17"/>
          <w:color w:val="auto"/>
        </w:rPr>
      </w:pPr>
    </w:p>
    <w:p>
      <w:pPr>
        <w:ind w:left="1020" w:hanging="505"/>
        <w:spacing w:after="0" w:line="301" w:lineRule="auto"/>
        <w:tabs>
          <w:tab w:leader="none" w:pos="1020"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7"/>
          <w:szCs w:val="17"/>
          <w:color w:val="auto"/>
        </w:rPr>
      </w:pPr>
    </w:p>
    <w:p>
      <w:pPr>
        <w:ind w:left="1020" w:right="20" w:hanging="505"/>
        <w:spacing w:after="0" w:line="271" w:lineRule="auto"/>
        <w:tabs>
          <w:tab w:leader="none" w:pos="10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  /s/ Michael S. Simmons</w:t>
      </w:r>
    </w:p>
    <w:p>
      <w:pPr>
        <w:spacing w:after="0" w:line="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Michael S.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-130175</wp:posOffset>
            </wp:positionV>
            <wp:extent cx="33883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Senior Vice President and Chief Financial Officer</w:t>
      </w:r>
    </w:p>
    <w:p>
      <w:pPr>
        <w:spacing w:after="0" w:line="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335"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Quarterly Report of CompX International Inc. (the Company) on Form 10-Q for the period ending June 30, 2021, as filed with the Securities and Exchange Commission on the date hereof (the Report), I, Scott C. James, President and Chief Executive Officer of the Company and I, Michael S. Simmons, Senior Vice President and Chief Financial Officer of the Company, certify, pursuant to 18 U.S.C. §1350, as adopted pursuant to §906 of the Sarbanes-Oxley Act of 2002, that:</w:t>
      </w:r>
    </w:p>
    <w:p>
      <w:pPr>
        <w:spacing w:after="0" w:line="83" w:lineRule="exact"/>
        <w:rPr>
          <w:sz w:val="20"/>
          <w:szCs w:val="20"/>
          <w:color w:val="auto"/>
        </w:rPr>
      </w:pPr>
    </w:p>
    <w:p>
      <w:pPr>
        <w:ind w:left="1020" w:hanging="50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0" w:lineRule="exact"/>
        <w:rPr>
          <w:rFonts w:ascii="Arial" w:cs="Arial" w:eastAsia="Arial" w:hAnsi="Arial"/>
          <w:sz w:val="18"/>
          <w:szCs w:val="18"/>
          <w:color w:val="auto"/>
        </w:rPr>
      </w:pPr>
    </w:p>
    <w:p>
      <w:pPr>
        <w:ind w:left="1020" w:hanging="505"/>
        <w:spacing w:after="0"/>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By:  /s/ Scott C. James</w:t>
      </w:r>
    </w:p>
    <w:p>
      <w:pPr>
        <w:spacing w:after="0" w:line="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-130175</wp:posOffset>
            </wp:positionV>
            <wp:extent cx="29044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04490" cy="825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President and Chief Executive Officer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By:  /s/ Michael S. Simmons</w:t>
      </w:r>
    </w:p>
    <w:p>
      <w:pPr>
        <w:spacing w:after="0" w:line="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Michael S.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-130175</wp:posOffset>
            </wp:positionV>
            <wp:extent cx="29044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04490" cy="825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Senior Vice President and Chief Financial Officer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 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04"/>
    </w:lvl>
    <w:lvl w:ilvl="1">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2021-08-03T15:56:33Z</dcterms:created>
  <dcterms:modified xsi:type="dcterms:W3CDTF">2021-08-03T15:56:33Z</dcterms:modified>
</cp:coreProperties>
</file>