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945515</wp:posOffset>
            </wp:positionH>
            <wp:positionV relativeFrom="page">
              <wp:posOffset>431800</wp:posOffset>
            </wp:positionV>
            <wp:extent cx="565785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657850" cy="34290"/>
                    </a:xfrm>
                    <a:prstGeom prst="rect">
                      <a:avLst/>
                    </a:prstGeom>
                    <a:noFill/>
                  </pic:spPr>
                </pic:pic>
              </a:graphicData>
            </a:graphic>
          </wp:anchor>
        </w:drawing>
        <w:drawing>
          <wp:anchor simplePos="0" relativeHeight="251657728" behindDoc="1" locked="0" layoutInCell="0" allowOverlap="1">
            <wp:simplePos x="0" y="0"/>
            <wp:positionH relativeFrom="page">
              <wp:posOffset>945515</wp:posOffset>
            </wp:positionH>
            <wp:positionV relativeFrom="page">
              <wp:posOffset>500380</wp:posOffset>
            </wp:positionV>
            <wp:extent cx="565785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785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11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Date of Report (Date of earliest event reported)</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May 20, 2026</w:t>
      </w:r>
    </w:p>
    <w:p>
      <w:pPr>
        <w:spacing w:after="0" w:line="5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COMPX INTERNATIONAL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97" w:lineRule="exact"/>
        <w:rPr>
          <w:sz w:val="24"/>
          <w:szCs w:val="24"/>
          <w:color w:val="auto"/>
        </w:rPr>
      </w:pPr>
    </w:p>
    <w:tbl>
      <w:tblPr>
        <w:tblLayout w:type="fixed"/>
        <w:tblInd w:w="500" w:type="dxa"/>
        <w:tblCellMar>
          <w:top w:w="0" w:type="dxa"/>
          <w:left w:w="0" w:type="dxa"/>
          <w:bottom w:w="0" w:type="dxa"/>
          <w:right w:w="0" w:type="dxa"/>
        </w:tblCellMar>
      </w:tblPr>
      <w:tr>
        <w:trPr>
          <w:trHeight w:val="25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22"/>
                <w:szCs w:val="22"/>
                <w:b w:val="1"/>
                <w:bCs w:val="1"/>
                <w:color w:val="auto"/>
                <w:w w:val="98"/>
              </w:rPr>
              <w:t>Delaware</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22"/>
                <w:szCs w:val="22"/>
                <w:b w:val="1"/>
                <w:bCs w:val="1"/>
                <w:color w:val="auto"/>
                <w:w w:val="98"/>
              </w:rPr>
              <w:t>1-13905</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57-0981653</w:t>
            </w:r>
          </w:p>
        </w:tc>
      </w:tr>
      <w:tr>
        <w:trPr>
          <w:trHeight w:val="216"/>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640" w:type="dxa"/>
            <w:vAlign w:val="bottom"/>
          </w:tcPr>
          <w:p>
            <w:pPr>
              <w:jc w:val="center"/>
              <w:ind w:right="144"/>
              <w:spacing w:after="0"/>
              <w:rPr>
                <w:sz w:val="20"/>
                <w:szCs w:val="20"/>
                <w:color w:val="auto"/>
              </w:rPr>
            </w:pPr>
            <w:r>
              <w:rPr>
                <w:rFonts w:ascii="Times New Roman" w:cs="Times New Roman" w:eastAsia="Times New Roman" w:hAnsi="Times New Roman"/>
                <w:sz w:val="18"/>
                <w:szCs w:val="18"/>
                <w:color w:val="auto"/>
                <w:w w:val="98"/>
              </w:rPr>
              <w:t>(Commission</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2820" w:type="dxa"/>
            <w:vAlign w:val="bottom"/>
          </w:tcPr>
          <w:p>
            <w:pPr>
              <w:jc w:val="center"/>
              <w:ind w:right="643"/>
              <w:spacing w:after="0"/>
              <w:rPr>
                <w:sz w:val="20"/>
                <w:szCs w:val="20"/>
                <w:color w:val="auto"/>
              </w:rPr>
            </w:pPr>
            <w:r>
              <w:rPr>
                <w:rFonts w:ascii="Times New Roman" w:cs="Times New Roman" w:eastAsia="Times New Roman" w:hAnsi="Times New Roman"/>
                <w:sz w:val="18"/>
                <w:szCs w:val="18"/>
                <w:color w:val="auto"/>
              </w:rPr>
              <w:t>incorporation)</w:t>
            </w:r>
          </w:p>
        </w:tc>
        <w:tc>
          <w:tcPr>
            <w:tcW w:w="2640" w:type="dxa"/>
            <w:vAlign w:val="bottom"/>
          </w:tcPr>
          <w:p>
            <w:pPr>
              <w:jc w:val="center"/>
              <w:ind w:right="124"/>
              <w:spacing w:after="0"/>
              <w:rPr>
                <w:sz w:val="20"/>
                <w:szCs w:val="20"/>
                <w:color w:val="auto"/>
              </w:rPr>
            </w:pPr>
            <w:r>
              <w:rPr>
                <w:rFonts w:ascii="Times New Roman" w:cs="Times New Roman" w:eastAsia="Times New Roman" w:hAnsi="Times New Roman"/>
                <w:sz w:val="18"/>
                <w:szCs w:val="18"/>
                <w:color w:val="auto"/>
              </w:rPr>
              <w:t>File Number)</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657"/>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22"/>
                <w:szCs w:val="22"/>
                <w:b w:val="1"/>
                <w:bCs w:val="1"/>
                <w:color w:val="auto"/>
                <w:w w:val="97"/>
              </w:rPr>
              <w:t>5430 LBJ Freeway, Suite 1700, Dallas, Texas</w:t>
            </w:r>
          </w:p>
        </w:tc>
        <w:tc>
          <w:tcPr>
            <w:tcW w:w="2200" w:type="dxa"/>
            <w:vAlign w:val="bottom"/>
          </w:tcPr>
          <w:p>
            <w:pPr>
              <w:jc w:val="center"/>
              <w:ind w:left="743"/>
              <w:spacing w:after="0"/>
              <w:rPr>
                <w:sz w:val="20"/>
                <w:szCs w:val="20"/>
                <w:color w:val="auto"/>
              </w:rPr>
            </w:pPr>
            <w:r>
              <w:rPr>
                <w:rFonts w:ascii="Times New Roman" w:cs="Times New Roman" w:eastAsia="Times New Roman" w:hAnsi="Times New Roman"/>
                <w:sz w:val="22"/>
                <w:szCs w:val="22"/>
                <w:b w:val="1"/>
                <w:bCs w:val="1"/>
                <w:color w:val="auto"/>
                <w:w w:val="97"/>
              </w:rPr>
              <w:t>75240-2620</w:t>
            </w:r>
          </w:p>
        </w:tc>
      </w:tr>
      <w:tr>
        <w:trPr>
          <w:trHeight w:val="234"/>
        </w:trPr>
        <w:tc>
          <w:tcPr>
            <w:tcW w:w="5460" w:type="dxa"/>
            <w:vAlign w:val="bottom"/>
            <w:gridSpan w:val="2"/>
          </w:tcPr>
          <w:p>
            <w:pPr>
              <w:jc w:val="center"/>
              <w:ind w:right="284"/>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2200" w:type="dxa"/>
            <w:vAlign w:val="bottom"/>
          </w:tcPr>
          <w:p>
            <w:pPr>
              <w:jc w:val="center"/>
              <w:ind w:left="763"/>
              <w:spacing w:after="0"/>
              <w:rPr>
                <w:sz w:val="20"/>
                <w:szCs w:val="20"/>
                <w:color w:val="auto"/>
              </w:rPr>
            </w:pPr>
            <w:r>
              <w:rPr>
                <w:rFonts w:ascii="Times New Roman" w:cs="Times New Roman" w:eastAsia="Times New Roman" w:hAnsi="Times New Roman"/>
                <w:sz w:val="18"/>
                <w:szCs w:val="18"/>
                <w:color w:val="auto"/>
                <w:w w:val="98"/>
              </w:rPr>
              <w:t>(Zip Code)</w:t>
            </w:r>
          </w:p>
        </w:tc>
      </w:tr>
    </w:tbl>
    <w:p>
      <w:pPr>
        <w:spacing w:after="0" w:line="1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(972) 448-1400</w:t>
      </w:r>
    </w:p>
    <w:p>
      <w:pPr>
        <w:spacing w:after="0" w:line="3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1376680</wp:posOffset>
            </wp:positionH>
            <wp:positionV relativeFrom="paragraph">
              <wp:posOffset>-127635</wp:posOffset>
            </wp:positionV>
            <wp:extent cx="2974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74340" cy="8255"/>
                    </a:xfrm>
                    <a:prstGeom prst="rect">
                      <a:avLst/>
                    </a:prstGeom>
                    <a:noFill/>
                  </pic:spPr>
                </pic:pic>
              </a:graphicData>
            </a:graphic>
          </wp:anchor>
        </w:drawing>
      </w:r>
    </w:p>
    <w:p>
      <w:pPr>
        <w:spacing w:after="0" w:line="111" w:lineRule="exact"/>
        <w:rPr>
          <w:sz w:val="24"/>
          <w:szCs w:val="24"/>
          <w:color w:val="auto"/>
        </w:rPr>
      </w:pPr>
    </w:p>
    <w:p>
      <w:pPr>
        <w:ind w:left="60" w:right="79"/>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 (see General Instruction A.2):</w:t>
      </w:r>
    </w:p>
    <w:p>
      <w:pPr>
        <w:spacing w:after="0" w:line="81" w:lineRule="exact"/>
        <w:rPr>
          <w:sz w:val="24"/>
          <w:szCs w:val="24"/>
          <w:color w:val="auto"/>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44" w:lineRule="exact"/>
        <w:rPr>
          <w:rFonts w:ascii="MS PGothic" w:cs="MS PGothic" w:eastAsia="MS PGothic" w:hAnsi="MS PGothic"/>
          <w:sz w:val="22"/>
          <w:szCs w:val="22"/>
          <w:color w:val="auto"/>
          <w:highlight w:val="black"/>
        </w:rPr>
      </w:pPr>
    </w:p>
    <w:p>
      <w:pPr>
        <w:ind w:left="540" w:hanging="336"/>
        <w:spacing w:after="0"/>
        <w:tabs>
          <w:tab w:leader="none" w:pos="540" w:val="left"/>
        </w:tabs>
        <w:numPr>
          <w:ilvl w:val="0"/>
          <w:numId w:val="1"/>
        </w:numPr>
        <w:rPr>
          <w:rFonts w:ascii="MS PGothic" w:cs="MS PGothic" w:eastAsia="MS PGothic" w:hAnsi="MS PGothic"/>
          <w:sz w:val="22"/>
          <w:szCs w:val="22"/>
          <w:color w:val="auto"/>
          <w:highlight w:val="black"/>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37" w:lineRule="exact"/>
        <w:rPr>
          <w:sz w:val="24"/>
          <w:szCs w:val="24"/>
          <w:color w:val="auto"/>
        </w:rPr>
      </w:pPr>
    </w:p>
    <w:p>
      <w:pPr>
        <w:ind w:left="60"/>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12" w:lineRule="exact"/>
        <w:rPr>
          <w:sz w:val="24"/>
          <w:szCs w:val="24"/>
          <w:color w:val="auto"/>
        </w:rPr>
      </w:pPr>
    </w:p>
    <w:tbl>
      <w:tblPr>
        <w:tblLayout w:type="fixed"/>
        <w:tblInd w:w="60" w:type="dxa"/>
        <w:tblCellMar>
          <w:top w:w="0" w:type="dxa"/>
          <w:left w:w="0" w:type="dxa"/>
          <w:bottom w:w="0" w:type="dxa"/>
          <w:right w:w="0" w:type="dxa"/>
        </w:tblCellMar>
      </w:tblPr>
      <w:tr>
        <w:trPr>
          <w:trHeight w:val="161"/>
        </w:trPr>
        <w:tc>
          <w:tcPr>
            <w:tcW w:w="33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4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w w:val="97"/>
              </w:rPr>
              <w:t>Trading</w:t>
            </w:r>
          </w:p>
        </w:tc>
        <w:tc>
          <w:tcPr>
            <w:tcW w:w="220" w:type="dxa"/>
            <w:vAlign w:val="bottom"/>
            <w:vMerge w:val="restart"/>
          </w:tcPr>
          <w:p>
            <w:pPr>
              <w:ind w:left="100"/>
              <w:spacing w:after="0"/>
              <w:rPr>
                <w:sz w:val="20"/>
                <w:szCs w:val="20"/>
                <w:color w:val="auto"/>
              </w:rPr>
            </w:pPr>
            <w:r>
              <w:rPr>
                <w:rFonts w:ascii="Times New Roman" w:cs="Times New Roman" w:eastAsia="Times New Roman" w:hAnsi="Times New Roman"/>
                <w:sz w:val="14"/>
                <w:szCs w:val="14"/>
                <w:color w:val="auto"/>
              </w:rPr>
              <w:t>​​​</w:t>
            </w:r>
          </w:p>
        </w:tc>
        <w:tc>
          <w:tcPr>
            <w:tcW w:w="3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73"/>
        </w:trPr>
        <w:tc>
          <w:tcPr>
            <w:tcW w:w="3320" w:type="dxa"/>
            <w:vAlign w:val="bottom"/>
            <w:vMerge w:val="continue"/>
          </w:tcPr>
          <w:p>
            <w:pPr>
              <w:spacing w:after="0"/>
              <w:rPr>
                <w:sz w:val="15"/>
                <w:szCs w:val="15"/>
                <w:color w:val="auto"/>
              </w:rPr>
            </w:pPr>
          </w:p>
        </w:tc>
        <w:tc>
          <w:tcPr>
            <w:tcW w:w="340" w:type="dxa"/>
            <w:vAlign w:val="bottom"/>
            <w:gridSpan w:val="2"/>
            <w:vMerge w:val="continue"/>
          </w:tcPr>
          <w:p>
            <w:pPr>
              <w:spacing w:after="0"/>
              <w:rPr>
                <w:sz w:val="15"/>
                <w:szCs w:val="15"/>
                <w:color w:val="auto"/>
              </w:rPr>
            </w:pPr>
          </w:p>
        </w:tc>
        <w:tc>
          <w:tcPr>
            <w:tcW w:w="1140" w:type="dxa"/>
            <w:vAlign w:val="bottom"/>
          </w:tcPr>
          <w:p>
            <w:pPr>
              <w:jc w:val="center"/>
              <w:ind w:right="108"/>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220" w:type="dxa"/>
            <w:vAlign w:val="bottom"/>
            <w:vMerge w:val="continue"/>
          </w:tcPr>
          <w:p>
            <w:pPr>
              <w:spacing w:after="0"/>
              <w:rPr>
                <w:sz w:val="15"/>
                <w:szCs w:val="15"/>
                <w:color w:val="auto"/>
              </w:rPr>
            </w:pPr>
          </w:p>
        </w:tc>
        <w:tc>
          <w:tcPr>
            <w:tcW w:w="38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19"/>
        </w:trPr>
        <w:tc>
          <w:tcPr>
            <w:tcW w:w="3320" w:type="dxa"/>
            <w:vAlign w:val="bottom"/>
            <w:tcBorders>
              <w:top w:val="single" w:sz="8" w:color="auto"/>
            </w:tcBorders>
          </w:tcPr>
          <w:p>
            <w:pPr>
              <w:jc w:val="center"/>
              <w:spacing w:after="0" w:line="119" w:lineRule="exact"/>
              <w:rPr>
                <w:sz w:val="20"/>
                <w:szCs w:val="20"/>
                <w:color w:val="auto"/>
              </w:rPr>
            </w:pPr>
            <w:r>
              <w:rPr>
                <w:rFonts w:ascii="Times New Roman" w:cs="Times New Roman" w:eastAsia="Times New Roman" w:hAnsi="Times New Roman"/>
                <w:sz w:val="13"/>
                <w:szCs w:val="13"/>
                <w:color w:val="auto"/>
              </w:rPr>
              <w:t>Class A common stock</w:t>
            </w:r>
          </w:p>
        </w:tc>
        <w:tc>
          <w:tcPr>
            <w:tcW w:w="160" w:type="dxa"/>
            <w:vAlign w:val="bottom"/>
          </w:tcPr>
          <w:p>
            <w:pPr>
              <w:spacing w:after="0"/>
              <w:rPr>
                <w:sz w:val="10"/>
                <w:szCs w:val="10"/>
                <w:color w:val="auto"/>
              </w:rPr>
            </w:pPr>
          </w:p>
        </w:tc>
        <w:tc>
          <w:tcPr>
            <w:tcW w:w="180" w:type="dxa"/>
            <w:vAlign w:val="bottom"/>
            <w:tcBorders>
              <w:top w:val="single" w:sz="8" w:color="auto"/>
            </w:tcBorders>
          </w:tcPr>
          <w:p>
            <w:pPr>
              <w:spacing w:after="0"/>
              <w:rPr>
                <w:sz w:val="10"/>
                <w:szCs w:val="10"/>
                <w:color w:val="auto"/>
              </w:rPr>
            </w:pPr>
          </w:p>
        </w:tc>
        <w:tc>
          <w:tcPr>
            <w:tcW w:w="1140" w:type="dxa"/>
            <w:vAlign w:val="bottom"/>
            <w:tcBorders>
              <w:top w:val="single" w:sz="8" w:color="auto"/>
            </w:tcBorders>
            <w:vMerge w:val="restart"/>
          </w:tcPr>
          <w:p>
            <w:pPr>
              <w:jc w:val="center"/>
              <w:ind w:right="108"/>
              <w:spacing w:after="0"/>
              <w:rPr>
                <w:sz w:val="20"/>
                <w:szCs w:val="20"/>
                <w:color w:val="auto"/>
              </w:rPr>
            </w:pPr>
            <w:r>
              <w:rPr>
                <w:rFonts w:ascii="Times New Roman" w:cs="Times New Roman" w:eastAsia="Times New Roman" w:hAnsi="Times New Roman"/>
                <w:sz w:val="14"/>
                <w:szCs w:val="14"/>
                <w:color w:val="auto"/>
                <w:w w:val="99"/>
              </w:rPr>
              <w:t>CIX</w:t>
            </w:r>
          </w:p>
        </w:tc>
        <w:tc>
          <w:tcPr>
            <w:tcW w:w="220" w:type="dxa"/>
            <w:vAlign w:val="bottom"/>
          </w:tcPr>
          <w:p>
            <w:pPr>
              <w:spacing w:after="0"/>
              <w:rPr>
                <w:sz w:val="10"/>
                <w:szCs w:val="10"/>
                <w:color w:val="auto"/>
              </w:rPr>
            </w:pPr>
          </w:p>
        </w:tc>
        <w:tc>
          <w:tcPr>
            <w:tcW w:w="3880" w:type="dxa"/>
            <w:vAlign w:val="bottom"/>
            <w:tcBorders>
              <w:top w:val="single" w:sz="8" w:color="auto"/>
            </w:tcBorders>
            <w:vMerge w:val="restart"/>
          </w:tcPr>
          <w:p>
            <w:pPr>
              <w:jc w:val="center"/>
              <w:spacing w:after="0"/>
              <w:rPr>
                <w:sz w:val="20"/>
                <w:szCs w:val="20"/>
                <w:color w:val="auto"/>
              </w:rPr>
            </w:pPr>
            <w:r>
              <w:rPr>
                <w:rFonts w:ascii="Times New Roman" w:cs="Times New Roman" w:eastAsia="Times New Roman" w:hAnsi="Times New Roman"/>
                <w:sz w:val="14"/>
                <w:szCs w:val="14"/>
                <w:color w:val="auto"/>
              </w:rPr>
              <w:t>NYSE American</w:t>
            </w:r>
          </w:p>
        </w:tc>
        <w:tc>
          <w:tcPr>
            <w:tcW w:w="0" w:type="dxa"/>
            <w:vAlign w:val="bottom"/>
          </w:tcPr>
          <w:p>
            <w:pPr>
              <w:spacing w:after="0"/>
              <w:rPr>
                <w:sz w:val="1"/>
                <w:szCs w:val="1"/>
                <w:color w:val="auto"/>
              </w:rPr>
            </w:pPr>
          </w:p>
        </w:tc>
      </w:tr>
      <w:tr>
        <w:trPr>
          <w:trHeight w:val="188"/>
        </w:trPr>
        <w:tc>
          <w:tcPr>
            <w:tcW w:w="332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($.01 par value per share)</w:t>
            </w:r>
          </w:p>
        </w:tc>
        <w:tc>
          <w:tcPr>
            <w:tcW w:w="1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38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bl>
    <w:p>
      <w:pPr>
        <w:spacing w:after="0" w:line="86" w:lineRule="exact"/>
        <w:rPr>
          <w:sz w:val="24"/>
          <w:szCs w:val="24"/>
          <w:color w:val="auto"/>
        </w:rPr>
      </w:pPr>
    </w:p>
    <w:p>
      <w:pPr>
        <w:jc w:val="both"/>
        <w:ind w:left="60" w:right="79"/>
        <w:spacing w:after="0" w:line="258"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(17 CFR §230.405) or Rule 12b-2 of the Securities Exchange Act of 1934 (17 CFR §240.12b-2).</w:t>
      </w:r>
    </w:p>
    <w:p>
      <w:pPr>
        <w:ind w:left="60"/>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04" w:lineRule="exact"/>
        <w:rPr>
          <w:sz w:val="24"/>
          <w:szCs w:val="24"/>
          <w:color w:val="auto"/>
        </w:rPr>
      </w:pPr>
    </w:p>
    <w:p>
      <w:pPr>
        <w:jc w:val="both"/>
        <w:ind w:left="60" w:right="59"/>
        <w:spacing w:after="0" w:line="232"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462915</wp:posOffset>
            </wp:positionV>
            <wp:extent cx="565785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657850" cy="2540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51435</wp:posOffset>
            </wp:positionV>
            <wp:extent cx="56578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65785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85725</wp:posOffset>
            </wp:positionV>
            <wp:extent cx="565785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657850" cy="34290"/>
                    </a:xfrm>
                    <a:prstGeom prst="rect">
                      <a:avLst/>
                    </a:prstGeom>
                    <a:noFill/>
                  </pic:spPr>
                </pic:pic>
              </a:graphicData>
            </a:graphic>
          </wp:anchor>
        </w:drawing>
      </w:r>
    </w:p>
    <w:p>
      <w:pPr>
        <w:sectPr>
          <w:pgSz w:w="11900" w:h="16838" w:orient="portrait"/>
          <w:cols w:equalWidth="0" w:num="1">
            <w:col w:w="9019"/>
          </w:cols>
          <w:pgMar w:left="1440" w:top="900" w:right="1440" w:bottom="1440" w:gutter="0" w:footer="0" w:header="0"/>
        </w:sectPr>
      </w:pPr>
    </w:p>
    <w:bookmarkStart w:id="1" w:name="page2"/>
    <w:bookmarkEnd w:id="1"/>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5.07</w:t>
      </w:r>
      <w:r>
        <w:rPr>
          <w:sz w:val="20"/>
          <w:szCs w:val="20"/>
          <w:color w:val="auto"/>
        </w:rPr>
        <w:tab/>
      </w:r>
      <w:r>
        <w:rPr>
          <w:rFonts w:ascii="Times New Roman" w:cs="Times New Roman" w:eastAsia="Times New Roman" w:hAnsi="Times New Roman"/>
          <w:sz w:val="17"/>
          <w:szCs w:val="17"/>
          <w:b w:val="1"/>
          <w:bCs w:val="1"/>
          <w:color w:val="auto"/>
        </w:rPr>
        <w:t>Submission of Matters to a Vote of Security Holders.</w:t>
      </w:r>
    </w:p>
    <w:p>
      <w:pPr>
        <w:spacing w:after="0" w:line="229" w:lineRule="exact"/>
        <w:rPr>
          <w:sz w:val="20"/>
          <w:szCs w:val="20"/>
          <w:color w:val="auto"/>
        </w:rPr>
      </w:pPr>
    </w:p>
    <w:p>
      <w:pPr>
        <w:ind w:left="60" w:right="59" w:firstLine="648"/>
        <w:spacing w:after="0" w:line="261" w:lineRule="auto"/>
        <w:rPr>
          <w:sz w:val="20"/>
          <w:szCs w:val="20"/>
          <w:color w:val="auto"/>
        </w:rPr>
      </w:pPr>
      <w:r>
        <w:rPr>
          <w:rFonts w:ascii="Times New Roman" w:cs="Times New Roman" w:eastAsia="Times New Roman" w:hAnsi="Times New Roman"/>
          <w:sz w:val="18"/>
          <w:szCs w:val="18"/>
          <w:color w:val="auto"/>
        </w:rPr>
        <w:t>The registrant held its 2026 annual meeting of stockholders on May 20, 2026. At the 2026 annual meeting, the registrant’s stockholders voted on the two proposals described in detail in the registrant’s definitive proxy statement on Schedule 14A filed with the U.S. Securities and Exchange Commission on April 7, 2026. Stockholders present at the 2026 annual meeting, either in person or by proxy, represented 95.7% of the 12,323,057 shares eligible to vote at the meeting.</w:t>
      </w:r>
    </w:p>
    <w:p>
      <w:pPr>
        <w:spacing w:after="0" w:line="18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roposal</w:t>
      </w:r>
      <w:r>
        <w:rPr>
          <w:rFonts w:ascii="Times New Roman" w:cs="Times New Roman" w:eastAsia="Times New Roman" w:hAnsi="Times New Roman"/>
          <w:sz w:val="18"/>
          <w:szCs w:val="18"/>
          <w:color w:val="auto"/>
        </w:rPr>
        <w:t xml:space="preserve"> 1:</w:t>
      </w:r>
      <w:r>
        <w:rPr>
          <w:sz w:val="20"/>
          <w:szCs w:val="20"/>
          <w:color w:val="auto"/>
        </w:rPr>
        <w:tab/>
      </w:r>
      <w:r>
        <w:rPr>
          <w:rFonts w:ascii="Times New Roman" w:cs="Times New Roman" w:eastAsia="Times New Roman" w:hAnsi="Times New Roman"/>
          <w:sz w:val="18"/>
          <w:szCs w:val="18"/>
          <w:color w:val="auto"/>
        </w:rPr>
        <w:t>E</w:t>
      </w:r>
      <w:r>
        <w:rPr>
          <w:rFonts w:ascii="Times New Roman" w:cs="Times New Roman" w:eastAsia="Times New Roman" w:hAnsi="Times New Roman"/>
          <w:sz w:val="12"/>
          <w:szCs w:val="12"/>
          <w:color w:val="auto"/>
        </w:rPr>
        <w:t>lection of</w:t>
      </w:r>
      <w:r>
        <w:rPr>
          <w:rFonts w:ascii="Times New Roman" w:cs="Times New Roman" w:eastAsia="Times New Roman" w:hAnsi="Times New Roman"/>
          <w:sz w:val="18"/>
          <w:szCs w:val="18"/>
          <w:color w:val="auto"/>
        </w:rPr>
        <w:t xml:space="preserve"> D</w:t>
      </w:r>
      <w:r>
        <w:rPr>
          <w:rFonts w:ascii="Times New Roman" w:cs="Times New Roman" w:eastAsia="Times New Roman" w:hAnsi="Times New Roman"/>
          <w:sz w:val="12"/>
          <w:szCs w:val="12"/>
          <w:color w:val="auto"/>
        </w:rPr>
        <w:t>irectors</w:t>
      </w:r>
    </w:p>
    <w:p>
      <w:pPr>
        <w:spacing w:after="0" w:line="225" w:lineRule="exact"/>
        <w:rPr>
          <w:sz w:val="20"/>
          <w:szCs w:val="20"/>
          <w:color w:val="auto"/>
        </w:rPr>
      </w:pPr>
    </w:p>
    <w:p>
      <w:pPr>
        <w:jc w:val="both"/>
        <w:ind w:left="60" w:right="279" w:firstLine="648"/>
        <w:spacing w:after="0" w:line="266" w:lineRule="auto"/>
        <w:rPr>
          <w:sz w:val="20"/>
          <w:szCs w:val="20"/>
          <w:color w:val="auto"/>
        </w:rPr>
      </w:pPr>
      <w:r>
        <w:rPr>
          <w:rFonts w:ascii="Times New Roman" w:cs="Times New Roman" w:eastAsia="Times New Roman" w:hAnsi="Times New Roman"/>
          <w:sz w:val="18"/>
          <w:szCs w:val="18"/>
          <w:color w:val="auto"/>
        </w:rPr>
        <w:t>The registrant’s stockholders elected Thomas E. Barry, Loretta J. Feehan, Terri L. Herrington, Scott C. James, Ann Manix, Gina A. Norris, Michael S. Simmons, and Mary A. Tidlund as directors. Each director nominee received votes “For” his or her election from at least 92.6% of the shares eligible to vote at the annual meeting.</w:t>
      </w:r>
    </w:p>
    <w:p>
      <w:pPr>
        <w:spacing w:after="0" w:line="176"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roposal</w:t>
      </w:r>
      <w:r>
        <w:rPr>
          <w:rFonts w:ascii="Times New Roman" w:cs="Times New Roman" w:eastAsia="Times New Roman" w:hAnsi="Times New Roman"/>
          <w:sz w:val="18"/>
          <w:szCs w:val="18"/>
          <w:color w:val="auto"/>
        </w:rPr>
        <w:t xml:space="preserve"> 2:</w:t>
      </w:r>
      <w:r>
        <w:rPr>
          <w:sz w:val="20"/>
          <w:szCs w:val="20"/>
          <w:color w:val="auto"/>
        </w:rPr>
        <w:tab/>
      </w:r>
      <w:r>
        <w:rPr>
          <w:rFonts w:ascii="Times New Roman" w:cs="Times New Roman" w:eastAsia="Times New Roman" w:hAnsi="Times New Roman"/>
          <w:sz w:val="18"/>
          <w:szCs w:val="18"/>
          <w:color w:val="auto"/>
        </w:rPr>
        <w:t>S</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w:t>
      </w:r>
      <w:r>
        <w:rPr>
          <w:rFonts w:ascii="Times New Roman" w:cs="Times New Roman" w:eastAsia="Times New Roman" w:hAnsi="Times New Roman"/>
          <w:sz w:val="12"/>
          <w:szCs w:val="12"/>
          <w:color w:val="auto"/>
        </w:rPr>
        <w:t>on</w:t>
      </w:r>
      <w:r>
        <w:rPr>
          <w:rFonts w:ascii="Times New Roman" w:cs="Times New Roman" w:eastAsia="Times New Roman" w:hAnsi="Times New Roman"/>
          <w:sz w:val="18"/>
          <w:szCs w:val="18"/>
          <w:color w:val="auto"/>
        </w:rPr>
        <w:t>-P</w:t>
      </w:r>
      <w:r>
        <w:rPr>
          <w:rFonts w:ascii="Times New Roman" w:cs="Times New Roman" w:eastAsia="Times New Roman" w:hAnsi="Times New Roman"/>
          <w:sz w:val="12"/>
          <w:szCs w:val="12"/>
          <w:color w:val="auto"/>
        </w:rPr>
        <w:t>ay</w:t>
      </w:r>
      <w:r>
        <w:rPr>
          <w:rFonts w:ascii="Times New Roman" w:cs="Times New Roman" w:eastAsia="Times New Roman" w:hAnsi="Times New Roman"/>
          <w:sz w:val="18"/>
          <w:szCs w:val="18"/>
          <w:color w:val="auto"/>
        </w:rPr>
        <w:t>, N</w:t>
      </w:r>
      <w:r>
        <w:rPr>
          <w:rFonts w:ascii="Times New Roman" w:cs="Times New Roman" w:eastAsia="Times New Roman" w:hAnsi="Times New Roman"/>
          <w:sz w:val="12"/>
          <w:szCs w:val="12"/>
          <w:color w:val="auto"/>
        </w:rPr>
        <w:t>onbinding</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dvisory</w:t>
      </w:r>
      <w:r>
        <w:rPr>
          <w:rFonts w:ascii="Times New Roman" w:cs="Times New Roman" w:eastAsia="Times New Roman" w:hAnsi="Times New Roman"/>
          <w:sz w:val="18"/>
          <w:szCs w:val="18"/>
          <w:color w:val="auto"/>
        </w:rPr>
        <w:t xml:space="preserve"> V</w:t>
      </w:r>
      <w:r>
        <w:rPr>
          <w:rFonts w:ascii="Times New Roman" w:cs="Times New Roman" w:eastAsia="Times New Roman" w:hAnsi="Times New Roman"/>
          <w:sz w:val="12"/>
          <w:szCs w:val="12"/>
          <w:color w:val="auto"/>
        </w:rPr>
        <w:t>ote</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pproving</w:t>
      </w:r>
      <w:r>
        <w:rPr>
          <w:rFonts w:ascii="Times New Roman" w:cs="Times New Roman" w:eastAsia="Times New Roman" w:hAnsi="Times New Roman"/>
          <w:sz w:val="18"/>
          <w:szCs w:val="18"/>
          <w:color w:val="auto"/>
        </w:rPr>
        <w:t xml:space="preserve"> E</w:t>
      </w:r>
      <w:r>
        <w:rPr>
          <w:rFonts w:ascii="Times New Roman" w:cs="Times New Roman" w:eastAsia="Times New Roman" w:hAnsi="Times New Roman"/>
          <w:sz w:val="12"/>
          <w:szCs w:val="12"/>
          <w:color w:val="auto"/>
        </w:rPr>
        <w:t>xecutive</w:t>
      </w:r>
      <w:r>
        <w:rPr>
          <w:rFonts w:ascii="Times New Roman" w:cs="Times New Roman" w:eastAsia="Times New Roman" w:hAnsi="Times New Roman"/>
          <w:sz w:val="18"/>
          <w:szCs w:val="18"/>
          <w:color w:val="auto"/>
        </w:rPr>
        <w:t xml:space="preserve"> C</w:t>
      </w:r>
      <w:r>
        <w:rPr>
          <w:rFonts w:ascii="Times New Roman" w:cs="Times New Roman" w:eastAsia="Times New Roman" w:hAnsi="Times New Roman"/>
          <w:sz w:val="12"/>
          <w:szCs w:val="12"/>
          <w:color w:val="auto"/>
        </w:rPr>
        <w:t>ompensation</w:t>
      </w:r>
    </w:p>
    <w:p>
      <w:pPr>
        <w:spacing w:after="0" w:line="225" w:lineRule="exact"/>
        <w:rPr>
          <w:sz w:val="20"/>
          <w:szCs w:val="20"/>
          <w:color w:val="auto"/>
        </w:rPr>
      </w:pPr>
    </w:p>
    <w:p>
      <w:pPr>
        <w:jc w:val="both"/>
        <w:ind w:left="60" w:right="119" w:firstLine="648"/>
        <w:spacing w:after="0" w:line="266" w:lineRule="auto"/>
        <w:rPr>
          <w:sz w:val="20"/>
          <w:szCs w:val="20"/>
          <w:color w:val="auto"/>
        </w:rPr>
      </w:pPr>
      <w:r>
        <w:rPr>
          <w:rFonts w:ascii="Times New Roman" w:cs="Times New Roman" w:eastAsia="Times New Roman" w:hAnsi="Times New Roman"/>
          <w:sz w:val="18"/>
          <w:szCs w:val="18"/>
          <w:color w:val="auto"/>
        </w:rPr>
        <w:t>The registrant’s stockholders adopted a resolution, on a nonbinding advisory basis, approving the compensation of the registrant’s named executive officers as described in the registrant’s 2026 proxy statement. The resolution received the approval from 91.4% of the shares eligible to vote at the annual meeting.</w:t>
      </w:r>
    </w:p>
    <w:p>
      <w:pPr>
        <w:spacing w:after="0" w:line="185"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7"/>
          <w:szCs w:val="17"/>
          <w:b w:val="1"/>
          <w:bCs w:val="1"/>
          <w:color w:val="auto"/>
        </w:rPr>
        <w:t>Regulation FD Disclosure.</w:t>
      </w:r>
    </w:p>
    <w:p>
      <w:pPr>
        <w:spacing w:after="0" w:line="229" w:lineRule="exact"/>
        <w:rPr>
          <w:sz w:val="20"/>
          <w:szCs w:val="20"/>
          <w:color w:val="auto"/>
        </w:rPr>
      </w:pPr>
    </w:p>
    <w:p>
      <w:pPr>
        <w:ind w:left="60" w:right="59" w:firstLine="648"/>
        <w:spacing w:after="0" w:line="256" w:lineRule="auto"/>
        <w:rPr>
          <w:sz w:val="20"/>
          <w:szCs w:val="20"/>
          <w:color w:val="auto"/>
        </w:rPr>
      </w:pPr>
      <w:r>
        <w:rPr>
          <w:rFonts w:ascii="Times New Roman" w:cs="Times New Roman" w:eastAsia="Times New Roman" w:hAnsi="Times New Roman"/>
          <w:sz w:val="18"/>
          <w:szCs w:val="18"/>
          <w:color w:val="auto"/>
        </w:rPr>
        <w:t>The registrant hereby furnishes the information set forth in its press release issued on May 20, 2026, a copy of which is attached as Exhibit 99.1 and incorporated herein by reference. The information the registrant furnishes in this report under this Item 7.01, and the exhibit in Item 9.01, is not deemed “filed” for purposes of section 18 of the Securities Exchange Act of 1934, as amended, or otherwise subject to the liabilities of that section. Registration statements or other documents filed with the U.S. Securities and Exchange Commission shall not incorporate this information by reference, except as otherwise expressly stated in such filing.</w:t>
      </w:r>
    </w:p>
    <w:p>
      <w:pPr>
        <w:spacing w:after="0" w:line="210" w:lineRule="exact"/>
        <w:rPr>
          <w:sz w:val="20"/>
          <w:szCs w:val="20"/>
          <w:color w:val="auto"/>
        </w:rPr>
      </w:pPr>
    </w:p>
    <w:p>
      <w:pPr>
        <w:ind w:left="60"/>
        <w:spacing w:after="0"/>
        <w:tabs>
          <w:tab w:leader="none" w:pos="132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43"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600" w:type="dxa"/>
            <w:vAlign w:val="bottom"/>
          </w:tcPr>
          <w:p>
            <w:pPr>
              <w:ind w:left="100"/>
              <w:spacing w:after="0"/>
              <w:rPr>
                <w:sz w:val="20"/>
                <w:szCs w:val="20"/>
                <w:color w:val="auto"/>
              </w:rPr>
            </w:pPr>
            <w:r>
              <w:rPr>
                <w:rFonts w:ascii="Times New Roman" w:cs="Times New Roman" w:eastAsia="Times New Roman" w:hAnsi="Times New Roman"/>
                <w:sz w:val="18"/>
                <w:szCs w:val="18"/>
                <w:color w:val="auto"/>
              </w:rPr>
              <w:t>(d)</w:t>
            </w:r>
          </w:p>
        </w:tc>
        <w:tc>
          <w:tcPr>
            <w:tcW w:w="1380" w:type="dxa"/>
            <w:vAlign w:val="bottom"/>
          </w:tcPr>
          <w:p>
            <w:pPr>
              <w:jc w:val="right"/>
              <w:ind w:right="710"/>
              <w:spacing w:after="0"/>
              <w:rPr>
                <w:sz w:val="20"/>
                <w:szCs w:val="20"/>
                <w:color w:val="auto"/>
              </w:rPr>
            </w:pPr>
            <w:r>
              <w:rPr>
                <w:rFonts w:ascii="Times New Roman" w:cs="Times New Roman" w:eastAsia="Times New Roman" w:hAnsi="Times New Roman"/>
                <w:sz w:val="18"/>
                <w:szCs w:val="18"/>
                <w:color w:val="auto"/>
                <w:w w:val="93"/>
              </w:rPr>
              <w:t>Exhibits</w:t>
            </w:r>
          </w:p>
        </w:tc>
        <w:tc>
          <w:tcPr>
            <w:tcW w:w="600" w:type="dxa"/>
            <w:vAlign w:val="bottom"/>
          </w:tcPr>
          <w:p>
            <w:pPr>
              <w:spacing w:after="0"/>
              <w:rPr>
                <w:sz w:val="20"/>
                <w:szCs w:val="20"/>
                <w:color w:val="auto"/>
              </w:rPr>
            </w:pPr>
          </w:p>
        </w:tc>
        <w:tc>
          <w:tcPr>
            <w:tcW w:w="416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439"/>
        </w:trPr>
        <w:tc>
          <w:tcPr>
            <w:tcW w:w="600" w:type="dxa"/>
            <w:vAlign w:val="bottom"/>
          </w:tcPr>
          <w:p>
            <w:pPr>
              <w:spacing w:after="0"/>
              <w:rPr>
                <w:sz w:val="24"/>
                <w:szCs w:val="24"/>
                <w:color w:val="auto"/>
              </w:rPr>
            </w:pPr>
          </w:p>
        </w:tc>
        <w:tc>
          <w:tcPr>
            <w:tcW w:w="138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b w:val="1"/>
                <w:bCs w:val="1"/>
                <w:color w:val="auto"/>
              </w:rPr>
              <w:t>Item No.</w:t>
            </w:r>
          </w:p>
        </w:tc>
        <w:tc>
          <w:tcPr>
            <w:tcW w:w="600" w:type="dxa"/>
            <w:vAlign w:val="bottom"/>
          </w:tcPr>
          <w:p>
            <w:pPr>
              <w:spacing w:after="0"/>
              <w:rPr>
                <w:sz w:val="24"/>
                <w:szCs w:val="24"/>
                <w:color w:val="auto"/>
              </w:rPr>
            </w:pPr>
          </w:p>
        </w:tc>
        <w:tc>
          <w:tcPr>
            <w:tcW w:w="6100" w:type="dxa"/>
            <w:vAlign w:val="bottom"/>
            <w:tcBorders>
              <w:bottom w:val="single" w:sz="8" w:color="auto"/>
            </w:tcBorders>
            <w:gridSpan w:val="2"/>
          </w:tcPr>
          <w:p>
            <w:pPr>
              <w:ind w:left="2620"/>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240" w:type="dxa"/>
            <w:vAlign w:val="bottom"/>
          </w:tcPr>
          <w:p>
            <w:pPr>
              <w:spacing w:after="0"/>
              <w:rPr>
                <w:sz w:val="24"/>
                <w:szCs w:val="24"/>
                <w:color w:val="auto"/>
              </w:rPr>
            </w:pPr>
          </w:p>
        </w:tc>
      </w:tr>
      <w:tr>
        <w:trPr>
          <w:trHeight w:val="392"/>
        </w:trPr>
        <w:tc>
          <w:tcPr>
            <w:tcW w:w="600" w:type="dxa"/>
            <w:vAlign w:val="bottom"/>
          </w:tcPr>
          <w:p>
            <w:pPr>
              <w:spacing w:after="0"/>
              <w:rPr>
                <w:sz w:val="24"/>
                <w:szCs w:val="24"/>
                <w:color w:val="auto"/>
              </w:rPr>
            </w:pPr>
          </w:p>
        </w:tc>
        <w:tc>
          <w:tcPr>
            <w:tcW w:w="138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99.1</w:t>
            </w:r>
          </w:p>
        </w:tc>
        <w:tc>
          <w:tcPr>
            <w:tcW w:w="60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0000EE"/>
              </w:rPr>
              <w:t>Press release dated May 20, 2026 issued by the registrant.</w:t>
            </w:r>
          </w:p>
        </w:tc>
      </w:tr>
      <w:tr>
        <w:trPr>
          <w:trHeight w:val="20"/>
        </w:trPr>
        <w:tc>
          <w:tcPr>
            <w:tcW w:w="6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160" w:type="dxa"/>
            <w:vAlign w:val="bottom"/>
            <w:shd w:val="clear" w:color="auto" w:fill="0000EE"/>
          </w:tcPr>
          <w:p>
            <w:pPr>
              <w:spacing w:after="0" w:line="20" w:lineRule="exact"/>
              <w:rPr>
                <w:sz w:val="1"/>
                <w:szCs w:val="1"/>
                <w:color w:val="auto"/>
              </w:rPr>
            </w:pPr>
          </w:p>
        </w:tc>
        <w:tc>
          <w:tcPr>
            <w:tcW w:w="2180" w:type="dxa"/>
            <w:vAlign w:val="bottom"/>
            <w:gridSpan w:val="2"/>
          </w:tcPr>
          <w:p>
            <w:pPr>
              <w:spacing w:after="0" w:line="20" w:lineRule="exact"/>
              <w:rPr>
                <w:sz w:val="1"/>
                <w:szCs w:val="1"/>
                <w:color w:val="auto"/>
              </w:rPr>
            </w:pPr>
          </w:p>
        </w:tc>
      </w:tr>
      <w:tr>
        <w:trPr>
          <w:trHeight w:val="453"/>
        </w:trPr>
        <w:tc>
          <w:tcPr>
            <w:tcW w:w="600" w:type="dxa"/>
            <w:vAlign w:val="bottom"/>
          </w:tcPr>
          <w:p>
            <w:pPr>
              <w:spacing w:after="0"/>
              <w:rPr>
                <w:sz w:val="24"/>
                <w:szCs w:val="24"/>
                <w:color w:val="auto"/>
              </w:rPr>
            </w:pPr>
          </w:p>
        </w:tc>
        <w:tc>
          <w:tcPr>
            <w:tcW w:w="1380" w:type="dxa"/>
            <w:vAlign w:val="bottom"/>
          </w:tcPr>
          <w:p>
            <w:pPr>
              <w:jc w:val="right"/>
              <w:ind w:right="550"/>
              <w:spacing w:after="0"/>
              <w:rPr>
                <w:sz w:val="20"/>
                <w:szCs w:val="20"/>
                <w:color w:val="auto"/>
              </w:rPr>
            </w:pPr>
            <w:r>
              <w:rPr>
                <w:rFonts w:ascii="Times New Roman" w:cs="Times New Roman" w:eastAsia="Times New Roman" w:hAnsi="Times New Roman"/>
                <w:sz w:val="18"/>
                <w:szCs w:val="18"/>
                <w:color w:val="auto"/>
              </w:rPr>
              <w:t>104</w:t>
            </w:r>
          </w:p>
        </w:tc>
        <w:tc>
          <w:tcPr>
            <w:tcW w:w="600" w:type="dxa"/>
            <w:vAlign w:val="bottom"/>
          </w:tcPr>
          <w:p>
            <w:pPr>
              <w:spacing w:after="0"/>
              <w:rPr>
                <w:sz w:val="24"/>
                <w:szCs w:val="24"/>
                <w:color w:val="auto"/>
              </w:rPr>
            </w:pPr>
          </w:p>
        </w:tc>
        <w:tc>
          <w:tcPr>
            <w:tcW w:w="63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884"/>
        </w:trPr>
        <w:tc>
          <w:tcPr>
            <w:tcW w:w="600" w:type="dxa"/>
            <w:vAlign w:val="bottom"/>
            <w:tcBorders>
              <w:bottom w:val="single" w:sz="8" w:color="auto"/>
            </w:tcBorders>
          </w:tcPr>
          <w:p>
            <w:pPr>
              <w:spacing w:after="0"/>
              <w:rPr>
                <w:sz w:val="24"/>
                <w:szCs w:val="24"/>
                <w:color w:val="auto"/>
              </w:rPr>
            </w:pPr>
          </w:p>
        </w:tc>
        <w:tc>
          <w:tcPr>
            <w:tcW w:w="13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416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87" w:right="1440"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0" w:right="59"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8"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296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COMPX INTERNATIONAL INC.</w:t>
            </w:r>
          </w:p>
        </w:tc>
      </w:tr>
      <w:tr>
        <w:trPr>
          <w:trHeight w:val="234"/>
        </w:trPr>
        <w:tc>
          <w:tcPr>
            <w:tcW w:w="296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648"/>
        </w:trPr>
        <w:tc>
          <w:tcPr>
            <w:tcW w:w="2960" w:type="dxa"/>
            <w:vAlign w:val="bottom"/>
          </w:tcPr>
          <w:p>
            <w:pPr>
              <w:spacing w:after="0"/>
              <w:rPr>
                <w:sz w:val="24"/>
                <w:szCs w:val="24"/>
                <w:color w:val="auto"/>
              </w:rPr>
            </w:pPr>
          </w:p>
        </w:tc>
        <w:tc>
          <w:tcPr>
            <w:tcW w:w="5960" w:type="dxa"/>
            <w:vAlign w:val="bottom"/>
            <w:gridSpan w:val="2"/>
          </w:tcPr>
          <w:p>
            <w:pPr>
              <w:ind w:left="1520"/>
              <w:spacing w:after="0"/>
              <w:rPr>
                <w:sz w:val="20"/>
                <w:szCs w:val="20"/>
                <w:color w:val="auto"/>
              </w:rPr>
            </w:pPr>
            <w:r>
              <w:rPr>
                <w:rFonts w:ascii="Times New Roman" w:cs="Times New Roman" w:eastAsia="Times New Roman" w:hAnsi="Times New Roman"/>
                <w:sz w:val="18"/>
                <w:szCs w:val="18"/>
                <w:color w:val="auto"/>
              </w:rPr>
              <w:t>By:/s/ Amy A. Samford</w:t>
            </w:r>
          </w:p>
        </w:tc>
      </w:tr>
      <w:tr>
        <w:trPr>
          <w:trHeight w:val="189"/>
        </w:trPr>
        <w:tc>
          <w:tcPr>
            <w:tcW w:w="2960" w:type="dxa"/>
            <w:vAlign w:val="bottom"/>
          </w:tcPr>
          <w:p>
            <w:pPr>
              <w:spacing w:after="0"/>
              <w:rPr>
                <w:sz w:val="16"/>
                <w:szCs w:val="16"/>
                <w:color w:val="auto"/>
              </w:rPr>
            </w:pPr>
          </w:p>
        </w:tc>
        <w:tc>
          <w:tcPr>
            <w:tcW w:w="1780" w:type="dxa"/>
            <w:vAlign w:val="bottom"/>
          </w:tcPr>
          <w:p>
            <w:pPr>
              <w:spacing w:after="0"/>
              <w:rPr>
                <w:sz w:val="16"/>
                <w:szCs w:val="16"/>
                <w:color w:val="auto"/>
              </w:rPr>
            </w:pPr>
          </w:p>
        </w:tc>
        <w:tc>
          <w:tcPr>
            <w:tcW w:w="4180" w:type="dxa"/>
            <w:vAlign w:val="bottom"/>
            <w:tcBorders>
              <w:top w:val="single" w:sz="8" w:color="auto"/>
            </w:tcBorders>
          </w:tcPr>
          <w:p>
            <w:pPr>
              <w:spacing w:after="0" w:line="189" w:lineRule="exact"/>
              <w:rPr>
                <w:sz w:val="20"/>
                <w:szCs w:val="20"/>
                <w:color w:val="auto"/>
              </w:rPr>
            </w:pPr>
            <w:r>
              <w:rPr>
                <w:rFonts w:ascii="Times New Roman" w:cs="Times New Roman" w:eastAsia="Times New Roman" w:hAnsi="Times New Roman"/>
                <w:sz w:val="18"/>
                <w:szCs w:val="18"/>
                <w:i w:val="1"/>
                <w:iCs w:val="1"/>
                <w:color w:val="auto"/>
              </w:rPr>
              <w:t>Amy A. Samford</w:t>
            </w:r>
          </w:p>
        </w:tc>
      </w:tr>
      <w:tr>
        <w:trPr>
          <w:trHeight w:val="216"/>
        </w:trPr>
        <w:tc>
          <w:tcPr>
            <w:tcW w:w="296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Executive Vice President and</w:t>
            </w:r>
          </w:p>
        </w:tc>
      </w:tr>
      <w:tr>
        <w:trPr>
          <w:trHeight w:val="236"/>
        </w:trPr>
        <w:tc>
          <w:tcPr>
            <w:tcW w:w="2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 May 20, 2026</w:t>
            </w:r>
          </w:p>
        </w:tc>
        <w:tc>
          <w:tcPr>
            <w:tcW w:w="1780" w:type="dxa"/>
            <w:vAlign w:val="bottom"/>
          </w:tcPr>
          <w:p>
            <w:pPr>
              <w:spacing w:after="0"/>
              <w:rPr>
                <w:sz w:val="20"/>
                <w:szCs w:val="20"/>
                <w:color w:val="auto"/>
              </w:rPr>
            </w:pPr>
          </w:p>
        </w:tc>
        <w:tc>
          <w:tcPr>
            <w:tcW w:w="4180" w:type="dxa"/>
            <w:vAlign w:val="bottom"/>
          </w:tcPr>
          <w:p>
            <w:pPr>
              <w:ind w:left="100"/>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180"/>
        </w:trPr>
        <w:tc>
          <w:tcPr>
            <w:tcW w:w="2960" w:type="dxa"/>
            <w:vAlign w:val="bottom"/>
            <w:tcBorders>
              <w:bottom w:val="single" w:sz="8" w:color="auto"/>
            </w:tcBorders>
          </w:tcPr>
          <w:p>
            <w:pPr>
              <w:spacing w:after="0"/>
              <w:rPr>
                <w:sz w:val="24"/>
                <w:szCs w:val="24"/>
                <w:color w:val="auto"/>
              </w:rPr>
            </w:pPr>
          </w:p>
        </w:tc>
        <w:tc>
          <w:tcPr>
            <w:tcW w:w="1780" w:type="dxa"/>
            <w:vAlign w:val="bottom"/>
            <w:tcBorders>
              <w:bottom w:val="single" w:sz="8" w:color="auto"/>
            </w:tcBorders>
          </w:tcPr>
          <w:p>
            <w:pPr>
              <w:spacing w:after="0"/>
              <w:rPr>
                <w:sz w:val="24"/>
                <w:szCs w:val="24"/>
                <w:color w:val="auto"/>
              </w:rPr>
            </w:pPr>
          </w:p>
        </w:tc>
        <w:tc>
          <w:tcPr>
            <w:tcW w:w="41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117" w:right="1440" w:bottom="1440" w:gutter="0" w:footer="0" w:header="0"/>
        </w:sectPr>
      </w:pPr>
    </w:p>
    <w:bookmarkStart w:id="3" w:name="page4"/>
    <w:bookmarkEnd w:id="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2565400</wp:posOffset>
            </wp:positionH>
            <wp:positionV relativeFrom="page">
              <wp:posOffset>688975</wp:posOffset>
            </wp:positionV>
            <wp:extent cx="2442845" cy="8147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clrChange>
                        <a:clrFrom>
                          <a:srgbClr val="FFFFFF"/>
                        </a:clrFrom>
                        <a:clrTo>
                          <a:srgbClr val="FFFFFF">
                            <a:alpha val="0"/>
                          </a:srgbClr>
                        </a:clrTo>
                      </a:clrChange>
                      <a:extLst>
                        <a:ext uri="{28A0092B-C50C-407E-A947-70E740481C1C}"/>
                      </a:extLst>
                    </a:blip>
                    <a:srcRect/>
                    <a:stretch>
                      <a:fillRect/>
                    </a:stretch>
                  </pic:blipFill>
                  <pic:spPr bwMode="auto">
                    <a:xfrm>
                      <a:off x="0" y="0"/>
                      <a:ext cx="2442845" cy="814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COMPX ANNOUNCES REGULAR QUARTERLY DIVIDEND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AND</w:t>
      </w:r>
    </w:p>
    <w:p>
      <w:pPr>
        <w:jc w:val="center"/>
        <w:spacing w:after="0"/>
        <w:rPr>
          <w:sz w:val="20"/>
          <w:szCs w:val="20"/>
          <w:color w:val="auto"/>
        </w:rPr>
      </w:pPr>
      <w:r>
        <w:rPr>
          <w:rFonts w:ascii="Times New Roman" w:cs="Times New Roman" w:eastAsia="Times New Roman" w:hAnsi="Times New Roman"/>
          <w:sz w:val="22"/>
          <w:szCs w:val="22"/>
          <w:b w:val="1"/>
          <w:bCs w:val="1"/>
          <w:color w:val="auto"/>
        </w:rPr>
        <w:t>RESULTS OF THE ANNUAL STOCKHOLDER MEETING</w:t>
      </w:r>
    </w:p>
    <w:p>
      <w:pPr>
        <w:spacing w:after="0" w:line="200" w:lineRule="exact"/>
        <w:rPr>
          <w:sz w:val="20"/>
          <w:szCs w:val="20"/>
          <w:color w:val="auto"/>
        </w:rPr>
      </w:pPr>
    </w:p>
    <w:p>
      <w:pPr>
        <w:spacing w:after="0" w:line="252" w:lineRule="exact"/>
        <w:rPr>
          <w:sz w:val="20"/>
          <w:szCs w:val="20"/>
          <w:color w:val="auto"/>
        </w:rPr>
      </w:pPr>
    </w:p>
    <w:p>
      <w:pPr>
        <w:jc w:val="both"/>
        <w:ind w:left="200" w:right="219" w:firstLine="648"/>
        <w:spacing w:after="0" w:line="239" w:lineRule="auto"/>
        <w:rPr>
          <w:sz w:val="20"/>
          <w:szCs w:val="20"/>
          <w:color w:val="auto"/>
        </w:rPr>
      </w:pPr>
      <w:r>
        <w:rPr>
          <w:rFonts w:ascii="Times New Roman" w:cs="Times New Roman" w:eastAsia="Times New Roman" w:hAnsi="Times New Roman"/>
          <w:sz w:val="22"/>
          <w:szCs w:val="22"/>
          <w:color w:val="auto"/>
        </w:rPr>
        <w:t>DALLAS, TEXAS . . . May 20, 2026 . . . CompX International Inc. (NYSE American: CIX) announced today that its board of directors has declared CompX’s regular quarterly dividend of thirty cents ($0.30) per share on its class A common stock, payable on June 16, 2026 to stockholders of record at the close of business on June 4, 2026.</w:t>
      </w:r>
    </w:p>
    <w:p>
      <w:pPr>
        <w:spacing w:after="0" w:line="207" w:lineRule="exact"/>
        <w:rPr>
          <w:sz w:val="20"/>
          <w:szCs w:val="20"/>
          <w:color w:val="auto"/>
        </w:rPr>
      </w:pPr>
    </w:p>
    <w:p>
      <w:pPr>
        <w:jc w:val="both"/>
        <w:ind w:left="200" w:right="219" w:firstLine="648"/>
        <w:spacing w:after="0" w:line="258" w:lineRule="auto"/>
        <w:rPr>
          <w:sz w:val="20"/>
          <w:szCs w:val="20"/>
          <w:color w:val="auto"/>
        </w:rPr>
      </w:pPr>
      <w:r>
        <w:rPr>
          <w:rFonts w:ascii="Times New Roman" w:cs="Times New Roman" w:eastAsia="Times New Roman" w:hAnsi="Times New Roman"/>
          <w:sz w:val="22"/>
          <w:szCs w:val="22"/>
          <w:color w:val="auto"/>
        </w:rPr>
        <w:t>CompX also announced that at its annual stockholder meeting held on May 20, 2026, its stockholders:</w:t>
      </w:r>
    </w:p>
    <w:p>
      <w:pPr>
        <w:spacing w:after="0" w:line="185" w:lineRule="exact"/>
        <w:rPr>
          <w:sz w:val="20"/>
          <w:szCs w:val="20"/>
          <w:color w:val="auto"/>
        </w:rPr>
      </w:pPr>
    </w:p>
    <w:p>
      <w:pPr>
        <w:jc w:val="both"/>
        <w:ind w:left="1500" w:right="219" w:hanging="643"/>
        <w:spacing w:after="0" w:line="244"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elected each of Thomas E. Barry, Loretta J. Feehan, Terri L. Herrington, Scott C. James, Ann Manix, Gina A. Norris, Michael S. Simmons and Mary A. Tidlund as a director for a one-year term; and</w:t>
      </w:r>
    </w:p>
    <w:p>
      <w:pPr>
        <w:spacing w:after="0" w:line="200" w:lineRule="exact"/>
        <w:rPr>
          <w:rFonts w:ascii="Times New Roman" w:cs="Times New Roman" w:eastAsia="Times New Roman" w:hAnsi="Times New Roman"/>
          <w:sz w:val="22"/>
          <w:szCs w:val="22"/>
          <w:color w:val="auto"/>
        </w:rPr>
      </w:pPr>
    </w:p>
    <w:p>
      <w:pPr>
        <w:jc w:val="both"/>
        <w:ind w:left="1500" w:right="219" w:hanging="643"/>
        <w:spacing w:after="0" w:line="244" w:lineRule="auto"/>
        <w:tabs>
          <w:tab w:leader="none" w:pos="150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adopted a resolution that approved, on a nonbinding advisory basis, the compensation of its named executive officers as disclosed in the proxy statement for the 2026 annual stockholder meeting.</w:t>
      </w:r>
    </w:p>
    <w:p>
      <w:pPr>
        <w:spacing w:after="0" w:line="200"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21"/>
          <w:szCs w:val="21"/>
          <w:color w:val="auto"/>
        </w:rPr>
        <w:t>CompX is a leading manufacturer of security products and recreational marine components.</w:t>
      </w:r>
    </w:p>
    <w:p>
      <w:pPr>
        <w:spacing w:after="0" w:line="2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 * * *</w:t>
      </w:r>
    </w:p>
    <w:p>
      <w:pPr>
        <w:spacing w:after="0" w:line="229"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b w:val="1"/>
          <w:bCs w:val="1"/>
          <w:color w:val="auto"/>
        </w:rPr>
        <w:t>Investor Relations Contact</w:t>
      </w:r>
    </w:p>
    <w:p>
      <w:pPr>
        <w:spacing w:after="0" w:line="237"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Bryan A. Hanley</w:t>
      </w:r>
    </w:p>
    <w:p>
      <w:pPr>
        <w:spacing w:after="0" w:line="4" w:lineRule="exact"/>
        <w:rPr>
          <w:sz w:val="20"/>
          <w:szCs w:val="20"/>
          <w:color w:val="auto"/>
        </w:rPr>
      </w:pPr>
    </w:p>
    <w:p>
      <w:pPr>
        <w:ind w:left="200"/>
        <w:spacing w:after="0"/>
        <w:rPr>
          <w:sz w:val="20"/>
          <w:szCs w:val="20"/>
          <w:color w:val="auto"/>
        </w:rPr>
      </w:pPr>
      <w:r>
        <w:rPr>
          <w:rFonts w:ascii="Times New Roman" w:cs="Times New Roman" w:eastAsia="Times New Roman" w:hAnsi="Times New Roman"/>
          <w:sz w:val="22"/>
          <w:szCs w:val="22"/>
          <w:color w:val="auto"/>
        </w:rPr>
        <w:t>Senior Vice President and Treasurer</w:t>
      </w:r>
    </w:p>
    <w:p>
      <w:pPr>
        <w:ind w:left="200"/>
        <w:spacing w:after="0"/>
        <w:rPr>
          <w:sz w:val="20"/>
          <w:szCs w:val="20"/>
          <w:color w:val="auto"/>
        </w:rPr>
      </w:pPr>
      <w:r>
        <w:rPr>
          <w:rFonts w:ascii="Times New Roman" w:cs="Times New Roman" w:eastAsia="Times New Roman" w:hAnsi="Times New Roman"/>
          <w:sz w:val="22"/>
          <w:szCs w:val="22"/>
          <w:color w:val="auto"/>
        </w:rPr>
        <w:t>Tel. 972-233-1700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398780</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144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2026-05-20T15:26:44Z</dcterms:created>
  <dcterms:modified xsi:type="dcterms:W3CDTF">2026-05-20T15:26:44Z</dcterms:modified>
</cp:coreProperties>
</file>