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May 24, 2023</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COMPX INTERNATIONAL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01" w:lineRule="exact"/>
        <w:rPr>
          <w:sz w:val="24"/>
          <w:szCs w:val="24"/>
          <w:color w:val="auto"/>
        </w:rPr>
      </w:pPr>
    </w:p>
    <w:tbl>
      <w:tblPr>
        <w:tblLayout w:type="fixed"/>
        <w:tblInd w:w="500" w:type="dxa"/>
        <w:tblCellMar>
          <w:top w:w="0" w:type="dxa"/>
          <w:left w:w="0" w:type="dxa"/>
          <w:bottom w:w="0" w:type="dxa"/>
          <w:right w:w="0" w:type="dxa"/>
        </w:tblCellMar>
      </w:tblPr>
      <w:tr>
        <w:trPr>
          <w:trHeight w:val="256"/>
        </w:trPr>
        <w:tc>
          <w:tcPr>
            <w:tcW w:w="2800" w:type="dxa"/>
            <w:vAlign w:val="bottom"/>
          </w:tcPr>
          <w:p>
            <w:pPr>
              <w:jc w:val="center"/>
              <w:ind w:right="623"/>
              <w:spacing w:after="0"/>
              <w:rPr>
                <w:sz w:val="20"/>
                <w:szCs w:val="20"/>
                <w:color w:val="auto"/>
              </w:rPr>
            </w:pPr>
            <w:r>
              <w:rPr>
                <w:rFonts w:ascii="Arial" w:cs="Arial" w:eastAsia="Arial" w:hAnsi="Arial"/>
                <w:sz w:val="22"/>
                <w:szCs w:val="22"/>
                <w:b w:val="1"/>
                <w:bCs w:val="1"/>
                <w:color w:val="auto"/>
                <w:w w:val="91"/>
              </w:rPr>
              <w:t>Delaware</w:t>
            </w:r>
          </w:p>
        </w:tc>
        <w:tc>
          <w:tcPr>
            <w:tcW w:w="2640" w:type="dxa"/>
            <w:vAlign w:val="bottom"/>
          </w:tcPr>
          <w:p>
            <w:pPr>
              <w:jc w:val="center"/>
              <w:ind w:right="104"/>
              <w:spacing w:after="0"/>
              <w:rPr>
                <w:sz w:val="20"/>
                <w:szCs w:val="20"/>
                <w:color w:val="auto"/>
              </w:rPr>
            </w:pPr>
            <w:r>
              <w:rPr>
                <w:rFonts w:ascii="Arial" w:cs="Arial" w:eastAsia="Arial" w:hAnsi="Arial"/>
                <w:sz w:val="22"/>
                <w:szCs w:val="22"/>
                <w:b w:val="1"/>
                <w:bCs w:val="1"/>
                <w:color w:val="auto"/>
                <w:w w:val="89"/>
              </w:rPr>
              <w:t>1-13905</w:t>
            </w:r>
          </w:p>
        </w:tc>
        <w:tc>
          <w:tcPr>
            <w:tcW w:w="2220" w:type="dxa"/>
            <w:vAlign w:val="bottom"/>
          </w:tcPr>
          <w:p>
            <w:pPr>
              <w:jc w:val="center"/>
              <w:ind w:left="763"/>
              <w:spacing w:after="0"/>
              <w:rPr>
                <w:sz w:val="20"/>
                <w:szCs w:val="20"/>
                <w:color w:val="auto"/>
              </w:rPr>
            </w:pPr>
            <w:r>
              <w:rPr>
                <w:rFonts w:ascii="Arial" w:cs="Arial" w:eastAsia="Arial" w:hAnsi="Arial"/>
                <w:sz w:val="22"/>
                <w:szCs w:val="22"/>
                <w:b w:val="1"/>
                <w:bCs w:val="1"/>
                <w:color w:val="auto"/>
                <w:w w:val="88"/>
              </w:rPr>
              <w:t>57-0981653</w:t>
            </w:r>
          </w:p>
        </w:tc>
      </w:tr>
      <w:tr>
        <w:trPr>
          <w:trHeight w:val="216"/>
        </w:trPr>
        <w:tc>
          <w:tcPr>
            <w:tcW w:w="2800" w:type="dxa"/>
            <w:vAlign w:val="bottom"/>
          </w:tcPr>
          <w:p>
            <w:pPr>
              <w:jc w:val="center"/>
              <w:ind w:right="623"/>
              <w:spacing w:after="0"/>
              <w:rPr>
                <w:sz w:val="20"/>
                <w:szCs w:val="20"/>
                <w:color w:val="auto"/>
              </w:rPr>
            </w:pPr>
            <w:r>
              <w:rPr>
                <w:rFonts w:ascii="Arial" w:cs="Arial" w:eastAsia="Arial" w:hAnsi="Arial"/>
                <w:sz w:val="18"/>
                <w:szCs w:val="18"/>
                <w:color w:val="auto"/>
                <w:w w:val="92"/>
              </w:rPr>
              <w:t>(State or other jurisdiction of</w:t>
            </w:r>
          </w:p>
        </w:tc>
        <w:tc>
          <w:tcPr>
            <w:tcW w:w="2640" w:type="dxa"/>
            <w:vAlign w:val="bottom"/>
          </w:tcPr>
          <w:p>
            <w:pPr>
              <w:jc w:val="center"/>
              <w:ind w:right="104"/>
              <w:spacing w:after="0"/>
              <w:rPr>
                <w:sz w:val="20"/>
                <w:szCs w:val="20"/>
                <w:color w:val="auto"/>
              </w:rPr>
            </w:pPr>
            <w:r>
              <w:rPr>
                <w:rFonts w:ascii="Arial" w:cs="Arial" w:eastAsia="Arial" w:hAnsi="Arial"/>
                <w:sz w:val="18"/>
                <w:szCs w:val="18"/>
                <w:color w:val="auto"/>
                <w:w w:val="91"/>
              </w:rPr>
              <w:t>(Commission</w:t>
            </w:r>
          </w:p>
        </w:tc>
        <w:tc>
          <w:tcPr>
            <w:tcW w:w="2220" w:type="dxa"/>
            <w:vAlign w:val="bottom"/>
          </w:tcPr>
          <w:p>
            <w:pPr>
              <w:jc w:val="center"/>
              <w:ind w:left="783"/>
              <w:spacing w:after="0"/>
              <w:rPr>
                <w:sz w:val="20"/>
                <w:szCs w:val="20"/>
                <w:color w:val="auto"/>
              </w:rPr>
            </w:pPr>
            <w:r>
              <w:rPr>
                <w:rFonts w:ascii="Arial" w:cs="Arial" w:eastAsia="Arial" w:hAnsi="Arial"/>
                <w:sz w:val="18"/>
                <w:szCs w:val="18"/>
                <w:color w:val="auto"/>
                <w:w w:val="93"/>
              </w:rPr>
              <w:t>(IRS Employer</w:t>
            </w:r>
          </w:p>
        </w:tc>
      </w:tr>
      <w:tr>
        <w:trPr>
          <w:trHeight w:val="230"/>
        </w:trPr>
        <w:tc>
          <w:tcPr>
            <w:tcW w:w="2800" w:type="dxa"/>
            <w:vAlign w:val="bottom"/>
          </w:tcPr>
          <w:p>
            <w:pPr>
              <w:jc w:val="center"/>
              <w:ind w:right="643"/>
              <w:spacing w:after="0"/>
              <w:rPr>
                <w:sz w:val="20"/>
                <w:szCs w:val="20"/>
                <w:color w:val="auto"/>
              </w:rPr>
            </w:pPr>
            <w:r>
              <w:rPr>
                <w:rFonts w:ascii="Arial" w:cs="Arial" w:eastAsia="Arial" w:hAnsi="Arial"/>
                <w:sz w:val="18"/>
                <w:szCs w:val="18"/>
                <w:color w:val="auto"/>
                <w:w w:val="92"/>
              </w:rPr>
              <w:t>incorporation)</w:t>
            </w:r>
          </w:p>
        </w:tc>
        <w:tc>
          <w:tcPr>
            <w:tcW w:w="2640" w:type="dxa"/>
            <w:vAlign w:val="bottom"/>
          </w:tcPr>
          <w:p>
            <w:pPr>
              <w:jc w:val="center"/>
              <w:ind w:right="124"/>
              <w:spacing w:after="0"/>
              <w:rPr>
                <w:sz w:val="20"/>
                <w:szCs w:val="20"/>
                <w:color w:val="auto"/>
              </w:rPr>
            </w:pPr>
            <w:r>
              <w:rPr>
                <w:rFonts w:ascii="Arial" w:cs="Arial" w:eastAsia="Arial" w:hAnsi="Arial"/>
                <w:sz w:val="18"/>
                <w:szCs w:val="18"/>
                <w:color w:val="auto"/>
                <w:w w:val="94"/>
              </w:rPr>
              <w:t>File Number)</w:t>
            </w:r>
          </w:p>
        </w:tc>
        <w:tc>
          <w:tcPr>
            <w:tcW w:w="2220" w:type="dxa"/>
            <w:vAlign w:val="bottom"/>
          </w:tcPr>
          <w:p>
            <w:pPr>
              <w:jc w:val="center"/>
              <w:ind w:left="78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5440" w:type="dxa"/>
            <w:vAlign w:val="bottom"/>
            <w:gridSpan w:val="2"/>
          </w:tcPr>
          <w:p>
            <w:pPr>
              <w:jc w:val="center"/>
              <w:ind w:right="28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220" w:type="dxa"/>
            <w:vAlign w:val="bottom"/>
          </w:tcPr>
          <w:p>
            <w:pPr>
              <w:jc w:val="center"/>
              <w:ind w:left="763"/>
              <w:spacing w:after="0"/>
              <w:rPr>
                <w:sz w:val="20"/>
                <w:szCs w:val="20"/>
                <w:color w:val="auto"/>
              </w:rPr>
            </w:pPr>
            <w:r>
              <w:rPr>
                <w:rFonts w:ascii="Arial" w:cs="Arial" w:eastAsia="Arial" w:hAnsi="Arial"/>
                <w:sz w:val="22"/>
                <w:szCs w:val="22"/>
                <w:b w:val="1"/>
                <w:bCs w:val="1"/>
                <w:color w:val="auto"/>
                <w:w w:val="88"/>
              </w:rPr>
              <w:t>75240-2620</w:t>
            </w:r>
          </w:p>
        </w:tc>
      </w:tr>
      <w:tr>
        <w:trPr>
          <w:trHeight w:val="230"/>
        </w:trPr>
        <w:tc>
          <w:tcPr>
            <w:tcW w:w="5440" w:type="dxa"/>
            <w:vAlign w:val="bottom"/>
            <w:gridSpan w:val="2"/>
          </w:tcPr>
          <w:p>
            <w:pPr>
              <w:jc w:val="center"/>
              <w:ind w:right="284"/>
              <w:spacing w:after="0"/>
              <w:rPr>
                <w:sz w:val="20"/>
                <w:szCs w:val="20"/>
                <w:color w:val="auto"/>
              </w:rPr>
            </w:pPr>
            <w:r>
              <w:rPr>
                <w:rFonts w:ascii="Arial" w:cs="Arial" w:eastAsia="Arial" w:hAnsi="Arial"/>
                <w:sz w:val="18"/>
                <w:szCs w:val="18"/>
                <w:color w:val="auto"/>
                <w:w w:val="92"/>
              </w:rPr>
              <w:t>(Address of principal executive offices)</w:t>
            </w:r>
          </w:p>
        </w:tc>
        <w:tc>
          <w:tcPr>
            <w:tcW w:w="2220" w:type="dxa"/>
            <w:vAlign w:val="bottom"/>
          </w:tcPr>
          <w:p>
            <w:pPr>
              <w:jc w:val="center"/>
              <w:ind w:left="763"/>
              <w:spacing w:after="0"/>
              <w:rPr>
                <w:sz w:val="20"/>
                <w:szCs w:val="20"/>
                <w:color w:val="auto"/>
              </w:rPr>
            </w:pPr>
            <w:r>
              <w:rPr>
                <w:rFonts w:ascii="Arial" w:cs="Arial" w:eastAsia="Arial" w:hAnsi="Arial"/>
                <w:sz w:val="18"/>
                <w:szCs w:val="18"/>
                <w:color w:val="auto"/>
                <w:w w:val="94"/>
              </w:rPr>
              <w:t>(Zip Code)</w:t>
            </w:r>
          </w:p>
        </w:tc>
      </w:tr>
    </w:tbl>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(972) 448-1400</w:t>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1368425</wp:posOffset>
            </wp:positionH>
            <wp:positionV relativeFrom="paragraph">
              <wp:posOffset>-130175</wp:posOffset>
            </wp:positionV>
            <wp:extent cx="2983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11" w:lineRule="exact"/>
        <w:rPr>
          <w:sz w:val="24"/>
          <w:szCs w:val="24"/>
          <w:color w:val="auto"/>
        </w:rPr>
      </w:pPr>
    </w:p>
    <w:p>
      <w:pPr>
        <w:ind w:left="60" w:right="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89" w:lineRule="exact"/>
        <w:rPr>
          <w:sz w:val="24"/>
          <w:szCs w:val="24"/>
          <w:color w:val="auto"/>
        </w:rPr>
      </w:pPr>
    </w:p>
    <w:p>
      <w:pPr>
        <w:ind w:left="540" w:hanging="337"/>
        <w:spacing w:after="0"/>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color w:val="auto"/>
        </w:rPr>
        <w:t>Written communications pursuant to Rule 425 under the Securities Act (17 CFR 230.425)</w:t>
      </w:r>
    </w:p>
    <w:p>
      <w:pPr>
        <w:spacing w:after="0" w:line="245" w:lineRule="exact"/>
        <w:rPr>
          <w:rFonts w:ascii="MS PGothic" w:cs="MS PGothic" w:eastAsia="MS PGothic" w:hAnsi="MS PGothic"/>
          <w:sz w:val="22"/>
          <w:szCs w:val="22"/>
          <w:color w:val="auto"/>
          <w:highlight w:val="black"/>
        </w:rPr>
      </w:pPr>
    </w:p>
    <w:p>
      <w:pPr>
        <w:ind w:left="540" w:hanging="337"/>
        <w:spacing w:after="0"/>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color w:val="auto"/>
        </w:rPr>
        <w:t>Soliciting material pursuant to Rule 14a-12 under the Exchange Act (17 CFR 240.14a-12)</w:t>
      </w:r>
    </w:p>
    <w:p>
      <w:pPr>
        <w:spacing w:after="0" w:line="245" w:lineRule="exact"/>
        <w:rPr>
          <w:rFonts w:ascii="MS PGothic" w:cs="MS PGothic" w:eastAsia="MS PGothic" w:hAnsi="MS PGothic"/>
          <w:sz w:val="22"/>
          <w:szCs w:val="22"/>
          <w:color w:val="auto"/>
          <w:highlight w:val="black"/>
        </w:rPr>
      </w:pPr>
    </w:p>
    <w:p>
      <w:pPr>
        <w:ind w:left="540" w:hanging="337"/>
        <w:spacing w:after="0"/>
        <w:tabs>
          <w:tab w:leader="none" w:pos="54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17"/>
          <w:szCs w:val="17"/>
          <w:color w:val="auto"/>
        </w:rPr>
        <w:t>Pre-commencement communications pursuant to Rule 14d-2(b) under the Exchange Act (17 CFR 240.14d-2(b))</w:t>
      </w:r>
    </w:p>
    <w:p>
      <w:pPr>
        <w:spacing w:after="0" w:line="256" w:lineRule="exact"/>
        <w:rPr>
          <w:rFonts w:ascii="MS PGothic" w:cs="MS PGothic" w:eastAsia="MS PGothic" w:hAnsi="MS PGothic"/>
          <w:sz w:val="21"/>
          <w:szCs w:val="21"/>
          <w:color w:val="auto"/>
          <w:highlight w:val="black"/>
        </w:rPr>
      </w:pPr>
    </w:p>
    <w:p>
      <w:pPr>
        <w:ind w:left="540" w:hanging="337"/>
        <w:spacing w:after="0"/>
        <w:tabs>
          <w:tab w:leader="none" w:pos="54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17"/>
          <w:szCs w:val="17"/>
          <w:color w:val="auto"/>
        </w:rPr>
        <w:t>Pre-commencement communications pursuant to Rule 13e-4(c) under the Exchange Act (17 CFR 240.13e-4(c))</w:t>
      </w:r>
    </w:p>
    <w:p>
      <w:pPr>
        <w:spacing w:after="0" w:line="148"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0"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240" w:type="dxa"/>
            <w:vAlign w:val="bottom"/>
          </w:tcPr>
          <w:p>
            <w:pPr>
              <w:spacing w:after="0"/>
              <w:rPr>
                <w:sz w:val="14"/>
                <w:szCs w:val="14"/>
                <w:color w:val="auto"/>
              </w:rPr>
            </w:pPr>
          </w:p>
        </w:tc>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33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240" w:type="dxa"/>
            <w:vAlign w:val="bottom"/>
          </w:tcPr>
          <w:p>
            <w:pPr>
              <w:spacing w:after="0"/>
              <w:rPr>
                <w:sz w:val="14"/>
                <w:szCs w:val="14"/>
                <w:color w:val="auto"/>
              </w:rPr>
            </w:pPr>
          </w:p>
        </w:tc>
        <w:tc>
          <w:tcPr>
            <w:tcW w:w="3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320" w:type="dxa"/>
            <w:vAlign w:val="bottom"/>
          </w:tcPr>
          <w:p>
            <w:pPr>
              <w:jc w:val="center"/>
              <w:spacing w:after="0" w:line="123" w:lineRule="exact"/>
              <w:rPr>
                <w:sz w:val="20"/>
                <w:szCs w:val="20"/>
                <w:color w:val="auto"/>
              </w:rPr>
            </w:pPr>
            <w:r>
              <w:rPr>
                <w:rFonts w:ascii="Arial" w:cs="Arial" w:eastAsia="Arial" w:hAnsi="Arial"/>
                <w:sz w:val="14"/>
                <w:szCs w:val="14"/>
                <w:color w:val="auto"/>
                <w:w w:val="92"/>
              </w:rPr>
              <w:t>Class A common stock</w:t>
            </w: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320" w:type="dxa"/>
            <w:vAlign w:val="bottom"/>
          </w:tcPr>
          <w:p>
            <w:pPr>
              <w:jc w:val="center"/>
              <w:spacing w:after="0"/>
              <w:rPr>
                <w:sz w:val="20"/>
                <w:szCs w:val="20"/>
                <w:color w:val="auto"/>
              </w:rPr>
            </w:pPr>
            <w:r>
              <w:rPr>
                <w:rFonts w:ascii="Arial" w:cs="Arial" w:eastAsia="Arial" w:hAnsi="Arial"/>
                <w:sz w:val="14"/>
                <w:szCs w:val="14"/>
                <w:color w:val="auto"/>
                <w:w w:val="91"/>
              </w:rPr>
              <w:t>($.01 par value per share)</w:t>
            </w:r>
          </w:p>
        </w:tc>
        <w:tc>
          <w:tcPr>
            <w:tcW w:w="1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CIX</w:t>
            </w:r>
          </w:p>
        </w:tc>
        <w:tc>
          <w:tcPr>
            <w:tcW w:w="240" w:type="dxa"/>
            <w:vAlign w:val="bottom"/>
          </w:tcPr>
          <w:p>
            <w:pPr>
              <w:spacing w:after="0"/>
              <w:rPr>
                <w:sz w:val="15"/>
                <w:szCs w:val="15"/>
                <w:color w:val="auto"/>
              </w:rPr>
            </w:pPr>
          </w:p>
        </w:tc>
        <w:tc>
          <w:tcPr>
            <w:tcW w:w="386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60" w:right="139"/>
        <w:spacing w:after="0" w:line="28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67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1" w:lineRule="exact"/>
        <w:rPr>
          <w:sz w:val="24"/>
          <w:szCs w:val="24"/>
          <w:color w:val="auto"/>
        </w:rPr>
      </w:pPr>
    </w:p>
    <w:p>
      <w:pPr>
        <w:jc w:val="both"/>
        <w:ind w:left="60" w:right="439"/>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463550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52070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86360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336" w:right="1440" w:bottom="1440" w:gutter="0" w:footer="0" w:header="0"/>
        </w:sectPr>
      </w:pPr>
    </w:p>
    <w:bookmarkStart w:id="1" w:name="page2"/>
    <w:bookmarkEnd w:id="1"/>
    <w:p>
      <w:pPr>
        <w:ind w:left="60"/>
        <w:spacing w:after="0"/>
        <w:tabs>
          <w:tab w:leader="none" w:pos="13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29" w:lineRule="exact"/>
        <w:rPr>
          <w:sz w:val="20"/>
          <w:szCs w:val="20"/>
          <w:color w:val="auto"/>
        </w:rPr>
      </w:pPr>
    </w:p>
    <w:p>
      <w:pPr>
        <w:ind w:left="60" w:right="359" w:firstLine="648"/>
        <w:spacing w:after="0" w:line="327" w:lineRule="auto"/>
        <w:rPr>
          <w:sz w:val="20"/>
          <w:szCs w:val="20"/>
          <w:color w:val="auto"/>
        </w:rPr>
      </w:pPr>
      <w:r>
        <w:rPr>
          <w:rFonts w:ascii="Arial" w:cs="Arial" w:eastAsia="Arial" w:hAnsi="Arial"/>
          <w:sz w:val="15"/>
          <w:szCs w:val="15"/>
          <w:color w:val="auto"/>
        </w:rPr>
        <w:t>The registrant held its 2023 annual meeting of stockholders on May 24, 2023. At the 2023 annual meeting, the registrant’s stockholders voted on the three proposals described in detail in the registrant’s definitive proxy statement on Schedule 14A filed with the U.S. Securities and Exchange Commission on April 11, 2023. Stockholders present at the 2023 annual meeting, either in person or by proxy, represented 96.5% of the 12,307,157 shares eligible to vote at the meeting.</w:t>
      </w:r>
    </w:p>
    <w:p>
      <w:pPr>
        <w:spacing w:after="0" w:line="140"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roposal</w:t>
      </w:r>
      <w:r>
        <w:rPr>
          <w:rFonts w:ascii="Arial" w:cs="Arial" w:eastAsia="Arial" w:hAnsi="Arial"/>
          <w:sz w:val="18"/>
          <w:szCs w:val="18"/>
          <w:color w:val="auto"/>
        </w:rPr>
        <w:t xml:space="preserve"> 1:</w:t>
      </w:r>
      <w:r>
        <w:rPr>
          <w:sz w:val="20"/>
          <w:szCs w:val="20"/>
          <w:color w:val="auto"/>
        </w:rPr>
        <w:tab/>
      </w:r>
      <w:r>
        <w:rPr>
          <w:rFonts w:ascii="Arial" w:cs="Arial" w:eastAsia="Arial" w:hAnsi="Arial"/>
          <w:sz w:val="18"/>
          <w:szCs w:val="18"/>
          <w:color w:val="auto"/>
        </w:rPr>
        <w:t>E</w:t>
      </w:r>
      <w:r>
        <w:rPr>
          <w:rFonts w:ascii="Arial" w:cs="Arial" w:eastAsia="Arial" w:hAnsi="Arial"/>
          <w:sz w:val="12"/>
          <w:szCs w:val="12"/>
          <w:color w:val="auto"/>
        </w:rPr>
        <w:t>lection of</w:t>
      </w:r>
      <w:r>
        <w:rPr>
          <w:rFonts w:ascii="Arial" w:cs="Arial" w:eastAsia="Arial" w:hAnsi="Arial"/>
          <w:sz w:val="18"/>
          <w:szCs w:val="18"/>
          <w:color w:val="auto"/>
        </w:rPr>
        <w:t xml:space="preserve"> D</w:t>
      </w:r>
      <w:r>
        <w:rPr>
          <w:rFonts w:ascii="Arial" w:cs="Arial" w:eastAsia="Arial" w:hAnsi="Arial"/>
          <w:sz w:val="12"/>
          <w:szCs w:val="12"/>
          <w:color w:val="auto"/>
        </w:rPr>
        <w:t>irectors</w:t>
      </w:r>
    </w:p>
    <w:p>
      <w:pPr>
        <w:spacing w:after="0" w:line="225" w:lineRule="exact"/>
        <w:rPr>
          <w:sz w:val="20"/>
          <w:szCs w:val="20"/>
          <w:color w:val="auto"/>
        </w:rPr>
      </w:pPr>
    </w:p>
    <w:p>
      <w:pPr>
        <w:jc w:val="both"/>
        <w:ind w:left="60" w:right="239" w:firstLine="648"/>
        <w:spacing w:after="0" w:line="286" w:lineRule="auto"/>
        <w:rPr>
          <w:sz w:val="20"/>
          <w:szCs w:val="20"/>
          <w:color w:val="auto"/>
        </w:rPr>
      </w:pPr>
      <w:r>
        <w:rPr>
          <w:rFonts w:ascii="Arial" w:cs="Arial" w:eastAsia="Arial" w:hAnsi="Arial"/>
          <w:sz w:val="17"/>
          <w:szCs w:val="17"/>
          <w:color w:val="auto"/>
        </w:rPr>
        <w:t>The registrant’s stockholders elected Thomas E. Barry, Loretta J. Feehan, Terri L. Herrington, Scott C. James, Kevin B. Kramer, Ann Manix, Michael S. Simmons, and Mary A. Tidlund as directors. Each director nominee received votes “For” his or her election from at least 92.1% of the shares eligible to vote at the annual meeting.</w:t>
      </w:r>
    </w:p>
    <w:p>
      <w:pPr>
        <w:spacing w:after="0" w:line="165"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roposal</w:t>
      </w:r>
      <w:r>
        <w:rPr>
          <w:rFonts w:ascii="Arial" w:cs="Arial" w:eastAsia="Arial" w:hAnsi="Arial"/>
          <w:sz w:val="18"/>
          <w:szCs w:val="18"/>
          <w:color w:val="auto"/>
        </w:rPr>
        <w:t xml:space="preserve"> 2:</w:t>
      </w:r>
      <w:r>
        <w:rPr>
          <w:sz w:val="20"/>
          <w:szCs w:val="20"/>
          <w:color w:val="auto"/>
        </w:rPr>
        <w:tab/>
      </w:r>
      <w:r>
        <w:rPr>
          <w:rFonts w:ascii="Arial" w:cs="Arial" w:eastAsia="Arial" w:hAnsi="Arial"/>
          <w:sz w:val="18"/>
          <w:szCs w:val="18"/>
          <w:color w:val="auto"/>
        </w:rPr>
        <w:t>S</w:t>
      </w:r>
      <w:r>
        <w:rPr>
          <w:rFonts w:ascii="Arial" w:cs="Arial" w:eastAsia="Arial" w:hAnsi="Arial"/>
          <w:sz w:val="12"/>
          <w:szCs w:val="12"/>
          <w:color w:val="auto"/>
        </w:rPr>
        <w:t>ay</w:t>
      </w:r>
      <w:r>
        <w:rPr>
          <w:rFonts w:ascii="Arial" w:cs="Arial" w:eastAsia="Arial" w:hAnsi="Arial"/>
          <w:sz w:val="18"/>
          <w:szCs w:val="18"/>
          <w:color w:val="auto"/>
        </w:rPr>
        <w:t>-</w:t>
      </w:r>
      <w:r>
        <w:rPr>
          <w:rFonts w:ascii="Arial" w:cs="Arial" w:eastAsia="Arial" w:hAnsi="Arial"/>
          <w:sz w:val="12"/>
          <w:szCs w:val="12"/>
          <w:color w:val="auto"/>
        </w:rPr>
        <w:t>on</w:t>
      </w:r>
      <w:r>
        <w:rPr>
          <w:rFonts w:ascii="Arial" w:cs="Arial" w:eastAsia="Arial" w:hAnsi="Arial"/>
          <w:sz w:val="18"/>
          <w:szCs w:val="18"/>
          <w:color w:val="auto"/>
        </w:rPr>
        <w:t>-P</w:t>
      </w:r>
      <w:r>
        <w:rPr>
          <w:rFonts w:ascii="Arial" w:cs="Arial" w:eastAsia="Arial" w:hAnsi="Arial"/>
          <w:sz w:val="12"/>
          <w:szCs w:val="12"/>
          <w:color w:val="auto"/>
        </w:rPr>
        <w:t>ay</w:t>
      </w:r>
      <w:r>
        <w:rPr>
          <w:rFonts w:ascii="Arial" w:cs="Arial" w:eastAsia="Arial" w:hAnsi="Arial"/>
          <w:sz w:val="18"/>
          <w:szCs w:val="18"/>
          <w:color w:val="auto"/>
        </w:rPr>
        <w:t>, N</w:t>
      </w:r>
      <w:r>
        <w:rPr>
          <w:rFonts w:ascii="Arial" w:cs="Arial" w:eastAsia="Arial" w:hAnsi="Arial"/>
          <w:sz w:val="12"/>
          <w:szCs w:val="12"/>
          <w:color w:val="auto"/>
        </w:rPr>
        <w:t>onbinding</w:t>
      </w:r>
      <w:r>
        <w:rPr>
          <w:rFonts w:ascii="Arial" w:cs="Arial" w:eastAsia="Arial" w:hAnsi="Arial"/>
          <w:sz w:val="18"/>
          <w:szCs w:val="18"/>
          <w:color w:val="auto"/>
        </w:rPr>
        <w:t xml:space="preserve"> A</w:t>
      </w:r>
      <w:r>
        <w:rPr>
          <w:rFonts w:ascii="Arial" w:cs="Arial" w:eastAsia="Arial" w:hAnsi="Arial"/>
          <w:sz w:val="12"/>
          <w:szCs w:val="12"/>
          <w:color w:val="auto"/>
        </w:rPr>
        <w:t>dvisory</w:t>
      </w:r>
      <w:r>
        <w:rPr>
          <w:rFonts w:ascii="Arial" w:cs="Arial" w:eastAsia="Arial" w:hAnsi="Arial"/>
          <w:sz w:val="18"/>
          <w:szCs w:val="18"/>
          <w:color w:val="auto"/>
        </w:rPr>
        <w:t xml:space="preserve"> V</w:t>
      </w:r>
      <w:r>
        <w:rPr>
          <w:rFonts w:ascii="Arial" w:cs="Arial" w:eastAsia="Arial" w:hAnsi="Arial"/>
          <w:sz w:val="12"/>
          <w:szCs w:val="12"/>
          <w:color w:val="auto"/>
        </w:rPr>
        <w:t>ote</w:t>
      </w:r>
      <w:r>
        <w:rPr>
          <w:rFonts w:ascii="Arial" w:cs="Arial" w:eastAsia="Arial" w:hAnsi="Arial"/>
          <w:sz w:val="18"/>
          <w:szCs w:val="18"/>
          <w:color w:val="auto"/>
        </w:rPr>
        <w:t xml:space="preserve"> A</w:t>
      </w:r>
      <w:r>
        <w:rPr>
          <w:rFonts w:ascii="Arial" w:cs="Arial" w:eastAsia="Arial" w:hAnsi="Arial"/>
          <w:sz w:val="12"/>
          <w:szCs w:val="12"/>
          <w:color w:val="auto"/>
        </w:rPr>
        <w:t>pproving</w:t>
      </w:r>
      <w:r>
        <w:rPr>
          <w:rFonts w:ascii="Arial" w:cs="Arial" w:eastAsia="Arial" w:hAnsi="Arial"/>
          <w:sz w:val="18"/>
          <w:szCs w:val="18"/>
          <w:color w:val="auto"/>
        </w:rPr>
        <w:t xml:space="preserve"> E</w:t>
      </w:r>
      <w:r>
        <w:rPr>
          <w:rFonts w:ascii="Arial" w:cs="Arial" w:eastAsia="Arial" w:hAnsi="Arial"/>
          <w:sz w:val="12"/>
          <w:szCs w:val="12"/>
          <w:color w:val="auto"/>
        </w:rPr>
        <w:t>xecutive</w:t>
      </w:r>
      <w:r>
        <w:rPr>
          <w:rFonts w:ascii="Arial" w:cs="Arial" w:eastAsia="Arial" w:hAnsi="Arial"/>
          <w:sz w:val="18"/>
          <w:szCs w:val="18"/>
          <w:color w:val="auto"/>
        </w:rPr>
        <w:t xml:space="preserve"> C</w:t>
      </w:r>
      <w:r>
        <w:rPr>
          <w:rFonts w:ascii="Arial" w:cs="Arial" w:eastAsia="Arial" w:hAnsi="Arial"/>
          <w:sz w:val="12"/>
          <w:szCs w:val="12"/>
          <w:color w:val="auto"/>
        </w:rPr>
        <w:t>ompensation</w:t>
      </w:r>
    </w:p>
    <w:p>
      <w:pPr>
        <w:spacing w:after="0" w:line="225" w:lineRule="exact"/>
        <w:rPr>
          <w:sz w:val="20"/>
          <w:szCs w:val="20"/>
          <w:color w:val="auto"/>
        </w:rPr>
      </w:pPr>
    </w:p>
    <w:p>
      <w:pPr>
        <w:jc w:val="both"/>
        <w:ind w:left="60" w:right="139" w:firstLine="648"/>
        <w:spacing w:after="0" w:line="286" w:lineRule="auto"/>
        <w:rPr>
          <w:sz w:val="20"/>
          <w:szCs w:val="20"/>
          <w:color w:val="auto"/>
        </w:rPr>
      </w:pPr>
      <w:r>
        <w:rPr>
          <w:rFonts w:ascii="Arial" w:cs="Arial" w:eastAsia="Arial" w:hAnsi="Arial"/>
          <w:sz w:val="17"/>
          <w:szCs w:val="17"/>
          <w:color w:val="auto"/>
        </w:rPr>
        <w:t>The registrant’s stockholders adopted a resolution, on a nonbinding advisory basis, approving the compensation of the registrant’s named executive officers as described in the registrant’s 2023 proxy statement. The resolution received the approval from 90.2% of the shares eligible to vote at the annual meeting.</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roposal</w:t>
      </w:r>
      <w:r>
        <w:rPr>
          <w:rFonts w:ascii="Arial" w:cs="Arial" w:eastAsia="Arial" w:hAnsi="Arial"/>
          <w:sz w:val="18"/>
          <w:szCs w:val="18"/>
          <w:color w:val="auto"/>
        </w:rPr>
        <w:t xml:space="preserve"> 3: S</w:t>
      </w:r>
      <w:r>
        <w:rPr>
          <w:rFonts w:ascii="Arial" w:cs="Arial" w:eastAsia="Arial" w:hAnsi="Arial"/>
          <w:sz w:val="12"/>
          <w:szCs w:val="12"/>
          <w:color w:val="auto"/>
        </w:rPr>
        <w:t>ay</w:t>
      </w:r>
      <w:r>
        <w:rPr>
          <w:rFonts w:ascii="Arial" w:cs="Arial" w:eastAsia="Arial" w:hAnsi="Arial"/>
          <w:sz w:val="18"/>
          <w:szCs w:val="18"/>
          <w:color w:val="auto"/>
        </w:rPr>
        <w:t>-W</w:t>
      </w:r>
      <w:r>
        <w:rPr>
          <w:rFonts w:ascii="Arial" w:cs="Arial" w:eastAsia="Arial" w:hAnsi="Arial"/>
          <w:sz w:val="12"/>
          <w:szCs w:val="12"/>
          <w:color w:val="auto"/>
        </w:rPr>
        <w:t>hen</w:t>
      </w:r>
      <w:r>
        <w:rPr>
          <w:rFonts w:ascii="Arial" w:cs="Arial" w:eastAsia="Arial" w:hAnsi="Arial"/>
          <w:sz w:val="18"/>
          <w:szCs w:val="18"/>
          <w:color w:val="auto"/>
        </w:rPr>
        <w:t>-</w:t>
      </w:r>
      <w:r>
        <w:rPr>
          <w:rFonts w:ascii="Arial" w:cs="Arial" w:eastAsia="Arial" w:hAnsi="Arial"/>
          <w:sz w:val="12"/>
          <w:szCs w:val="12"/>
          <w:color w:val="auto"/>
        </w:rPr>
        <w:t>on</w:t>
      </w:r>
      <w:r>
        <w:rPr>
          <w:rFonts w:ascii="Arial" w:cs="Arial" w:eastAsia="Arial" w:hAnsi="Arial"/>
          <w:sz w:val="18"/>
          <w:szCs w:val="18"/>
          <w:color w:val="auto"/>
        </w:rPr>
        <w:t>-P</w:t>
      </w:r>
      <w:r>
        <w:rPr>
          <w:rFonts w:ascii="Arial" w:cs="Arial" w:eastAsia="Arial" w:hAnsi="Arial"/>
          <w:sz w:val="12"/>
          <w:szCs w:val="12"/>
          <w:color w:val="auto"/>
        </w:rPr>
        <w:t>ay</w:t>
      </w:r>
      <w:r>
        <w:rPr>
          <w:rFonts w:ascii="Arial" w:cs="Arial" w:eastAsia="Arial" w:hAnsi="Arial"/>
          <w:sz w:val="18"/>
          <w:szCs w:val="18"/>
          <w:color w:val="auto"/>
        </w:rPr>
        <w:t>, N</w:t>
      </w:r>
      <w:r>
        <w:rPr>
          <w:rFonts w:ascii="Arial" w:cs="Arial" w:eastAsia="Arial" w:hAnsi="Arial"/>
          <w:sz w:val="12"/>
          <w:szCs w:val="12"/>
          <w:color w:val="auto"/>
        </w:rPr>
        <w:t>onbinding</w:t>
      </w:r>
      <w:r>
        <w:rPr>
          <w:rFonts w:ascii="Arial" w:cs="Arial" w:eastAsia="Arial" w:hAnsi="Arial"/>
          <w:sz w:val="18"/>
          <w:szCs w:val="18"/>
          <w:color w:val="auto"/>
        </w:rPr>
        <w:t xml:space="preserve"> A</w:t>
      </w:r>
      <w:r>
        <w:rPr>
          <w:rFonts w:ascii="Arial" w:cs="Arial" w:eastAsia="Arial" w:hAnsi="Arial"/>
          <w:sz w:val="12"/>
          <w:szCs w:val="12"/>
          <w:color w:val="auto"/>
        </w:rPr>
        <w:t>dvisory</w:t>
      </w:r>
      <w:r>
        <w:rPr>
          <w:rFonts w:ascii="Arial" w:cs="Arial" w:eastAsia="Arial" w:hAnsi="Arial"/>
          <w:sz w:val="18"/>
          <w:szCs w:val="18"/>
          <w:color w:val="auto"/>
        </w:rPr>
        <w:t xml:space="preserve"> V</w:t>
      </w:r>
      <w:r>
        <w:rPr>
          <w:rFonts w:ascii="Arial" w:cs="Arial" w:eastAsia="Arial" w:hAnsi="Arial"/>
          <w:sz w:val="12"/>
          <w:szCs w:val="12"/>
          <w:color w:val="auto"/>
        </w:rPr>
        <w:t>ote on the</w:t>
      </w:r>
      <w:r>
        <w:rPr>
          <w:rFonts w:ascii="Arial" w:cs="Arial" w:eastAsia="Arial" w:hAnsi="Arial"/>
          <w:sz w:val="18"/>
          <w:szCs w:val="18"/>
          <w:color w:val="auto"/>
        </w:rPr>
        <w:t xml:space="preserve"> P</w:t>
      </w:r>
      <w:r>
        <w:rPr>
          <w:rFonts w:ascii="Arial" w:cs="Arial" w:eastAsia="Arial" w:hAnsi="Arial"/>
          <w:sz w:val="12"/>
          <w:szCs w:val="12"/>
          <w:color w:val="auto"/>
        </w:rPr>
        <w:t>referred</w:t>
      </w:r>
      <w:r>
        <w:rPr>
          <w:rFonts w:ascii="Arial" w:cs="Arial" w:eastAsia="Arial" w:hAnsi="Arial"/>
          <w:sz w:val="18"/>
          <w:szCs w:val="18"/>
          <w:color w:val="auto"/>
        </w:rPr>
        <w:t xml:space="preserve"> F</w:t>
      </w:r>
      <w:r>
        <w:rPr>
          <w:rFonts w:ascii="Arial" w:cs="Arial" w:eastAsia="Arial" w:hAnsi="Arial"/>
          <w:sz w:val="12"/>
          <w:szCs w:val="12"/>
          <w:color w:val="auto"/>
        </w:rPr>
        <w:t>requency of</w:t>
      </w:r>
      <w:r>
        <w:rPr>
          <w:rFonts w:ascii="Arial" w:cs="Arial" w:eastAsia="Arial" w:hAnsi="Arial"/>
          <w:sz w:val="18"/>
          <w:szCs w:val="18"/>
          <w:color w:val="auto"/>
        </w:rPr>
        <w:t xml:space="preserve"> E</w:t>
      </w:r>
      <w:r>
        <w:rPr>
          <w:rFonts w:ascii="Arial" w:cs="Arial" w:eastAsia="Arial" w:hAnsi="Arial"/>
          <w:sz w:val="12"/>
          <w:szCs w:val="12"/>
          <w:color w:val="auto"/>
        </w:rPr>
        <w:t>xecutive</w:t>
      </w:r>
      <w:r>
        <w:rPr>
          <w:rFonts w:ascii="Arial" w:cs="Arial" w:eastAsia="Arial" w:hAnsi="Arial"/>
          <w:sz w:val="18"/>
          <w:szCs w:val="18"/>
          <w:color w:val="auto"/>
        </w:rPr>
        <w:t xml:space="preserve"> C</w:t>
      </w:r>
      <w:r>
        <w:rPr>
          <w:rFonts w:ascii="Arial" w:cs="Arial" w:eastAsia="Arial" w:hAnsi="Arial"/>
          <w:sz w:val="12"/>
          <w:szCs w:val="12"/>
          <w:color w:val="auto"/>
        </w:rPr>
        <w:t>ompensation</w:t>
      </w:r>
      <w:r>
        <w:rPr>
          <w:rFonts w:ascii="Arial" w:cs="Arial" w:eastAsia="Arial" w:hAnsi="Arial"/>
          <w:sz w:val="18"/>
          <w:szCs w:val="18"/>
          <w:color w:val="auto"/>
        </w:rPr>
        <w:t xml:space="preserve"> V</w:t>
      </w:r>
      <w:r>
        <w:rPr>
          <w:rFonts w:ascii="Arial" w:cs="Arial" w:eastAsia="Arial" w:hAnsi="Arial"/>
          <w:sz w:val="12"/>
          <w:szCs w:val="12"/>
          <w:color w:val="auto"/>
        </w:rPr>
        <w:t>otes</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registrant’s stockholders voted, on a nonbinding advisory basis, on the preferred frequency of every year, every other year or every third year for future advisory votes on the named executive officer compensation as disclosed pursuant to the compensation disclosure rules of the U.S. Securities and Exchange Commission. An annual vote on such named executive officer compensation received the vote of 95.0% of the shares eligible to vote at the annual meeting. In light of the results of this nonbinding advisory vote, the registrant intends to hold an annual nonbinding advisory vote on such named executive officer compensation until the next required vote on the frequency of stockholder votes on the compensation of executives.</w:t>
      </w:r>
    </w:p>
    <w:p>
      <w:pPr>
        <w:spacing w:after="0" w:line="218"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29"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The registrant hereby furnishes the information set forth in its press release issued on May 24, 2023, a copy of which is attached as Exhibit 99.1 and incorporated herein by reference. The information the registrant furnishes in this report under this Item 7.01, and the exhibit in Item 9.01,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56"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0" w:type="dxa"/>
            <w:vAlign w:val="bottom"/>
          </w:tcPr>
          <w:p>
            <w:pPr>
              <w:ind w:left="100"/>
              <w:spacing w:after="0"/>
              <w:rPr>
                <w:sz w:val="20"/>
                <w:szCs w:val="20"/>
                <w:color w:val="auto"/>
              </w:rPr>
            </w:pPr>
            <w:r>
              <w:rPr>
                <w:rFonts w:ascii="Arial" w:cs="Arial" w:eastAsia="Arial" w:hAnsi="Arial"/>
                <w:sz w:val="18"/>
                <w:szCs w:val="18"/>
                <w:color w:val="auto"/>
              </w:rPr>
              <w:t>(d)</w:t>
            </w:r>
          </w:p>
        </w:tc>
        <w:tc>
          <w:tcPr>
            <w:tcW w:w="1380" w:type="dxa"/>
            <w:vAlign w:val="bottom"/>
          </w:tcPr>
          <w:p>
            <w:pPr>
              <w:jc w:val="right"/>
              <w:ind w:right="710"/>
              <w:spacing w:after="0"/>
              <w:rPr>
                <w:sz w:val="20"/>
                <w:szCs w:val="20"/>
                <w:color w:val="auto"/>
              </w:rPr>
            </w:pPr>
            <w:r>
              <w:rPr>
                <w:rFonts w:ascii="Arial" w:cs="Arial" w:eastAsia="Arial" w:hAnsi="Arial"/>
                <w:sz w:val="18"/>
                <w:szCs w:val="18"/>
                <w:color w:val="auto"/>
                <w:w w:val="88"/>
              </w:rPr>
              <w:t>Exhibits</w:t>
            </w:r>
          </w:p>
        </w:tc>
        <w:tc>
          <w:tcPr>
            <w:tcW w:w="6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Item No.</w:t>
            </w:r>
          </w:p>
        </w:tc>
        <w:tc>
          <w:tcPr>
            <w:tcW w:w="600" w:type="dxa"/>
            <w:vAlign w:val="bottom"/>
          </w:tcPr>
          <w:p>
            <w:pPr>
              <w:spacing w:after="0"/>
              <w:rPr>
                <w:sz w:val="24"/>
                <w:szCs w:val="24"/>
                <w:color w:val="auto"/>
              </w:rPr>
            </w:pPr>
          </w:p>
        </w:tc>
        <w:tc>
          <w:tcPr>
            <w:tcW w:w="6320" w:type="dxa"/>
            <w:vAlign w:val="bottom"/>
            <w:gridSpan w:val="3"/>
          </w:tcPr>
          <w:p>
            <w:pPr>
              <w:ind w:left="26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385"/>
        </w:trPr>
        <w:tc>
          <w:tcPr>
            <w:tcW w:w="620" w:type="dxa"/>
            <w:vAlign w:val="bottom"/>
          </w:tcPr>
          <w:p>
            <w:pPr>
              <w:spacing w:after="0"/>
              <w:rPr>
                <w:sz w:val="24"/>
                <w:szCs w:val="24"/>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0000EE"/>
              </w:rPr>
              <w:t>Press release dated May 24, 2023 issued by the registrant</w:t>
            </w:r>
            <w:r>
              <w:rPr>
                <w:rFonts w:ascii="Arial" w:cs="Arial" w:eastAsia="Arial" w:hAnsi="Arial"/>
                <w:sz w:val="18"/>
                <w:szCs w:val="18"/>
                <w:color w:val="000000"/>
              </w:rPr>
              <w:t>.</w:t>
            </w:r>
          </w:p>
        </w:tc>
      </w:tr>
      <w:tr>
        <w:trPr>
          <w:trHeight w:val="20"/>
        </w:trPr>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r>
      <w:tr>
        <w:trPr>
          <w:trHeight w:val="453"/>
        </w:trPr>
        <w:tc>
          <w:tcPr>
            <w:tcW w:w="620" w:type="dxa"/>
            <w:vAlign w:val="bottom"/>
          </w:tcPr>
          <w:p>
            <w:pPr>
              <w:spacing w:after="0"/>
              <w:rPr>
                <w:sz w:val="24"/>
                <w:szCs w:val="24"/>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667"/>
        </w:trPr>
        <w:tc>
          <w:tcPr>
            <w:tcW w:w="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COMPX INTERNATIONAL INC.</w:t>
            </w:r>
          </w:p>
        </w:tc>
      </w:tr>
      <w:tr>
        <w:trPr>
          <w:trHeight w:val="230"/>
        </w:trPr>
        <w:tc>
          <w:tcPr>
            <w:tcW w:w="2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(Registrant)</w:t>
            </w:r>
          </w:p>
        </w:tc>
      </w:tr>
      <w:tr>
        <w:trPr>
          <w:trHeight w:val="648"/>
        </w:trPr>
        <w:tc>
          <w:tcPr>
            <w:tcW w:w="2960" w:type="dxa"/>
            <w:vAlign w:val="bottom"/>
          </w:tcPr>
          <w:p>
            <w:pPr>
              <w:spacing w:after="0"/>
              <w:rPr>
                <w:sz w:val="24"/>
                <w:szCs w:val="24"/>
                <w:color w:val="auto"/>
              </w:rPr>
            </w:pPr>
          </w:p>
        </w:tc>
        <w:tc>
          <w:tcPr>
            <w:tcW w:w="5960" w:type="dxa"/>
            <w:vAlign w:val="bottom"/>
            <w:gridSpan w:val="2"/>
          </w:tcPr>
          <w:p>
            <w:pPr>
              <w:ind w:left="1500"/>
              <w:spacing w:after="0"/>
              <w:rPr>
                <w:sz w:val="20"/>
                <w:szCs w:val="20"/>
                <w:color w:val="auto"/>
              </w:rPr>
            </w:pPr>
            <w:r>
              <w:rPr>
                <w:rFonts w:ascii="Arial" w:cs="Arial" w:eastAsia="Arial" w:hAnsi="Arial"/>
                <w:sz w:val="18"/>
                <w:szCs w:val="18"/>
                <w:color w:val="auto"/>
              </w:rPr>
              <w:t>By:/s/ Amy A. Samford</w:t>
            </w:r>
          </w:p>
        </w:tc>
      </w:tr>
      <w:tr>
        <w:trPr>
          <w:trHeight w:val="195"/>
        </w:trPr>
        <w:tc>
          <w:tcPr>
            <w:tcW w:w="2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Amy A. Samford</w:t>
            </w:r>
          </w:p>
        </w:tc>
      </w:tr>
      <w:tr>
        <w:trPr>
          <w:trHeight w:val="216"/>
        </w:trPr>
        <w:tc>
          <w:tcPr>
            <w:tcW w:w="2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i w:val="1"/>
                <w:iCs w:val="1"/>
                <w:color w:val="auto"/>
              </w:rPr>
              <w:t>Executive Vice President and</w:t>
            </w: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Date: May 24, 2023</w:t>
            </w:r>
          </w:p>
        </w:tc>
        <w:tc>
          <w:tcPr>
            <w:tcW w:w="1780" w:type="dxa"/>
            <w:vAlign w:val="bottom"/>
          </w:tcPr>
          <w:p>
            <w:pPr>
              <w:spacing w:after="0"/>
              <w:rPr>
                <w:sz w:val="20"/>
                <w:szCs w:val="20"/>
                <w:color w:val="auto"/>
              </w:rPr>
            </w:pPr>
          </w:p>
        </w:tc>
        <w:tc>
          <w:tcPr>
            <w:tcW w:w="418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r>
      <w:tr>
        <w:trPr>
          <w:trHeight w:val="2181"/>
        </w:trPr>
        <w:tc>
          <w:tcPr>
            <w:tcW w:w="2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2574290</wp:posOffset>
            </wp:positionH>
            <wp:positionV relativeFrom="page">
              <wp:posOffset>1031875</wp:posOffset>
            </wp:positionV>
            <wp:extent cx="2443480" cy="814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44348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COMPX ANNOUNCES REGULAR QUARTERLY DIVIDEND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RESULTS OF THE ANNUAL STOCKHOLDER MEETING</w:t>
      </w:r>
    </w:p>
    <w:p>
      <w:pPr>
        <w:spacing w:after="0" w:line="200" w:lineRule="exact"/>
        <w:rPr>
          <w:sz w:val="20"/>
          <w:szCs w:val="20"/>
          <w:color w:val="auto"/>
        </w:rPr>
      </w:pPr>
    </w:p>
    <w:p>
      <w:pPr>
        <w:spacing w:after="0" w:line="258"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21"/>
          <w:szCs w:val="21"/>
          <w:color w:val="auto"/>
        </w:rPr>
        <w:t>DALLAS, TEXAS . . . May 24, 2023 . . . CompX International Inc. (NYSE American: CIX) announced today that its board of directors has declared CompX’s regular quarterly dividend of twenty-five cents ($0.25) per share on its class A common stock, payable on June 13, 2023 to stockholders of record at the close of business on June 5, 2023.</w:t>
      </w:r>
    </w:p>
    <w:p>
      <w:pPr>
        <w:spacing w:after="0" w:line="201"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CompX also announced that at its annual stockholder meeting held on May 24, 2023, its stockholders:</w:t>
      </w:r>
    </w:p>
    <w:p>
      <w:pPr>
        <w:spacing w:after="0" w:line="202" w:lineRule="exact"/>
        <w:rPr>
          <w:sz w:val="20"/>
          <w:szCs w:val="20"/>
          <w:color w:val="auto"/>
        </w:rPr>
      </w:pPr>
    </w:p>
    <w:p>
      <w:pPr>
        <w:jc w:val="both"/>
        <w:ind w:left="1500" w:right="219" w:hanging="643"/>
        <w:spacing w:after="0"/>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color w:val="auto"/>
        </w:rPr>
        <w:t>elected each of Thomas E. Barry, Loretta J. Feehan, Terri L. Herrington, Scott C. James, Kevin B. Kramer, Ann Manix, Michael S. Simmons and Mary A. Tidlund as a director for a one-year term;</w:t>
      </w:r>
    </w:p>
    <w:p>
      <w:pPr>
        <w:spacing w:after="0" w:line="213" w:lineRule="exact"/>
        <w:rPr>
          <w:rFonts w:ascii="Arial" w:cs="Arial" w:eastAsia="Arial" w:hAnsi="Arial"/>
          <w:sz w:val="22"/>
          <w:szCs w:val="22"/>
          <w:color w:val="auto"/>
        </w:rPr>
      </w:pPr>
    </w:p>
    <w:p>
      <w:pPr>
        <w:jc w:val="both"/>
        <w:ind w:left="1500" w:right="219" w:hanging="643"/>
        <w:spacing w:after="0"/>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color w:val="auto"/>
        </w:rPr>
        <w:t>adopted a resolution that approved, on a nonbinding advisory basis, the compensation of its named executive officers as disclosed in the proxy statement for the 2023 annual stockholder meeting; and</w:t>
      </w:r>
    </w:p>
    <w:p>
      <w:pPr>
        <w:spacing w:after="0" w:line="213" w:lineRule="exact"/>
        <w:rPr>
          <w:rFonts w:ascii="Arial" w:cs="Arial" w:eastAsia="Arial" w:hAnsi="Arial"/>
          <w:sz w:val="22"/>
          <w:szCs w:val="22"/>
          <w:color w:val="auto"/>
        </w:rPr>
      </w:pPr>
    </w:p>
    <w:p>
      <w:pPr>
        <w:ind w:left="1500" w:right="379" w:hanging="643"/>
        <w:spacing w:after="0" w:line="238"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color w:val="auto"/>
        </w:rPr>
        <w:t>approved, on a nonbinding advisory basis, an annual nonbinding advisory vote on named executive officer compensation as such compensation is disclosed pursuant to the compensation disclosure rules of the U.S. Securities and Exchange Commission.</w:t>
      </w:r>
    </w:p>
    <w:p>
      <w:pPr>
        <w:spacing w:after="0" w:line="320" w:lineRule="exact"/>
        <w:rPr>
          <w:sz w:val="20"/>
          <w:szCs w:val="20"/>
          <w:color w:val="auto"/>
        </w:rPr>
      </w:pPr>
    </w:p>
    <w:p>
      <w:pPr>
        <w:ind w:left="860"/>
        <w:spacing w:after="0"/>
        <w:rPr>
          <w:sz w:val="20"/>
          <w:szCs w:val="20"/>
          <w:color w:val="auto"/>
        </w:rPr>
      </w:pPr>
      <w:r>
        <w:rPr>
          <w:rFonts w:ascii="Arial" w:cs="Arial" w:eastAsia="Arial" w:hAnsi="Arial"/>
          <w:sz w:val="19"/>
          <w:szCs w:val="19"/>
          <w:color w:val="auto"/>
        </w:rPr>
        <w:t>CompX is a leading manufacturer of security products and recreational marine components.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Investor Relations Contact</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Bryan A. Hanley</w:t>
      </w:r>
    </w:p>
    <w:p>
      <w:pPr>
        <w:ind w:left="200"/>
        <w:spacing w:after="0" w:line="238" w:lineRule="auto"/>
        <w:rPr>
          <w:sz w:val="20"/>
          <w:szCs w:val="20"/>
          <w:color w:val="auto"/>
        </w:rPr>
      </w:pPr>
      <w:r>
        <w:rPr>
          <w:rFonts w:ascii="Arial" w:cs="Arial" w:eastAsia="Arial" w:hAnsi="Arial"/>
          <w:sz w:val="22"/>
          <w:szCs w:val="22"/>
          <w:color w:val="auto"/>
        </w:rPr>
        <w:t>Senior Vice President and Treasurer</w:t>
      </w:r>
    </w:p>
    <w:p>
      <w:pPr>
        <w:ind w:left="200"/>
        <w:spacing w:after="0"/>
        <w:rPr>
          <w:sz w:val="20"/>
          <w:szCs w:val="20"/>
          <w:color w:val="auto"/>
        </w:rPr>
      </w:pPr>
      <w:r>
        <w:rPr>
          <w:rFonts w:ascii="Arial" w:cs="Arial" w:eastAsia="Arial" w:hAnsi="Arial"/>
          <w:sz w:val="22"/>
          <w:szCs w:val="22"/>
          <w:color w:val="auto"/>
        </w:rPr>
        <w:t>Tel. 972-233-1700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398780</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2023-05-24T16:01:08Z</dcterms:created>
  <dcterms:modified xsi:type="dcterms:W3CDTF">2023-05-24T16:01:08Z</dcterms:modified>
</cp:coreProperties>
</file>