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8"/>
          <w:szCs w:val="18"/>
          <w:b w:val="1"/>
          <w:bCs w:val="1"/>
          <w:color w:val="auto"/>
        </w:rPr>
        <w:t>UNITED STATES</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00" w:lineRule="exact"/>
        <w:rPr>
          <w:sz w:val="24"/>
          <w:szCs w:val="24"/>
          <w:color w:val="auto"/>
        </w:rPr>
      </w:pPr>
    </w:p>
    <w:p>
      <w:pPr>
        <w:spacing w:after="0" w:line="218"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FORM 8-K</w:t>
      </w:r>
    </w:p>
    <w:p>
      <w:pPr>
        <w:spacing w:after="0" w:line="23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CURRENT REPORT</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Pursuant to Section 13 OR 15(d) of The Securities Exchange Act of 1934</w:t>
      </w:r>
    </w:p>
    <w:p>
      <w:pPr>
        <w:spacing w:after="0" w:line="238"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Date of Report (Date of the earliest event reported)</w:t>
      </w:r>
    </w:p>
    <w:p>
      <w:pPr>
        <w:spacing w:after="0" w:line="2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November 5, 2018</w:t>
      </w:r>
    </w:p>
    <w:p>
      <w:pPr>
        <w:spacing w:after="0" w:line="292"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C</w:t>
      </w:r>
      <w:r>
        <w:rPr>
          <w:rFonts w:ascii="Arial" w:cs="Arial" w:eastAsia="Arial" w:hAnsi="Arial"/>
          <w:sz w:val="22"/>
          <w:szCs w:val="22"/>
          <w:b w:val="1"/>
          <w:bCs w:val="1"/>
          <w:color w:val="auto"/>
        </w:rPr>
        <w:t>OMP</w:t>
      </w:r>
      <w:r>
        <w:rPr>
          <w:rFonts w:ascii="Arial" w:cs="Arial" w:eastAsia="Arial" w:hAnsi="Arial"/>
          <w:sz w:val="32"/>
          <w:szCs w:val="32"/>
          <w:b w:val="1"/>
          <w:bCs w:val="1"/>
          <w:color w:val="auto"/>
        </w:rPr>
        <w:t>X I</w:t>
      </w:r>
      <w:r>
        <w:rPr>
          <w:rFonts w:ascii="Arial" w:cs="Arial" w:eastAsia="Arial" w:hAnsi="Arial"/>
          <w:sz w:val="22"/>
          <w:szCs w:val="22"/>
          <w:b w:val="1"/>
          <w:bCs w:val="1"/>
          <w:color w:val="auto"/>
        </w:rPr>
        <w:t>NTERNATIONAL</w:t>
      </w:r>
      <w:r>
        <w:rPr>
          <w:rFonts w:ascii="Arial" w:cs="Arial" w:eastAsia="Arial" w:hAnsi="Arial"/>
          <w:sz w:val="32"/>
          <w:szCs w:val="32"/>
          <w:b w:val="1"/>
          <w:bCs w:val="1"/>
          <w:color w:val="auto"/>
        </w:rPr>
        <w:t xml:space="preserve"> I</w:t>
      </w:r>
      <w:r>
        <w:rPr>
          <w:rFonts w:ascii="Arial" w:cs="Arial" w:eastAsia="Arial" w:hAnsi="Arial"/>
          <w:sz w:val="22"/>
          <w:szCs w:val="22"/>
          <w:b w:val="1"/>
          <w:bCs w:val="1"/>
          <w:color w:val="auto"/>
        </w:rPr>
        <w:t>NC</w:t>
      </w:r>
      <w:r>
        <w:rPr>
          <w:rFonts w:ascii="Arial" w:cs="Arial" w:eastAsia="Arial" w:hAnsi="Arial"/>
          <w:sz w:val="32"/>
          <w:szCs w:val="32"/>
          <w:b w:val="1"/>
          <w:bCs w:val="1"/>
          <w:color w:val="auto"/>
        </w:rPr>
        <w:t>.</w:t>
      </w:r>
    </w:p>
    <w:p>
      <w:pPr>
        <w:spacing w:after="0" w:line="40"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313" w:lineRule="exact"/>
        <w:rPr>
          <w:sz w:val="24"/>
          <w:szCs w:val="24"/>
          <w:color w:val="auto"/>
        </w:rPr>
      </w:pPr>
    </w:p>
    <w:tbl>
      <w:tblPr>
        <w:tblLayout w:type="fixed"/>
        <w:tblInd w:w="320" w:type="dxa"/>
        <w:tblCellMar>
          <w:top w:w="0" w:type="dxa"/>
          <w:left w:w="0" w:type="dxa"/>
          <w:bottom w:w="0" w:type="dxa"/>
          <w:right w:w="0" w:type="dxa"/>
        </w:tblCellMar>
      </w:tblPr>
      <w:tr>
        <w:trPr>
          <w:trHeight w:val="220"/>
        </w:trPr>
        <w:tc>
          <w:tcPr>
            <w:tcW w:w="4040" w:type="dxa"/>
            <w:vAlign w:val="bottom"/>
          </w:tcPr>
          <w:p>
            <w:pPr>
              <w:jc w:val="center"/>
              <w:ind w:right="790"/>
              <w:spacing w:after="0"/>
              <w:rPr>
                <w:sz w:val="20"/>
                <w:szCs w:val="20"/>
                <w:color w:val="auto"/>
              </w:rPr>
            </w:pPr>
            <w:r>
              <w:rPr>
                <w:rFonts w:ascii="Arial" w:cs="Arial" w:eastAsia="Arial" w:hAnsi="Arial"/>
                <w:sz w:val="18"/>
                <w:szCs w:val="18"/>
                <w:b w:val="1"/>
                <w:bCs w:val="1"/>
                <w:color w:val="auto"/>
                <w:w w:val="91"/>
              </w:rPr>
              <w:t>Delaware</w:t>
            </w:r>
          </w:p>
        </w:tc>
        <w:tc>
          <w:tcPr>
            <w:tcW w:w="3160" w:type="dxa"/>
            <w:vAlign w:val="bottom"/>
          </w:tcPr>
          <w:p>
            <w:pPr>
              <w:jc w:val="center"/>
              <w:ind w:right="390"/>
              <w:spacing w:after="0"/>
              <w:rPr>
                <w:sz w:val="20"/>
                <w:szCs w:val="20"/>
                <w:color w:val="auto"/>
              </w:rPr>
            </w:pPr>
            <w:r>
              <w:rPr>
                <w:rFonts w:ascii="Arial" w:cs="Arial" w:eastAsia="Arial" w:hAnsi="Arial"/>
                <w:sz w:val="18"/>
                <w:szCs w:val="18"/>
                <w:b w:val="1"/>
                <w:bCs w:val="1"/>
                <w:color w:val="auto"/>
                <w:w w:val="90"/>
              </w:rPr>
              <w:t>1-13905</w:t>
            </w:r>
          </w:p>
        </w:tc>
        <w:tc>
          <w:tcPr>
            <w:tcW w:w="2660" w:type="dxa"/>
            <w:vAlign w:val="bottom"/>
          </w:tcPr>
          <w:p>
            <w:pPr>
              <w:jc w:val="center"/>
              <w:ind w:left="1250"/>
              <w:spacing w:after="0"/>
              <w:rPr>
                <w:sz w:val="20"/>
                <w:szCs w:val="20"/>
                <w:color w:val="auto"/>
              </w:rPr>
            </w:pPr>
            <w:r>
              <w:rPr>
                <w:rFonts w:ascii="Arial" w:cs="Arial" w:eastAsia="Arial" w:hAnsi="Arial"/>
                <w:sz w:val="18"/>
                <w:szCs w:val="18"/>
                <w:b w:val="1"/>
                <w:bCs w:val="1"/>
                <w:color w:val="auto"/>
                <w:w w:val="91"/>
              </w:rPr>
              <w:t>57-0981653</w:t>
            </w:r>
          </w:p>
        </w:tc>
      </w:tr>
      <w:tr>
        <w:trPr>
          <w:trHeight w:val="216"/>
        </w:trPr>
        <w:tc>
          <w:tcPr>
            <w:tcW w:w="4040" w:type="dxa"/>
            <w:vAlign w:val="bottom"/>
          </w:tcPr>
          <w:p>
            <w:pPr>
              <w:jc w:val="center"/>
              <w:ind w:right="790"/>
              <w:spacing w:after="0"/>
              <w:rPr>
                <w:sz w:val="20"/>
                <w:szCs w:val="20"/>
                <w:color w:val="auto"/>
              </w:rPr>
            </w:pPr>
            <w:r>
              <w:rPr>
                <w:rFonts w:ascii="Arial" w:cs="Arial" w:eastAsia="Arial" w:hAnsi="Arial"/>
                <w:sz w:val="18"/>
                <w:szCs w:val="18"/>
                <w:color w:val="auto"/>
                <w:w w:val="92"/>
              </w:rPr>
              <w:t>(State or other jurisdiction of incorporation)</w:t>
            </w:r>
          </w:p>
        </w:tc>
        <w:tc>
          <w:tcPr>
            <w:tcW w:w="3160" w:type="dxa"/>
            <w:vAlign w:val="bottom"/>
          </w:tcPr>
          <w:p>
            <w:pPr>
              <w:jc w:val="center"/>
              <w:ind w:right="370"/>
              <w:spacing w:after="0"/>
              <w:rPr>
                <w:sz w:val="20"/>
                <w:szCs w:val="20"/>
                <w:color w:val="auto"/>
              </w:rPr>
            </w:pPr>
            <w:r>
              <w:rPr>
                <w:rFonts w:ascii="Arial" w:cs="Arial" w:eastAsia="Arial" w:hAnsi="Arial"/>
                <w:sz w:val="18"/>
                <w:szCs w:val="18"/>
                <w:color w:val="auto"/>
                <w:w w:val="93"/>
              </w:rPr>
              <w:t>(Commission</w:t>
            </w:r>
          </w:p>
        </w:tc>
        <w:tc>
          <w:tcPr>
            <w:tcW w:w="2660" w:type="dxa"/>
            <w:vAlign w:val="bottom"/>
          </w:tcPr>
          <w:p>
            <w:pPr>
              <w:jc w:val="center"/>
              <w:ind w:left="1230"/>
              <w:spacing w:after="0"/>
              <w:rPr>
                <w:sz w:val="20"/>
                <w:szCs w:val="20"/>
                <w:color w:val="auto"/>
              </w:rPr>
            </w:pPr>
            <w:r>
              <w:rPr>
                <w:rFonts w:ascii="Arial" w:cs="Arial" w:eastAsia="Arial" w:hAnsi="Arial"/>
                <w:sz w:val="18"/>
                <w:szCs w:val="18"/>
                <w:color w:val="auto"/>
                <w:w w:val="93"/>
              </w:rPr>
              <w:t>(IRS Employer</w:t>
            </w:r>
          </w:p>
        </w:tc>
      </w:tr>
      <w:tr>
        <w:trPr>
          <w:trHeight w:val="230"/>
        </w:trPr>
        <w:tc>
          <w:tcPr>
            <w:tcW w:w="4040" w:type="dxa"/>
            <w:vAlign w:val="bottom"/>
          </w:tcPr>
          <w:p>
            <w:pPr>
              <w:spacing w:after="0"/>
              <w:rPr>
                <w:sz w:val="20"/>
                <w:szCs w:val="20"/>
                <w:color w:val="auto"/>
              </w:rPr>
            </w:pPr>
          </w:p>
        </w:tc>
        <w:tc>
          <w:tcPr>
            <w:tcW w:w="3160" w:type="dxa"/>
            <w:vAlign w:val="bottom"/>
          </w:tcPr>
          <w:p>
            <w:pPr>
              <w:jc w:val="center"/>
              <w:ind w:right="370"/>
              <w:spacing w:after="0"/>
              <w:rPr>
                <w:sz w:val="20"/>
                <w:szCs w:val="20"/>
                <w:color w:val="auto"/>
              </w:rPr>
            </w:pPr>
            <w:r>
              <w:rPr>
                <w:rFonts w:ascii="Arial" w:cs="Arial" w:eastAsia="Arial" w:hAnsi="Arial"/>
                <w:sz w:val="18"/>
                <w:szCs w:val="18"/>
                <w:color w:val="auto"/>
                <w:w w:val="94"/>
              </w:rPr>
              <w:t>File Number)</w:t>
            </w:r>
          </w:p>
        </w:tc>
        <w:tc>
          <w:tcPr>
            <w:tcW w:w="2660" w:type="dxa"/>
            <w:vAlign w:val="bottom"/>
          </w:tcPr>
          <w:p>
            <w:pPr>
              <w:jc w:val="center"/>
              <w:ind w:left="1230"/>
              <w:spacing w:after="0"/>
              <w:rPr>
                <w:sz w:val="20"/>
                <w:szCs w:val="20"/>
                <w:color w:val="auto"/>
              </w:rPr>
            </w:pPr>
            <w:r>
              <w:rPr>
                <w:rFonts w:ascii="Arial" w:cs="Arial" w:eastAsia="Arial" w:hAnsi="Arial"/>
                <w:sz w:val="18"/>
                <w:szCs w:val="18"/>
                <w:color w:val="auto"/>
                <w:w w:val="95"/>
              </w:rPr>
              <w:t>Identification No.)</w:t>
            </w:r>
          </w:p>
        </w:tc>
      </w:tr>
      <w:tr>
        <w:trPr>
          <w:trHeight w:val="634"/>
        </w:trPr>
        <w:tc>
          <w:tcPr>
            <w:tcW w:w="7200" w:type="dxa"/>
            <w:vAlign w:val="bottom"/>
            <w:gridSpan w:val="2"/>
          </w:tcPr>
          <w:p>
            <w:pPr>
              <w:jc w:val="center"/>
              <w:ind w:right="110"/>
              <w:spacing w:after="0"/>
              <w:rPr>
                <w:sz w:val="20"/>
                <w:szCs w:val="20"/>
                <w:color w:val="auto"/>
              </w:rPr>
            </w:pPr>
            <w:r>
              <w:rPr>
                <w:rFonts w:ascii="Arial" w:cs="Arial" w:eastAsia="Arial" w:hAnsi="Arial"/>
                <w:sz w:val="18"/>
                <w:szCs w:val="18"/>
                <w:b w:val="1"/>
                <w:bCs w:val="1"/>
                <w:color w:val="auto"/>
                <w:w w:val="89"/>
              </w:rPr>
              <w:t>5430 LBJ Freeway, Suite 1700, Dallas, Texas</w:t>
            </w:r>
          </w:p>
        </w:tc>
        <w:tc>
          <w:tcPr>
            <w:tcW w:w="2660" w:type="dxa"/>
            <w:vAlign w:val="bottom"/>
          </w:tcPr>
          <w:p>
            <w:pPr>
              <w:jc w:val="center"/>
              <w:ind w:left="1270"/>
              <w:spacing w:after="0"/>
              <w:rPr>
                <w:sz w:val="20"/>
                <w:szCs w:val="20"/>
                <w:color w:val="auto"/>
              </w:rPr>
            </w:pPr>
            <w:r>
              <w:rPr>
                <w:rFonts w:ascii="Arial" w:cs="Arial" w:eastAsia="Arial" w:hAnsi="Arial"/>
                <w:sz w:val="18"/>
                <w:szCs w:val="18"/>
                <w:b w:val="1"/>
                <w:bCs w:val="1"/>
                <w:color w:val="auto"/>
                <w:w w:val="89"/>
              </w:rPr>
              <w:t>75240-2697</w:t>
            </w:r>
          </w:p>
        </w:tc>
      </w:tr>
      <w:tr>
        <w:trPr>
          <w:trHeight w:val="230"/>
        </w:trPr>
        <w:tc>
          <w:tcPr>
            <w:tcW w:w="7200" w:type="dxa"/>
            <w:vAlign w:val="bottom"/>
            <w:gridSpan w:val="2"/>
          </w:tcPr>
          <w:p>
            <w:pPr>
              <w:jc w:val="center"/>
              <w:ind w:right="90"/>
              <w:spacing w:after="0"/>
              <w:rPr>
                <w:sz w:val="20"/>
                <w:szCs w:val="20"/>
                <w:color w:val="auto"/>
              </w:rPr>
            </w:pPr>
            <w:r>
              <w:rPr>
                <w:rFonts w:ascii="Arial" w:cs="Arial" w:eastAsia="Arial" w:hAnsi="Arial"/>
                <w:sz w:val="18"/>
                <w:szCs w:val="18"/>
                <w:color w:val="auto"/>
                <w:w w:val="92"/>
              </w:rPr>
              <w:t>(Address of principal executive offices)</w:t>
            </w:r>
          </w:p>
        </w:tc>
        <w:tc>
          <w:tcPr>
            <w:tcW w:w="2660" w:type="dxa"/>
            <w:vAlign w:val="bottom"/>
          </w:tcPr>
          <w:p>
            <w:pPr>
              <w:jc w:val="center"/>
              <w:ind w:left="1270"/>
              <w:spacing w:after="0"/>
              <w:rPr>
                <w:sz w:val="20"/>
                <w:szCs w:val="20"/>
                <w:color w:val="auto"/>
              </w:rPr>
            </w:pPr>
            <w:r>
              <w:rPr>
                <w:rFonts w:ascii="Arial" w:cs="Arial" w:eastAsia="Arial" w:hAnsi="Arial"/>
                <w:sz w:val="18"/>
                <w:szCs w:val="18"/>
                <w:color w:val="auto"/>
                <w:w w:val="91"/>
              </w:rPr>
              <w:t>(Zip Code)</w:t>
            </w:r>
          </w:p>
        </w:tc>
      </w:tr>
    </w:tbl>
    <w:p>
      <w:pPr>
        <w:spacing w:after="0" w:line="202"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Registrant's telephone number, including area code</w:t>
      </w:r>
    </w:p>
    <w:p>
      <w:pPr>
        <w:spacing w:after="0" w:line="2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(972) 448-1400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1720215</wp:posOffset>
            </wp:positionH>
            <wp:positionV relativeFrom="paragraph">
              <wp:posOffset>280035</wp:posOffset>
            </wp:positionV>
            <wp:extent cx="380746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3807460" cy="17145"/>
                    </a:xfrm>
                    <a:prstGeom prst="rect">
                      <a:avLst/>
                    </a:prstGeom>
                    <a:noFill/>
                  </pic:spPr>
                </pic:pic>
              </a:graphicData>
            </a:graphic>
          </wp:anchor>
        </w:drawing>
      </w:r>
    </w:p>
    <w:p>
      <w:pPr>
        <w:spacing w:after="0" w:line="200" w:lineRule="exact"/>
        <w:rPr>
          <w:sz w:val="24"/>
          <w:szCs w:val="24"/>
          <w:color w:val="auto"/>
        </w:rPr>
      </w:pPr>
    </w:p>
    <w:p>
      <w:pPr>
        <w:spacing w:after="0" w:line="234" w:lineRule="exact"/>
        <w:rPr>
          <w:sz w:val="24"/>
          <w:szCs w:val="24"/>
          <w:color w:val="auto"/>
        </w:rPr>
      </w:pPr>
    </w:p>
    <w:p>
      <w:pPr>
        <w:jc w:val="center"/>
        <w:ind w:right="20"/>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00" w:lineRule="exact"/>
        <w:rPr>
          <w:sz w:val="24"/>
          <w:szCs w:val="24"/>
          <w:color w:val="auto"/>
        </w:rPr>
      </w:pPr>
    </w:p>
    <w:p>
      <w:pPr>
        <w:spacing w:after="0" w:line="241" w:lineRule="exact"/>
        <w:rPr>
          <w:sz w:val="24"/>
          <w:szCs w:val="24"/>
          <w:color w:val="auto"/>
        </w:rPr>
      </w:pPr>
    </w:p>
    <w:p>
      <w:pPr>
        <w:ind w:right="2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(see General Instruction A.2):</w:t>
      </w:r>
    </w:p>
    <w:p>
      <w:pPr>
        <w:sectPr>
          <w:pgSz w:w="11900" w:h="16838" w:orient="portrait"/>
          <w:cols w:equalWidth="0" w:num="1">
            <w:col w:w="11420"/>
          </w:cols>
          <w:pgMar w:left="240" w:top="472" w:right="239" w:bottom="1440" w:gutter="0" w:footer="0" w:header="0"/>
        </w:sectPr>
      </w:pPr>
    </w:p>
    <w:p>
      <w:pPr>
        <w:spacing w:after="0" w:line="121" w:lineRule="exact"/>
        <w:rPr>
          <w:sz w:val="24"/>
          <w:szCs w:val="24"/>
          <w:color w:val="auto"/>
        </w:rPr>
      </w:pPr>
    </w:p>
    <w:p>
      <w:pPr>
        <w:ind w:left="280"/>
        <w:spacing w:after="0" w:line="241" w:lineRule="exact"/>
        <w:rPr>
          <w:sz w:val="20"/>
          <w:szCs w:val="20"/>
          <w:color w:val="auto"/>
        </w:rPr>
      </w:pPr>
      <w:r>
        <w:rPr>
          <w:rFonts w:ascii="MS PGothic" w:cs="MS PGothic" w:eastAsia="MS PGothic" w:hAnsi="MS PGothic"/>
          <w:sz w:val="24"/>
          <w:szCs w:val="24"/>
          <w:color w:val="auto"/>
        </w:rPr>
        <w:t>☐</w:t>
      </w:r>
    </w:p>
    <w:p>
      <w:pPr>
        <w:spacing w:after="0" w:line="273" w:lineRule="exact"/>
        <w:rPr>
          <w:sz w:val="24"/>
          <w:szCs w:val="24"/>
          <w:color w:val="auto"/>
        </w:rPr>
      </w:pPr>
    </w:p>
    <w:p>
      <w:pPr>
        <w:ind w:left="280"/>
        <w:spacing w:after="0" w:line="241" w:lineRule="exact"/>
        <w:rPr>
          <w:sz w:val="20"/>
          <w:szCs w:val="20"/>
          <w:color w:val="auto"/>
        </w:rPr>
      </w:pPr>
      <w:r>
        <w:rPr>
          <w:rFonts w:ascii="MS PGothic" w:cs="MS PGothic" w:eastAsia="MS PGothic" w:hAnsi="MS PGothic"/>
          <w:sz w:val="24"/>
          <w:szCs w:val="24"/>
          <w:color w:val="auto"/>
        </w:rPr>
        <w:t>☐</w:t>
      </w:r>
    </w:p>
    <w:p>
      <w:pPr>
        <w:spacing w:after="0" w:line="273" w:lineRule="exact"/>
        <w:rPr>
          <w:sz w:val="24"/>
          <w:szCs w:val="24"/>
          <w:color w:val="auto"/>
        </w:rPr>
      </w:pPr>
    </w:p>
    <w:p>
      <w:pPr>
        <w:ind w:left="280"/>
        <w:spacing w:after="0" w:line="241" w:lineRule="exact"/>
        <w:rPr>
          <w:sz w:val="20"/>
          <w:szCs w:val="20"/>
          <w:color w:val="auto"/>
        </w:rPr>
      </w:pPr>
      <w:r>
        <w:rPr>
          <w:rFonts w:ascii="MS PGothic" w:cs="MS PGothic" w:eastAsia="MS PGothic" w:hAnsi="MS PGothic"/>
          <w:sz w:val="24"/>
          <w:szCs w:val="24"/>
          <w:color w:val="auto"/>
        </w:rPr>
        <w:t>☐</w:t>
      </w:r>
    </w:p>
    <w:p>
      <w:pPr>
        <w:spacing w:after="0" w:line="273" w:lineRule="exact"/>
        <w:rPr>
          <w:sz w:val="24"/>
          <w:szCs w:val="24"/>
          <w:color w:val="auto"/>
        </w:rPr>
      </w:pPr>
    </w:p>
    <w:p>
      <w:pPr>
        <w:ind w:left="280"/>
        <w:spacing w:after="0" w:line="241" w:lineRule="exact"/>
        <w:rPr>
          <w:sz w:val="20"/>
          <w:szCs w:val="20"/>
          <w:color w:val="auto"/>
        </w:rPr>
      </w:pPr>
      <w:r>
        <w:rPr>
          <w:rFonts w:ascii="MS PGothic" w:cs="MS PGothic" w:eastAsia="MS PGothic" w:hAnsi="MS PGothic"/>
          <w:sz w:val="24"/>
          <w:szCs w:val="24"/>
          <w:color w:val="auto"/>
        </w:rPr>
        <w:t>☐</w:t>
      </w:r>
    </w:p>
    <w:p>
      <w:pPr>
        <w:spacing w:after="0" w:line="20" w:lineRule="exact"/>
        <w:rPr>
          <w:sz w:val="24"/>
          <w:szCs w:val="24"/>
          <w:color w:val="auto"/>
        </w:rPr>
      </w:pPr>
      <w:r>
        <w:rPr>
          <w:sz w:val="24"/>
          <w:szCs w:val="24"/>
          <w:color w:val="auto"/>
        </w:rPr>
        <w:br w:type="column"/>
      </w:r>
    </w:p>
    <w:p>
      <w:pPr>
        <w:spacing w:after="0" w:line="191" w:lineRule="exact"/>
        <w:rPr>
          <w:sz w:val="24"/>
          <w:szCs w:val="24"/>
          <w:color w:val="auto"/>
        </w:rPr>
      </w:pPr>
    </w:p>
    <w:p>
      <w:pPr>
        <w:spacing w:after="0"/>
        <w:rPr>
          <w:sz w:val="20"/>
          <w:szCs w:val="20"/>
          <w:color w:val="auto"/>
        </w:rPr>
      </w:pPr>
      <w:r>
        <w:rPr>
          <w:rFonts w:ascii="Arial" w:cs="Arial" w:eastAsia="Arial" w:hAnsi="Arial"/>
          <w:sz w:val="18"/>
          <w:szCs w:val="18"/>
          <w:color w:val="auto"/>
        </w:rPr>
        <w:t>Written communications pursuant to Rule 425 under the Securities Act (17 CFR 230.425)</w:t>
      </w:r>
    </w:p>
    <w:p>
      <w:pPr>
        <w:spacing w:after="0" w:line="306" w:lineRule="exact"/>
        <w:rPr>
          <w:sz w:val="24"/>
          <w:szCs w:val="24"/>
          <w:color w:val="auto"/>
        </w:rPr>
      </w:pPr>
    </w:p>
    <w:p>
      <w:pPr>
        <w:spacing w:after="0"/>
        <w:rPr>
          <w:sz w:val="20"/>
          <w:szCs w:val="20"/>
          <w:color w:val="auto"/>
        </w:rPr>
      </w:pPr>
      <w:r>
        <w:rPr>
          <w:rFonts w:ascii="Arial" w:cs="Arial" w:eastAsia="Arial" w:hAnsi="Arial"/>
          <w:sz w:val="18"/>
          <w:szCs w:val="18"/>
          <w:color w:val="auto"/>
        </w:rPr>
        <w:t>Soliciting material pursuant to Rule 14a-12 under the Exchange Act (17 CFR 240.14a-12)</w:t>
      </w:r>
    </w:p>
    <w:p>
      <w:pPr>
        <w:spacing w:after="0" w:line="306" w:lineRule="exact"/>
        <w:rPr>
          <w:sz w:val="24"/>
          <w:szCs w:val="24"/>
          <w:color w:val="auto"/>
        </w:rPr>
      </w:pPr>
    </w:p>
    <w:p>
      <w:pPr>
        <w:spacing w:after="0"/>
        <w:rPr>
          <w:sz w:val="20"/>
          <w:szCs w:val="20"/>
          <w:color w:val="auto"/>
        </w:rPr>
      </w:pPr>
      <w:r>
        <w:rPr>
          <w:rFonts w:ascii="Arial" w:cs="Arial" w:eastAsia="Arial" w:hAnsi="Arial"/>
          <w:sz w:val="16"/>
          <w:szCs w:val="16"/>
          <w:color w:val="auto"/>
        </w:rPr>
        <w:t>Pre-commencement communications pursuant to Rule 14d-2(b) under the Exchange Act (17 CFR 240.14d-2(b))</w:t>
      </w:r>
    </w:p>
    <w:p>
      <w:pPr>
        <w:spacing w:after="0" w:line="329" w:lineRule="exact"/>
        <w:rPr>
          <w:sz w:val="24"/>
          <w:szCs w:val="24"/>
          <w:color w:val="auto"/>
        </w:rPr>
      </w:pPr>
    </w:p>
    <w:p>
      <w:pPr>
        <w:spacing w:after="0"/>
        <w:rPr>
          <w:sz w:val="20"/>
          <w:szCs w:val="20"/>
          <w:color w:val="auto"/>
        </w:rPr>
      </w:pPr>
      <w:r>
        <w:rPr>
          <w:rFonts w:ascii="Arial" w:cs="Arial" w:eastAsia="Arial" w:hAnsi="Arial"/>
          <w:sz w:val="16"/>
          <w:szCs w:val="16"/>
          <w:color w:val="auto"/>
        </w:rPr>
        <w:t>Pre-commencement communications pursuant to Rule 13e-4(c) under the Exchange Act (17 CFR 240.13e-4(c))</w:t>
      </w:r>
    </w:p>
    <w:p>
      <w:pPr>
        <w:spacing w:after="0" w:line="200" w:lineRule="exact"/>
        <w:rPr>
          <w:sz w:val="24"/>
          <w:szCs w:val="24"/>
          <w:color w:val="auto"/>
        </w:rPr>
      </w:pPr>
    </w:p>
    <w:p>
      <w:pPr>
        <w:sectPr>
          <w:pgSz w:w="11900" w:h="16838" w:orient="portrait"/>
          <w:cols w:equalWidth="0" w:num="2">
            <w:col w:w="520" w:space="280"/>
            <w:col w:w="10620"/>
          </w:cols>
          <w:pgMar w:left="240" w:top="472" w:right="239" w:bottom="1440" w:gutter="0" w:footer="0" w:header="0"/>
          <w:type w:val="continuous"/>
        </w:sectPr>
      </w:pPr>
    </w:p>
    <w:p>
      <w:pPr>
        <w:spacing w:after="0" w:line="116" w:lineRule="exact"/>
        <w:rPr>
          <w:sz w:val="24"/>
          <w:szCs w:val="24"/>
          <w:color w:val="auto"/>
        </w:rPr>
      </w:pPr>
    </w:p>
    <w:p>
      <w:pPr>
        <w:ind w:right="32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(17 CFR §230.405) or Rule 12b-2 of the Securities Exchange Act of 1934 (17 CFR §240.12b-2).</w:t>
      </w:r>
    </w:p>
    <w:p>
      <w:pPr>
        <w:spacing w:after="0" w:line="273" w:lineRule="exact"/>
        <w:rPr>
          <w:sz w:val="24"/>
          <w:szCs w:val="24"/>
          <w:color w:val="auto"/>
        </w:rPr>
      </w:pPr>
    </w:p>
    <w:p>
      <w:pPr>
        <w:jc w:val="right"/>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393" w:lineRule="exact"/>
        <w:rPr>
          <w:sz w:val="24"/>
          <w:szCs w:val="24"/>
          <w:color w:val="auto"/>
        </w:rPr>
      </w:pPr>
    </w:p>
    <w:p>
      <w:pPr>
        <w:ind w:right="14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99060</wp:posOffset>
            </wp:positionV>
            <wp:extent cx="72466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472" w:right="239" w:bottom="1440" w:gutter="0" w:footer="0" w:header="0"/>
          <w:type w:val="continuous"/>
        </w:sectPr>
      </w:pPr>
    </w:p>
    <w:bookmarkStart w:id="1" w:name="page2"/>
    <w:bookmarkEnd w:id="1"/>
    <w:p>
      <w:pPr>
        <w:spacing w:after="0"/>
        <w:tabs>
          <w:tab w:leader="none" w:pos="1280" w:val="left"/>
        </w:tabs>
        <w:rPr>
          <w:sz w:val="20"/>
          <w:szCs w:val="20"/>
          <w:color w:val="auto"/>
        </w:rPr>
      </w:pPr>
      <w:r>
        <w:rPr>
          <w:rFonts w:ascii="Arial" w:cs="Arial" w:eastAsia="Arial" w:hAnsi="Arial"/>
          <w:sz w:val="18"/>
          <w:szCs w:val="18"/>
          <w:b w:val="1"/>
          <w:bCs w:val="1"/>
          <w:color w:val="auto"/>
        </w:rPr>
        <w:t>Item 5.03</w:t>
      </w:r>
      <w:r>
        <w:rPr>
          <w:sz w:val="20"/>
          <w:szCs w:val="20"/>
          <w:color w:val="auto"/>
        </w:rPr>
        <w:tab/>
      </w:r>
      <w:r>
        <w:rPr>
          <w:rFonts w:ascii="Arial" w:cs="Arial" w:eastAsia="Arial" w:hAnsi="Arial"/>
          <w:sz w:val="16"/>
          <w:szCs w:val="16"/>
          <w:b w:val="1"/>
          <w:bCs w:val="1"/>
          <w:color w:val="auto"/>
        </w:rPr>
        <w:t>Amendments to Articles of Incorporation or Bylaws; Change in Fiscal Year.</w:t>
      </w:r>
    </w:p>
    <w:p>
      <w:pPr>
        <w:spacing w:after="0" w:line="256" w:lineRule="exact"/>
        <w:rPr>
          <w:sz w:val="20"/>
          <w:szCs w:val="20"/>
          <w:color w:val="auto"/>
        </w:rPr>
      </w:pPr>
    </w:p>
    <w:p>
      <w:pPr>
        <w:ind w:right="20" w:firstLine="648"/>
        <w:spacing w:after="0" w:line="270" w:lineRule="auto"/>
        <w:rPr>
          <w:sz w:val="20"/>
          <w:szCs w:val="20"/>
          <w:color w:val="auto"/>
        </w:rPr>
      </w:pPr>
      <w:r>
        <w:rPr>
          <w:rFonts w:ascii="Arial" w:cs="Arial" w:eastAsia="Arial" w:hAnsi="Arial"/>
          <w:sz w:val="17"/>
          <w:szCs w:val="17"/>
          <w:color w:val="auto"/>
        </w:rPr>
        <w:t>On November 5, 2018, the registrant filed a Certificate of Retirement with the Secretary of State of the State of Delaware to retire 10,000,000 shares of Class B common stock, par value $.01 per share, of the registrant (the "</w:t>
      </w:r>
      <w:r>
        <w:rPr>
          <w:rFonts w:ascii="Arial" w:cs="Arial" w:eastAsia="Arial" w:hAnsi="Arial"/>
          <w:sz w:val="17"/>
          <w:szCs w:val="17"/>
          <w:i w:val="1"/>
          <w:iCs w:val="1"/>
          <w:color w:val="auto"/>
        </w:rPr>
        <w:t>Class B Common Stock</w:t>
      </w:r>
      <w:r>
        <w:rPr>
          <w:rFonts w:ascii="Arial" w:cs="Arial" w:eastAsia="Arial" w:hAnsi="Arial"/>
          <w:sz w:val="17"/>
          <w:szCs w:val="17"/>
          <w:color w:val="auto"/>
        </w:rPr>
        <w:t>"). Effective July 17, 2018, NL Industries, Inc., which owned all of the 10,000,000 issued and outstanding shares of the Class B Common Stock, converted such shares of Class B Common Stock into 10,000,000 shares of the registrant's Class A common stock, par value $.01 per share ("</w:t>
      </w:r>
      <w:r>
        <w:rPr>
          <w:rFonts w:ascii="Arial" w:cs="Arial" w:eastAsia="Arial" w:hAnsi="Arial"/>
          <w:sz w:val="17"/>
          <w:szCs w:val="17"/>
          <w:i w:val="1"/>
          <w:iCs w:val="1"/>
          <w:color w:val="auto"/>
        </w:rPr>
        <w:t>Class A Common Stock</w:t>
      </w:r>
      <w:r>
        <w:rPr>
          <w:rFonts w:ascii="Arial" w:cs="Arial" w:eastAsia="Arial" w:hAnsi="Arial"/>
          <w:sz w:val="17"/>
          <w:szCs w:val="17"/>
          <w:color w:val="auto"/>
        </w:rPr>
        <w:t>"). The registrant's second amended and restated certificate of incorporation does not permit the reissuance or resale of any of the shares of Class B Common Stock which were converted, and on October 31, 2018, the registrant's board of directors approved the retirement of the 10,000,000 shares of Class B Common Stock. Effective upon such filing, the Certificate of Retirement amended the registrant's second amended and restated certificate of incorporation to eliminate therefrom all references to the Class B Common Stock. The registrant's authorized capital stock now consists of 20,000,000 shares of Class A common stock (of which 12,435,557 shares are issued and outstanding) and 1,000 shares of preferred stock (none of which are issued and outstanding). A copy of the Certificate of Retirement is attached as Exhibit 3.1 hereto.</w:t>
      </w:r>
    </w:p>
    <w:p>
      <w:pPr>
        <w:spacing w:after="0" w:line="201"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6"/>
          <w:szCs w:val="16"/>
          <w:b w:val="1"/>
          <w:bCs w:val="1"/>
          <w:color w:val="auto"/>
        </w:rPr>
        <w:t>Financial Statements and Exhibits.</w:t>
      </w:r>
    </w:p>
    <w:p>
      <w:pPr>
        <w:spacing w:after="0" w:line="256" w:lineRule="exact"/>
        <w:rPr>
          <w:sz w:val="20"/>
          <w:szCs w:val="20"/>
          <w:color w:val="auto"/>
        </w:rPr>
      </w:pPr>
    </w:p>
    <w:p>
      <w:pPr>
        <w:ind w:left="680" w:hanging="672"/>
        <w:spacing w:after="0"/>
        <w:tabs>
          <w:tab w:leader="none" w:pos="680" w:val="left"/>
        </w:tabs>
        <w:numPr>
          <w:ilvl w:val="0"/>
          <w:numId w:val="1"/>
        </w:numPr>
        <w:rPr>
          <w:rFonts w:ascii="Arial" w:cs="Arial" w:eastAsia="Arial" w:hAnsi="Arial"/>
          <w:sz w:val="18"/>
          <w:szCs w:val="18"/>
          <w:color w:val="auto"/>
        </w:rPr>
      </w:pPr>
      <w:r>
        <w:rPr>
          <w:rFonts w:ascii="Arial" w:cs="Arial" w:eastAsia="Arial" w:hAnsi="Arial"/>
          <w:sz w:val="18"/>
          <w:szCs w:val="18"/>
          <w:color w:val="auto"/>
        </w:rPr>
        <w:t>Exhibits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680" w:type="dxa"/>
            <w:vAlign w:val="bottom"/>
          </w:tcPr>
          <w:p>
            <w:pPr>
              <w:spacing w:after="0"/>
              <w:rPr>
                <w:sz w:val="20"/>
                <w:szCs w:val="20"/>
                <w:color w:val="auto"/>
              </w:rPr>
            </w:pPr>
          </w:p>
        </w:tc>
        <w:tc>
          <w:tcPr>
            <w:tcW w:w="22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2"/>
              </w:rPr>
              <w:t>Item No.</w:t>
            </w:r>
          </w:p>
        </w:tc>
        <w:tc>
          <w:tcPr>
            <w:tcW w:w="300" w:type="dxa"/>
            <w:vAlign w:val="bottom"/>
          </w:tcPr>
          <w:p>
            <w:pPr>
              <w:spacing w:after="0"/>
              <w:rPr>
                <w:sz w:val="20"/>
                <w:szCs w:val="20"/>
                <w:color w:val="auto"/>
              </w:rPr>
            </w:pPr>
          </w:p>
        </w:tc>
        <w:tc>
          <w:tcPr>
            <w:tcW w:w="8180" w:type="dxa"/>
            <w:vAlign w:val="bottom"/>
            <w:tcBorders>
              <w:bottom w:val="single" w:sz="8" w:color="auto"/>
            </w:tcBorders>
            <w:gridSpan w:val="2"/>
          </w:tcPr>
          <w:p>
            <w:pPr>
              <w:ind w:left="3560"/>
              <w:spacing w:after="0"/>
              <w:rPr>
                <w:sz w:val="20"/>
                <w:szCs w:val="20"/>
                <w:color w:val="auto"/>
              </w:rPr>
            </w:pPr>
            <w:r>
              <w:rPr>
                <w:rFonts w:ascii="Arial" w:cs="Arial" w:eastAsia="Arial" w:hAnsi="Arial"/>
                <w:sz w:val="18"/>
                <w:szCs w:val="18"/>
                <w:b w:val="1"/>
                <w:bCs w:val="1"/>
                <w:color w:val="auto"/>
              </w:rPr>
              <w:t>Exhibit Index</w:t>
            </w:r>
          </w:p>
        </w:tc>
      </w:tr>
      <w:tr>
        <w:trPr>
          <w:trHeight w:val="392"/>
        </w:trPr>
        <w:tc>
          <w:tcPr>
            <w:tcW w:w="680" w:type="dxa"/>
            <w:vAlign w:val="bottom"/>
          </w:tcPr>
          <w:p>
            <w:pPr>
              <w:spacing w:after="0"/>
              <w:rPr>
                <w:sz w:val="24"/>
                <w:szCs w:val="24"/>
                <w:color w:val="auto"/>
              </w:rPr>
            </w:pPr>
          </w:p>
        </w:tc>
        <w:tc>
          <w:tcPr>
            <w:tcW w:w="2260" w:type="dxa"/>
            <w:vAlign w:val="bottom"/>
          </w:tcPr>
          <w:p>
            <w:pPr>
              <w:jc w:val="right"/>
              <w:ind w:right="930"/>
              <w:spacing w:after="0"/>
              <w:rPr>
                <w:sz w:val="20"/>
                <w:szCs w:val="20"/>
                <w:color w:val="auto"/>
              </w:rPr>
            </w:pPr>
            <w:r>
              <w:rPr>
                <w:rFonts w:ascii="Arial" w:cs="Arial" w:eastAsia="Arial" w:hAnsi="Arial"/>
                <w:sz w:val="18"/>
                <w:szCs w:val="18"/>
                <w:color w:val="auto"/>
              </w:rPr>
              <w:t>3.1</w:t>
            </w:r>
          </w:p>
        </w:tc>
        <w:tc>
          <w:tcPr>
            <w:tcW w:w="8480" w:type="dxa"/>
            <w:vAlign w:val="bottom"/>
            <w:gridSpan w:val="3"/>
          </w:tcPr>
          <w:p>
            <w:pPr>
              <w:ind w:left="300"/>
              <w:spacing w:after="0"/>
              <w:rPr>
                <w:rFonts w:ascii="Arial" w:cs="Arial" w:eastAsia="Arial" w:hAnsi="Arial"/>
                <w:sz w:val="18"/>
                <w:szCs w:val="18"/>
                <w:color w:val="0000EE"/>
              </w:rPr>
            </w:pPr>
            <w:hyperlink w:anchor="page5">
              <w:r>
                <w:rPr>
                  <w:rFonts w:ascii="Arial" w:cs="Arial" w:eastAsia="Arial" w:hAnsi="Arial"/>
                  <w:sz w:val="18"/>
                  <w:szCs w:val="18"/>
                  <w:color w:val="0000EE"/>
                </w:rPr>
                <w:t>Certificate of Retirement of Class B Common Stock of the registrant</w:t>
              </w:r>
            </w:hyperlink>
          </w:p>
        </w:tc>
      </w:tr>
      <w:tr>
        <w:trPr>
          <w:trHeight w:val="689"/>
        </w:trPr>
        <w:tc>
          <w:tcPr>
            <w:tcW w:w="680" w:type="dxa"/>
            <w:vAlign w:val="bottom"/>
            <w:tcBorders>
              <w:bottom w:val="single" w:sz="8" w:color="auto"/>
            </w:tcBorders>
          </w:tcPr>
          <w:p>
            <w:pPr>
              <w:spacing w:after="0"/>
              <w:rPr>
                <w:sz w:val="24"/>
                <w:szCs w:val="24"/>
                <w:color w:val="auto"/>
              </w:rPr>
            </w:pPr>
          </w:p>
        </w:tc>
        <w:tc>
          <w:tcPr>
            <w:tcW w:w="226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4960" w:type="dxa"/>
            <w:vAlign w:val="bottom"/>
            <w:tcBorders>
              <w:top w:val="single" w:sz="8" w:color="0000EE"/>
              <w:bottom w:val="single" w:sz="8" w:color="auto"/>
            </w:tcBorders>
          </w:tcPr>
          <w:p>
            <w:pPr>
              <w:spacing w:after="0"/>
              <w:rPr>
                <w:sz w:val="24"/>
                <w:szCs w:val="24"/>
                <w:color w:val="auto"/>
              </w:rPr>
            </w:pPr>
          </w:p>
        </w:tc>
        <w:tc>
          <w:tcPr>
            <w:tcW w:w="322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121" w:right="2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SIGNATURE</w:t>
      </w:r>
    </w:p>
    <w:p>
      <w:pPr>
        <w:spacing w:after="0" w:line="200" w:lineRule="exact"/>
        <w:rPr>
          <w:sz w:val="20"/>
          <w:szCs w:val="20"/>
          <w:color w:val="auto"/>
        </w:rPr>
      </w:pPr>
    </w:p>
    <w:p>
      <w:pPr>
        <w:spacing w:after="0" w:line="299"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245745</wp:posOffset>
            </wp:positionV>
            <wp:extent cx="72466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3" w:name="page4"/>
    <w:bookmarkEnd w:id="3"/>
    <w:p>
      <w:pPr>
        <w:ind w:left="5720"/>
        <w:spacing w:after="0"/>
        <w:rPr>
          <w:sz w:val="20"/>
          <w:szCs w:val="20"/>
          <w:color w:val="auto"/>
        </w:rPr>
      </w:pPr>
      <w:r>
        <w:rPr>
          <w:rFonts w:ascii="Arial" w:cs="Arial" w:eastAsia="Arial" w:hAnsi="Arial"/>
          <w:sz w:val="18"/>
          <w:szCs w:val="18"/>
          <w:b w:val="1"/>
          <w:bCs w:val="1"/>
          <w:color w:val="auto"/>
        </w:rPr>
        <w:t>C</w:t>
      </w:r>
      <w:r>
        <w:rPr>
          <w:rFonts w:ascii="Arial" w:cs="Arial" w:eastAsia="Arial" w:hAnsi="Arial"/>
          <w:sz w:val="12"/>
          <w:szCs w:val="12"/>
          <w:b w:val="1"/>
          <w:bCs w:val="1"/>
          <w:color w:val="auto"/>
        </w:rPr>
        <w:t>OMP</w:t>
      </w:r>
      <w:r>
        <w:rPr>
          <w:rFonts w:ascii="Arial" w:cs="Arial" w:eastAsia="Arial" w:hAnsi="Arial"/>
          <w:sz w:val="18"/>
          <w:szCs w:val="18"/>
          <w:b w:val="1"/>
          <w:bCs w:val="1"/>
          <w:color w:val="auto"/>
        </w:rPr>
        <w:t>X I</w:t>
      </w:r>
      <w:r>
        <w:rPr>
          <w:rFonts w:ascii="Arial" w:cs="Arial" w:eastAsia="Arial" w:hAnsi="Arial"/>
          <w:sz w:val="12"/>
          <w:szCs w:val="12"/>
          <w:b w:val="1"/>
          <w:bCs w:val="1"/>
          <w:color w:val="auto"/>
        </w:rPr>
        <w:t>NTERNATIONAL</w:t>
      </w:r>
      <w:r>
        <w:rPr>
          <w:rFonts w:ascii="Arial" w:cs="Arial" w:eastAsia="Arial" w:hAnsi="Arial"/>
          <w:sz w:val="18"/>
          <w:szCs w:val="18"/>
          <w:b w:val="1"/>
          <w:bCs w:val="1"/>
          <w:color w:val="auto"/>
        </w:rPr>
        <w:t xml:space="preserve"> I</w:t>
      </w:r>
      <w:r>
        <w:rPr>
          <w:rFonts w:ascii="Arial" w:cs="Arial" w:eastAsia="Arial" w:hAnsi="Arial"/>
          <w:sz w:val="12"/>
          <w:szCs w:val="12"/>
          <w:b w:val="1"/>
          <w:bCs w:val="1"/>
          <w:color w:val="auto"/>
        </w:rPr>
        <w:t>NC</w:t>
      </w:r>
      <w:r>
        <w:rPr>
          <w:rFonts w:ascii="Arial" w:cs="Arial" w:eastAsia="Arial" w:hAnsi="Arial"/>
          <w:sz w:val="18"/>
          <w:szCs w:val="18"/>
          <w:b w:val="1"/>
          <w:bCs w:val="1"/>
          <w:color w:val="auto"/>
        </w:rPr>
        <w:t>.</w:t>
      </w:r>
    </w:p>
    <w:p>
      <w:pPr>
        <w:spacing w:after="0" w:line="27"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(Registrant)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572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By:</w:t>
            </w:r>
          </w:p>
        </w:tc>
        <w:tc>
          <w:tcPr>
            <w:tcW w:w="5340" w:type="dxa"/>
            <w:vAlign w:val="bottom"/>
            <w:tcBorders>
              <w:bottom w:val="single" w:sz="8" w:color="auto"/>
            </w:tcBorders>
          </w:tcPr>
          <w:p>
            <w:pPr>
              <w:ind w:left="380"/>
              <w:spacing w:after="0"/>
              <w:rPr>
                <w:sz w:val="20"/>
                <w:szCs w:val="20"/>
                <w:color w:val="auto"/>
              </w:rPr>
            </w:pPr>
            <w:r>
              <w:rPr>
                <w:rFonts w:ascii="Arial" w:cs="Arial" w:eastAsia="Arial" w:hAnsi="Arial"/>
                <w:sz w:val="18"/>
                <w:szCs w:val="18"/>
                <w:color w:val="auto"/>
              </w:rPr>
              <w:t>/s/ Jane Grimm</w:t>
            </w:r>
          </w:p>
        </w:tc>
      </w:tr>
      <w:tr>
        <w:trPr>
          <w:trHeight w:val="230"/>
        </w:trPr>
        <w:tc>
          <w:tcPr>
            <w:tcW w:w="5720" w:type="dxa"/>
            <w:vAlign w:val="bottom"/>
          </w:tcPr>
          <w:p>
            <w:pPr>
              <w:spacing w:after="0"/>
              <w:rPr>
                <w:sz w:val="20"/>
                <w:szCs w:val="20"/>
                <w:color w:val="auto"/>
              </w:rPr>
            </w:pPr>
            <w:r>
              <w:rPr>
                <w:rFonts w:ascii="Arial" w:cs="Arial" w:eastAsia="Arial" w:hAnsi="Arial"/>
                <w:sz w:val="18"/>
                <w:szCs w:val="18"/>
                <w:color w:val="auto"/>
              </w:rPr>
              <w:t>Date: November 6, 2018</w:t>
            </w:r>
          </w:p>
        </w:tc>
        <w:tc>
          <w:tcPr>
            <w:tcW w:w="360" w:type="dxa"/>
            <w:vAlign w:val="bottom"/>
          </w:tcPr>
          <w:p>
            <w:pPr>
              <w:spacing w:after="0"/>
              <w:rPr>
                <w:sz w:val="20"/>
                <w:szCs w:val="20"/>
                <w:color w:val="auto"/>
              </w:rPr>
            </w:pPr>
          </w:p>
        </w:tc>
        <w:tc>
          <w:tcPr>
            <w:tcW w:w="5340" w:type="dxa"/>
            <w:vAlign w:val="bottom"/>
          </w:tcPr>
          <w:p>
            <w:pPr>
              <w:ind w:left="120"/>
              <w:spacing w:after="0"/>
              <w:rPr>
                <w:sz w:val="20"/>
                <w:szCs w:val="20"/>
                <w:color w:val="auto"/>
              </w:rPr>
            </w:pPr>
            <w:r>
              <w:rPr>
                <w:rFonts w:ascii="Arial" w:cs="Arial" w:eastAsia="Arial" w:hAnsi="Arial"/>
                <w:sz w:val="18"/>
                <w:szCs w:val="18"/>
                <w:i w:val="1"/>
                <w:iCs w:val="1"/>
                <w:color w:val="auto"/>
              </w:rPr>
              <w:t>Jane Grimm, Vice President and Secretary</w:t>
            </w:r>
          </w:p>
        </w:tc>
      </w:tr>
    </w:tbl>
    <w:p>
      <w:pPr>
        <w:sectPr>
          <w:pgSz w:w="11900" w:h="16838" w:orient="portrait"/>
          <w:cols w:equalWidth="0" w:num="1">
            <w:col w:w="11420"/>
          </w:cols>
          <w:pgMar w:left="240" w:top="121" w:right="23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t>CERTIFICATE OF RETIREMENT</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CLASS B COMMON STOCK</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COMPX INTERNATIONAL INC.</w:t>
      </w: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C</w:t>
      </w:r>
      <w:r>
        <w:rPr>
          <w:rFonts w:ascii="Arial" w:cs="Arial" w:eastAsia="Arial" w:hAnsi="Arial"/>
          <w:sz w:val="12"/>
          <w:szCs w:val="12"/>
          <w:color w:val="auto"/>
        </w:rPr>
        <w:t>OMP</w:t>
      </w:r>
      <w:r>
        <w:rPr>
          <w:rFonts w:ascii="Arial" w:cs="Arial" w:eastAsia="Arial" w:hAnsi="Arial"/>
          <w:sz w:val="18"/>
          <w:szCs w:val="18"/>
          <w:color w:val="auto"/>
        </w:rPr>
        <w:t>X I</w:t>
      </w:r>
      <w:r>
        <w:rPr>
          <w:rFonts w:ascii="Arial" w:cs="Arial" w:eastAsia="Arial" w:hAnsi="Arial"/>
          <w:sz w:val="12"/>
          <w:szCs w:val="12"/>
          <w:color w:val="auto"/>
        </w:rPr>
        <w:t>NTERNATIONAL</w:t>
      </w:r>
      <w:r>
        <w:rPr>
          <w:rFonts w:ascii="Arial" w:cs="Arial" w:eastAsia="Arial" w:hAnsi="Arial"/>
          <w:sz w:val="18"/>
          <w:szCs w:val="18"/>
          <w:color w:val="auto"/>
        </w:rPr>
        <w:t xml:space="preserve"> I</w:t>
      </w:r>
      <w:r>
        <w:rPr>
          <w:rFonts w:ascii="Arial" w:cs="Arial" w:eastAsia="Arial" w:hAnsi="Arial"/>
          <w:sz w:val="12"/>
          <w:szCs w:val="12"/>
          <w:color w:val="auto"/>
        </w:rPr>
        <w:t>NC</w:t>
      </w:r>
      <w:r>
        <w:rPr>
          <w:rFonts w:ascii="Arial" w:cs="Arial" w:eastAsia="Arial" w:hAnsi="Arial"/>
          <w:sz w:val="18"/>
          <w:szCs w:val="18"/>
          <w:color w:val="auto"/>
        </w:rPr>
        <w:t>., a corporation duly organized and existing under the General Corporation Law of the State of Delaware (the "</w:t>
      </w:r>
      <w:r>
        <w:rPr>
          <w:rFonts w:ascii="Arial" w:cs="Arial" w:eastAsia="Arial" w:hAnsi="Arial"/>
          <w:sz w:val="18"/>
          <w:szCs w:val="18"/>
          <w:i w:val="1"/>
          <w:iCs w:val="1"/>
          <w:color w:val="auto"/>
        </w:rPr>
        <w:t>Corporation</w:t>
      </w:r>
      <w:r>
        <w:rPr>
          <w:rFonts w:ascii="Arial" w:cs="Arial" w:eastAsia="Arial" w:hAnsi="Arial"/>
          <w:sz w:val="18"/>
          <w:szCs w:val="18"/>
          <w:color w:val="auto"/>
        </w:rPr>
        <w:t>"), does hereby certify as follows:</w:t>
      </w:r>
    </w:p>
    <w:p>
      <w:pPr>
        <w:spacing w:after="0" w:line="197" w:lineRule="exact"/>
        <w:rPr>
          <w:sz w:val="20"/>
          <w:szCs w:val="20"/>
          <w:color w:val="auto"/>
        </w:rPr>
      </w:pPr>
    </w:p>
    <w:p>
      <w:pPr>
        <w:jc w:val="both"/>
        <w:ind w:firstLine="656"/>
        <w:spacing w:after="0" w:line="279" w:lineRule="auto"/>
        <w:tabs>
          <w:tab w:leader="none" w:pos="1431" w:val="left"/>
        </w:tabs>
        <w:numPr>
          <w:ilvl w:val="0"/>
          <w:numId w:val="2"/>
        </w:numPr>
        <w:rPr>
          <w:rFonts w:ascii="Arial" w:cs="Arial" w:eastAsia="Arial" w:hAnsi="Arial"/>
          <w:sz w:val="17"/>
          <w:szCs w:val="17"/>
          <w:b w:val="1"/>
          <w:bCs w:val="1"/>
          <w:color w:val="auto"/>
        </w:rPr>
      </w:pPr>
      <w:r>
        <w:rPr>
          <w:rFonts w:ascii="Arial" w:cs="Arial" w:eastAsia="Arial" w:hAnsi="Arial"/>
          <w:sz w:val="17"/>
          <w:szCs w:val="17"/>
          <w:color w:val="auto"/>
        </w:rPr>
        <w:t>The Second Amended and Restated Certificate of Incorporation of the Corporation filed with the Secretary of State of the State of Delaware on July 17, 2018 (the "</w:t>
      </w:r>
      <w:r>
        <w:rPr>
          <w:rFonts w:ascii="Arial" w:cs="Arial" w:eastAsia="Arial" w:hAnsi="Arial"/>
          <w:sz w:val="17"/>
          <w:szCs w:val="17"/>
          <w:i w:val="1"/>
          <w:iCs w:val="1"/>
          <w:color w:val="auto"/>
        </w:rPr>
        <w:t>Second Amended and Restated Certificate of Incorporation"</w:t>
      </w:r>
      <w:r>
        <w:rPr>
          <w:rFonts w:ascii="Arial" w:cs="Arial" w:eastAsia="Arial" w:hAnsi="Arial"/>
          <w:sz w:val="17"/>
          <w:szCs w:val="17"/>
          <w:color w:val="auto"/>
        </w:rPr>
        <w:t>), provides that any shares of the Corporation's Class B Common Stock, par value $.01 per share ("</w:t>
      </w:r>
      <w:r>
        <w:rPr>
          <w:rFonts w:ascii="Arial" w:cs="Arial" w:eastAsia="Arial" w:hAnsi="Arial"/>
          <w:sz w:val="17"/>
          <w:szCs w:val="17"/>
          <w:i w:val="1"/>
          <w:iCs w:val="1"/>
          <w:color w:val="auto"/>
        </w:rPr>
        <w:t>Class B Common Stock</w:t>
      </w:r>
      <w:r>
        <w:rPr>
          <w:rFonts w:ascii="Arial" w:cs="Arial" w:eastAsia="Arial" w:hAnsi="Arial"/>
          <w:sz w:val="17"/>
          <w:szCs w:val="17"/>
          <w:color w:val="auto"/>
        </w:rPr>
        <w:t>") that are converted into shares of the Corporation's Class A Common Stock, par value $.01 per share ("</w:t>
      </w:r>
      <w:r>
        <w:rPr>
          <w:rFonts w:ascii="Arial" w:cs="Arial" w:eastAsia="Arial" w:hAnsi="Arial"/>
          <w:sz w:val="17"/>
          <w:szCs w:val="17"/>
          <w:i w:val="1"/>
          <w:iCs w:val="1"/>
          <w:color w:val="auto"/>
        </w:rPr>
        <w:t>Class A Common Stock</w:t>
      </w:r>
      <w:r>
        <w:rPr>
          <w:rFonts w:ascii="Arial" w:cs="Arial" w:eastAsia="Arial" w:hAnsi="Arial"/>
          <w:sz w:val="17"/>
          <w:szCs w:val="17"/>
          <w:color w:val="auto"/>
        </w:rPr>
        <w:t>") shall be retired and may not be reissued or resold by the Corporation.</w:t>
      </w:r>
    </w:p>
    <w:p>
      <w:pPr>
        <w:spacing w:after="0" w:line="198" w:lineRule="exact"/>
        <w:rPr>
          <w:rFonts w:ascii="Arial" w:cs="Arial" w:eastAsia="Arial" w:hAnsi="Arial"/>
          <w:sz w:val="17"/>
          <w:szCs w:val="17"/>
          <w:b w:val="1"/>
          <w:bCs w:val="1"/>
          <w:color w:val="auto"/>
        </w:rPr>
      </w:pPr>
    </w:p>
    <w:p>
      <w:pPr>
        <w:ind w:firstLine="656"/>
        <w:spacing w:after="0" w:line="277" w:lineRule="auto"/>
        <w:tabs>
          <w:tab w:leader="none" w:pos="1431" w:val="left"/>
        </w:tabs>
        <w:numPr>
          <w:ilvl w:val="0"/>
          <w:numId w:val="2"/>
        </w:numPr>
        <w:rPr>
          <w:rFonts w:ascii="Arial" w:cs="Arial" w:eastAsia="Arial" w:hAnsi="Arial"/>
          <w:sz w:val="18"/>
          <w:szCs w:val="18"/>
          <w:b w:val="1"/>
          <w:bCs w:val="1"/>
          <w:color w:val="auto"/>
        </w:rPr>
      </w:pPr>
      <w:r>
        <w:rPr>
          <w:rFonts w:ascii="Arial" w:cs="Arial" w:eastAsia="Arial" w:hAnsi="Arial"/>
          <w:sz w:val="18"/>
          <w:szCs w:val="18"/>
          <w:color w:val="auto"/>
        </w:rPr>
        <w:t>All of the authorized 10,000,000 shares of the Corporation's Class B Common Stock have been converted into 10,000,000 shares of the Corporation's Class A Common Stock, pursuant to the terms of the Second Amended and Restated Certificate of Incorporation.</w:t>
      </w:r>
    </w:p>
    <w:p>
      <w:pPr>
        <w:spacing w:after="0" w:line="197" w:lineRule="exact"/>
        <w:rPr>
          <w:rFonts w:ascii="Arial" w:cs="Arial" w:eastAsia="Arial" w:hAnsi="Arial"/>
          <w:sz w:val="18"/>
          <w:szCs w:val="18"/>
          <w:b w:val="1"/>
          <w:bCs w:val="1"/>
          <w:color w:val="auto"/>
        </w:rPr>
      </w:pPr>
    </w:p>
    <w:p>
      <w:pPr>
        <w:ind w:firstLine="656"/>
        <w:spacing w:after="0" w:line="277" w:lineRule="auto"/>
        <w:tabs>
          <w:tab w:leader="none" w:pos="1431" w:val="left"/>
        </w:tabs>
        <w:numPr>
          <w:ilvl w:val="0"/>
          <w:numId w:val="2"/>
        </w:numPr>
        <w:rPr>
          <w:rFonts w:ascii="Arial" w:cs="Arial" w:eastAsia="Arial" w:hAnsi="Arial"/>
          <w:sz w:val="18"/>
          <w:szCs w:val="18"/>
          <w:b w:val="1"/>
          <w:bCs w:val="1"/>
          <w:color w:val="auto"/>
        </w:rPr>
      </w:pPr>
      <w:r>
        <w:rPr>
          <w:rFonts w:ascii="Arial" w:cs="Arial" w:eastAsia="Arial" w:hAnsi="Arial"/>
          <w:sz w:val="18"/>
          <w:szCs w:val="18"/>
          <w:color w:val="auto"/>
        </w:rPr>
        <w:t>The Board of Directors of the Corporation has adopted resolutions retiring the 10,000,000 shares of Class B Common Stock that were converted into 10,000,000 shares of Class A Common Stock.</w:t>
      </w:r>
    </w:p>
    <w:p>
      <w:pPr>
        <w:spacing w:after="0" w:line="197" w:lineRule="exact"/>
        <w:rPr>
          <w:rFonts w:ascii="Arial" w:cs="Arial" w:eastAsia="Arial" w:hAnsi="Arial"/>
          <w:sz w:val="18"/>
          <w:szCs w:val="18"/>
          <w:b w:val="1"/>
          <w:bCs w:val="1"/>
          <w:color w:val="auto"/>
        </w:rPr>
      </w:pPr>
    </w:p>
    <w:p>
      <w:pPr>
        <w:jc w:val="both"/>
        <w:ind w:firstLine="656"/>
        <w:spacing w:after="0" w:line="257" w:lineRule="auto"/>
        <w:tabs>
          <w:tab w:leader="none" w:pos="1431" w:val="left"/>
        </w:tabs>
        <w:numPr>
          <w:ilvl w:val="0"/>
          <w:numId w:val="2"/>
        </w:numPr>
        <w:rPr>
          <w:rFonts w:ascii="Arial" w:cs="Arial" w:eastAsia="Arial" w:hAnsi="Arial"/>
          <w:sz w:val="18"/>
          <w:szCs w:val="18"/>
          <w:b w:val="1"/>
          <w:bCs w:val="1"/>
          <w:color w:val="auto"/>
        </w:rPr>
      </w:pPr>
      <w:r>
        <w:rPr>
          <w:rFonts w:ascii="Arial" w:cs="Arial" w:eastAsia="Arial" w:hAnsi="Arial"/>
          <w:sz w:val="18"/>
          <w:szCs w:val="18"/>
          <w:color w:val="auto"/>
        </w:rPr>
        <w:t>In accordance with the provisions of Section 243(b) of the General Corporation Law of the State of Delaware, upon the filing of this Certificate of Retirement, it shall have the effect of amending the Second Amended and Restated Certificate of Incorporation to eliminate therefrom all references to such Class B Common Stock, and following such filing the total number of shares of capital stock which the Corporation shall have authority to issue will be twenty million one thousand (20,001,000) shares, consisting of (i) twenty million (20,000,000) shares of Class A Common Stock, and (ii) one thousand (1,000) shares of Preferred Stock, par value $.01 per share.</w:t>
      </w:r>
    </w:p>
    <w:p>
      <w:pPr>
        <w:spacing w:after="0" w:line="215" w:lineRule="exact"/>
        <w:rPr>
          <w:sz w:val="20"/>
          <w:szCs w:val="20"/>
          <w:color w:val="auto"/>
        </w:rPr>
      </w:pPr>
    </w:p>
    <w:p>
      <w:pPr>
        <w:ind w:right="500" w:firstLine="648"/>
        <w:spacing w:after="0" w:line="277" w:lineRule="auto"/>
        <w:rPr>
          <w:sz w:val="20"/>
          <w:szCs w:val="20"/>
          <w:color w:val="auto"/>
        </w:rPr>
      </w:pPr>
      <w:r>
        <w:rPr>
          <w:rFonts w:ascii="Arial" w:cs="Arial" w:eastAsia="Arial" w:hAnsi="Arial"/>
          <w:sz w:val="18"/>
          <w:szCs w:val="18"/>
          <w:color w:val="auto"/>
        </w:rPr>
        <w:t>IN WITNESS WHEREOF, the Corporation has caused this Certificate of Retirement to be signed by its duly authorized officer, this 5th day of November, 2018.</w:t>
      </w:r>
    </w:p>
    <w:p>
      <w:pPr>
        <w:spacing w:after="0" w:line="200" w:lineRule="exact"/>
        <w:rPr>
          <w:sz w:val="20"/>
          <w:szCs w:val="20"/>
          <w:color w:val="auto"/>
        </w:rPr>
      </w:pPr>
    </w:p>
    <w:p>
      <w:pPr>
        <w:spacing w:after="0" w:line="237" w:lineRule="exact"/>
        <w:rPr>
          <w:sz w:val="20"/>
          <w:szCs w:val="20"/>
          <w:color w:val="auto"/>
        </w:rPr>
      </w:pPr>
    </w:p>
    <w:p>
      <w:pPr>
        <w:ind w:left="4220"/>
        <w:spacing w:after="0"/>
        <w:rPr>
          <w:sz w:val="20"/>
          <w:szCs w:val="20"/>
          <w:color w:val="auto"/>
        </w:rPr>
      </w:pPr>
      <w:r>
        <w:rPr>
          <w:rFonts w:ascii="Arial" w:cs="Arial" w:eastAsia="Arial" w:hAnsi="Arial"/>
          <w:sz w:val="18"/>
          <w:szCs w:val="18"/>
          <w:b w:val="1"/>
          <w:bCs w:val="1"/>
          <w:color w:val="auto"/>
        </w:rPr>
        <w:t>C</w:t>
      </w:r>
      <w:r>
        <w:rPr>
          <w:rFonts w:ascii="Arial" w:cs="Arial" w:eastAsia="Arial" w:hAnsi="Arial"/>
          <w:sz w:val="12"/>
          <w:szCs w:val="12"/>
          <w:b w:val="1"/>
          <w:bCs w:val="1"/>
          <w:color w:val="auto"/>
        </w:rPr>
        <w:t>OMP</w:t>
      </w:r>
      <w:r>
        <w:rPr>
          <w:rFonts w:ascii="Arial" w:cs="Arial" w:eastAsia="Arial" w:hAnsi="Arial"/>
          <w:sz w:val="18"/>
          <w:szCs w:val="18"/>
          <w:b w:val="1"/>
          <w:bCs w:val="1"/>
          <w:color w:val="auto"/>
        </w:rPr>
        <w:t>X I</w:t>
      </w:r>
      <w:r>
        <w:rPr>
          <w:rFonts w:ascii="Arial" w:cs="Arial" w:eastAsia="Arial" w:hAnsi="Arial"/>
          <w:sz w:val="12"/>
          <w:szCs w:val="12"/>
          <w:b w:val="1"/>
          <w:bCs w:val="1"/>
          <w:color w:val="auto"/>
        </w:rPr>
        <w:t>NTERNATIONAL</w:t>
      </w:r>
      <w:r>
        <w:rPr>
          <w:rFonts w:ascii="Arial" w:cs="Arial" w:eastAsia="Arial" w:hAnsi="Arial"/>
          <w:sz w:val="18"/>
          <w:szCs w:val="18"/>
          <w:b w:val="1"/>
          <w:bCs w:val="1"/>
          <w:color w:val="auto"/>
        </w:rPr>
        <w:t xml:space="preserve"> I</w:t>
      </w:r>
      <w:r>
        <w:rPr>
          <w:rFonts w:ascii="Arial" w:cs="Arial" w:eastAsia="Arial" w:hAnsi="Arial"/>
          <w:sz w:val="12"/>
          <w:szCs w:val="12"/>
          <w:b w:val="1"/>
          <w:bCs w:val="1"/>
          <w:color w:val="auto"/>
        </w:rPr>
        <w:t>NC</w:t>
      </w:r>
      <w:r>
        <w:rPr>
          <w:rFonts w:ascii="Arial" w:cs="Arial" w:eastAsia="Arial" w:hAnsi="Arial"/>
          <w:sz w:val="18"/>
          <w:szCs w:val="18"/>
          <w:b w:val="1"/>
          <w:bCs w:val="1"/>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ind w:left="4220"/>
        <w:spacing w:after="0"/>
        <w:tabs>
          <w:tab w:leader="none" w:pos="4680" w:val="left"/>
        </w:tabs>
        <w:rPr>
          <w:sz w:val="20"/>
          <w:szCs w:val="20"/>
          <w:color w:val="auto"/>
        </w:rPr>
      </w:pPr>
      <w:r>
        <w:rPr>
          <w:rFonts w:ascii="Arial" w:cs="Arial" w:eastAsia="Arial" w:hAnsi="Arial"/>
          <w:sz w:val="18"/>
          <w:szCs w:val="18"/>
          <w:color w:val="auto"/>
        </w:rPr>
        <w:t>By:</w:t>
        <w:tab/>
        <w:t>/s/Robert D. Graham</w:t>
      </w:r>
    </w:p>
    <w:p>
      <w:pPr>
        <w:spacing w:after="0" w:line="23" w:lineRule="exact"/>
        <w:rPr>
          <w:sz w:val="20"/>
          <w:szCs w:val="20"/>
          <w:color w:val="auto"/>
        </w:rPr>
      </w:pPr>
    </w:p>
    <w:p>
      <w:pPr>
        <w:ind w:left="4700"/>
        <w:spacing w:after="0"/>
        <w:rPr>
          <w:sz w:val="20"/>
          <w:szCs w:val="20"/>
          <w:color w:val="auto"/>
        </w:rPr>
      </w:pPr>
      <w:r>
        <w:rPr>
          <w:rFonts w:ascii="Arial" w:cs="Arial" w:eastAsia="Arial" w:hAnsi="Arial"/>
          <w:sz w:val="18"/>
          <w:szCs w:val="18"/>
          <w:i w:val="1"/>
          <w:iCs w:val="1"/>
          <w:color w:val="auto"/>
        </w:rPr>
        <w:t>Robert D. Graham</w:t>
      </w:r>
    </w:p>
    <w:p>
      <w:pPr>
        <w:spacing w:after="0" w:line="9" w:lineRule="exact"/>
        <w:rPr>
          <w:sz w:val="20"/>
          <w:szCs w:val="20"/>
          <w:color w:val="auto"/>
        </w:rPr>
      </w:pPr>
    </w:p>
    <w:p>
      <w:pPr>
        <w:ind w:left="4700"/>
        <w:spacing w:after="0"/>
        <w:rPr>
          <w:sz w:val="20"/>
          <w:szCs w:val="20"/>
          <w:color w:val="auto"/>
        </w:rPr>
      </w:pPr>
      <w:r>
        <w:rPr>
          <w:rFonts w:ascii="Arial" w:cs="Arial" w:eastAsia="Arial" w:hAnsi="Arial"/>
          <w:sz w:val="18"/>
          <w:szCs w:val="18"/>
          <w:i w:val="1"/>
          <w:iCs w:val="1"/>
          <w:color w:val="auto"/>
        </w:rPr>
        <w:t>Authorized Officer</w:t>
      </w:r>
    </w:p>
    <w:sectPr>
      <w:pgSz w:w="11900" w:h="16838" w:orient="portrait"/>
      <w:cols w:equalWidth="0" w:num="1">
        <w:col w:w="11420"/>
      </w:cols>
      <w:pgMar w:left="240" w:top="12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lowerLetter"/>
      <w:start w:val="4"/>
    </w:lvl>
  </w:abstractNum>
  <w:abstractNum w:abstractNumId="1">
    <w:nsid w:val="66334873"/>
    <w:multiLevelType w:val="hybridMultilevel"/>
    <w:lvl w:ilvl="0">
      <w:lvlJc w:val="left"/>
      <w:lvlText w:val="%1."/>
      <w:numFmt w:val="decimal"/>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2019-12-28T18:48:29Z</dcterms:created>
  <dcterms:modified xsi:type="dcterms:W3CDTF">2019-12-28T18:48:29Z</dcterms:modified>
</cp:coreProperties>
</file>