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205492015</w:t>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333"/>
        </w:trPr>
        <w:tc>
          <w:tcPr>
            <w:tcW w:w="43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25"/>
                <w:szCs w:val="25"/>
                <w:b w:val="1"/>
                <w:bCs w:val="1"/>
                <w:color w:val="auto"/>
              </w:rPr>
              <w:t>Delaware</w:t>
            </w:r>
          </w:p>
        </w:tc>
        <w:tc>
          <w:tcPr>
            <w:tcW w:w="3120" w:type="dxa"/>
            <w:vAlign w:val="bottom"/>
            <w:tcBorders>
              <w:bottom w:val="single" w:sz="8" w:color="auto"/>
            </w:tcBorders>
          </w:tcPr>
          <w:p>
            <w:pPr>
              <w:jc w:val="center"/>
              <w:ind w:right="378"/>
              <w:spacing w:after="0"/>
              <w:rPr>
                <w:sz w:val="20"/>
                <w:szCs w:val="20"/>
                <w:color w:val="auto"/>
              </w:rPr>
            </w:pPr>
            <w:r>
              <w:rPr>
                <w:rFonts w:ascii="Times New Roman" w:cs="Times New Roman" w:eastAsia="Times New Roman" w:hAnsi="Times New Roman"/>
                <w:sz w:val="25"/>
                <w:szCs w:val="25"/>
                <w:b w:val="1"/>
                <w:bCs w:val="1"/>
                <w:color w:val="auto"/>
              </w:rPr>
              <w:t>1-13905</w:t>
            </w: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57-0981653</w:t>
            </w:r>
          </w:p>
        </w:tc>
      </w:tr>
      <w:tr>
        <w:trPr>
          <w:trHeight w:val="198"/>
        </w:trPr>
        <w:tc>
          <w:tcPr>
            <w:tcW w:w="430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120" w:type="dxa"/>
            <w:vAlign w:val="bottom"/>
          </w:tcPr>
          <w:p>
            <w:pPr>
              <w:jc w:val="center"/>
              <w:ind w:right="378"/>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3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00" w:type="dxa"/>
            <w:vAlign w:val="bottom"/>
          </w:tcPr>
          <w:p>
            <w:pPr>
              <w:spacing w:after="0"/>
              <w:rPr>
                <w:sz w:val="20"/>
                <w:szCs w:val="20"/>
                <w:color w:val="auto"/>
              </w:rPr>
            </w:pPr>
          </w:p>
        </w:tc>
        <w:tc>
          <w:tcPr>
            <w:tcW w:w="3120" w:type="dxa"/>
            <w:vAlign w:val="bottom"/>
          </w:tcPr>
          <w:p>
            <w:pPr>
              <w:jc w:val="center"/>
              <w:ind w:right="358"/>
              <w:spacing w:after="0"/>
              <w:rPr>
                <w:sz w:val="20"/>
                <w:szCs w:val="20"/>
                <w:color w:val="auto"/>
              </w:rPr>
            </w:pPr>
            <w:r>
              <w:rPr>
                <w:rFonts w:ascii="Times New Roman" w:cs="Times New Roman" w:eastAsia="Times New Roman" w:hAnsi="Times New Roman"/>
                <w:sz w:val="18"/>
                <w:szCs w:val="18"/>
                <w:color w:val="auto"/>
              </w:rPr>
              <w:t>File Number)</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736"/>
        </w:trPr>
        <w:tc>
          <w:tcPr>
            <w:tcW w:w="742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25"/>
                <w:szCs w:val="25"/>
                <w:b w:val="1"/>
                <w:bCs w:val="1"/>
                <w:color w:val="auto"/>
              </w:rPr>
              <w:t>5430 LBJ Freeway, Suite 1700, Dallas, Texas</w:t>
            </w: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75240-2620</w:t>
            </w:r>
          </w:p>
        </w:tc>
      </w:tr>
      <w:tr>
        <w:trPr>
          <w:trHeight w:val="213"/>
        </w:trPr>
        <w:tc>
          <w:tcPr>
            <w:tcW w:w="74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Jane Grimm</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Vice President and Secretary</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w:t>
      </w:r>
      <w:r>
        <w:rPr>
          <w:rFonts w:ascii="Times New Roman" w:cs="Times New Roman" w:eastAsia="Times New Roman" w:hAnsi="Times New Roman"/>
          <w:sz w:val="22"/>
          <w:szCs w:val="22"/>
          <w:b w:val="1"/>
          <w:bCs w:val="1"/>
          <w:color w:val="auto"/>
        </w:rPr>
        <w:t>X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Three Lincoln Centre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5430 LBJ Freeway, Suite 1700</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Dallas, Texas 75240-2620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(972) 233-1700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and telephone number, including area code, of the person to contact in connection with this report.)</w:t>
      </w:r>
    </w:p>
    <w:p>
      <w:pPr>
        <w:spacing w:after="0" w:line="250" w:lineRule="exact"/>
        <w:rPr>
          <w:sz w:val="24"/>
          <w:szCs w:val="24"/>
          <w:color w:val="auto"/>
        </w:rPr>
      </w:pPr>
    </w:p>
    <w:p>
      <w:pPr>
        <w:ind w:right="460"/>
        <w:spacing w:after="0" w:line="255"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ind w:left="800" w:hanging="792"/>
        <w:spacing w:after="0" w:line="215" w:lineRule="auto"/>
        <w:tabs>
          <w:tab w:leader="none" w:pos="800" w:val="left"/>
        </w:tabs>
        <w:numPr>
          <w:ilvl w:val="0"/>
          <w:numId w:val="1"/>
        </w:numPr>
        <w:rPr>
          <w:rFonts w:ascii="MS PGothic" w:cs="MS PGothic" w:eastAsia="MS PGothic" w:hAnsi="MS PGothic"/>
          <w:sz w:val="50"/>
          <w:szCs w:val="50"/>
          <w:color w:val="auto"/>
          <w:vertAlign w:val="subscript"/>
        </w:rPr>
      </w:pPr>
      <w:r>
        <w:rPr>
          <w:rFonts w:ascii="Times New Roman" w:cs="Times New Roman" w:eastAsia="Times New Roman" w:hAnsi="Times New Roman"/>
          <w:sz w:val="18"/>
          <w:szCs w:val="18"/>
          <w:color w:val="auto"/>
        </w:rPr>
        <w:t>Rule 13p-1 under the Securities Exchange Act (17 CFR 240.13p-1) for the reporting period from January 1 to December 31, 2021</w:t>
      </w:r>
    </w:p>
    <w:p>
      <w:pPr>
        <w:spacing w:after="0" w:line="2" w:lineRule="exact"/>
        <w:rPr>
          <w:rFonts w:ascii="MS PGothic" w:cs="MS PGothic" w:eastAsia="MS PGothic" w:hAnsi="MS PGothic"/>
          <w:sz w:val="50"/>
          <w:szCs w:val="50"/>
          <w:color w:val="auto"/>
          <w:vertAlign w:val="subscript"/>
        </w:rPr>
      </w:pPr>
    </w:p>
    <w:p>
      <w:pPr>
        <w:ind w:left="800"/>
        <w:spacing w:after="0"/>
        <w:rPr>
          <w:rFonts w:ascii="MS PGothic" w:cs="MS PGothic" w:eastAsia="MS PGothic" w:hAnsi="MS PGothic"/>
          <w:sz w:val="50"/>
          <w:szCs w:val="50"/>
          <w:color w:val="auto"/>
          <w:vertAlign w:val="subscript"/>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Disclosure</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For the calendar year 2021, we assessed whether any conflict minerals, as defined in Item 1.01(d)(3) of Form SD, were necessary to the functionality or production of a product we manufactured or contracted to be manufactured. We determined that certain conflict minerals were necessary to the functionality of products we manufactured.</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Accordingly, we conducted in good faith a reasonable country of origin inquiry regarding the conflict minerals in our products for the calendar year 2021. We designed our inquiry to determine whether such conflict minerals originated in the Democratic Republic of the Congo or an adjoining country, as defined in Item 1.01(d)(1) of Form SD, or were from recycled or scrap sources, as defined in Item 1.01(d)(6) of Form SD. We sent a certification letter to each of our vendors who were approved vendors during 2021. We sent a total of 490 of such certification letters (one to each vendor with a unique vendor identification number within our computer systems). An approved vendor may have more than one vendor identification number because, among other things, the vendor may have multiple locations and each location has a separate vendor identification number. The certification letter required each recipient to support one response and, if necessary, we followed-up with the vendor in order to ensure we received a response. A summary of the responses regarding each such vendor’s product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w:t>
            </w:r>
          </w:p>
        </w:tc>
      </w:tr>
      <w:tr>
        <w:trPr>
          <w:trHeight w:val="243"/>
        </w:trPr>
        <w:tc>
          <w:tcPr>
            <w:tcW w:w="752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Vendors</w:t>
            </w:r>
          </w:p>
        </w:tc>
        <w:tc>
          <w:tcPr>
            <w:tcW w:w="2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Vendors Responding</w:t>
            </w:r>
          </w:p>
        </w:tc>
      </w:tr>
      <w:tr>
        <w:trPr>
          <w:trHeight w:val="243"/>
        </w:trPr>
        <w:tc>
          <w:tcPr>
            <w:tcW w:w="7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w w:val="99"/>
              </w:rPr>
              <w:t>Category of Description of the Certification Regarding the Vendor’s Provided</w:t>
            </w:r>
          </w:p>
        </w:tc>
        <w:tc>
          <w:tcPr>
            <w:tcW w:w="17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Responding by</w:t>
            </w:r>
          </w:p>
        </w:tc>
        <w:tc>
          <w:tcPr>
            <w:tcW w:w="2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by Category</w:t>
            </w:r>
          </w:p>
        </w:tc>
      </w:tr>
      <w:tr>
        <w:trPr>
          <w:trHeight w:val="281"/>
        </w:trPr>
        <w:tc>
          <w:tcPr>
            <w:tcW w:w="752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22"/>
                <w:szCs w:val="22"/>
                <w:b w:val="1"/>
                <w:bCs w:val="1"/>
                <w:color w:val="auto"/>
              </w:rPr>
              <w:t>Products</w:t>
            </w:r>
          </w:p>
        </w:tc>
        <w:tc>
          <w:tcPr>
            <w:tcW w:w="17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9"/>
              </w:rPr>
              <w:t>Category</w:t>
            </w:r>
          </w:p>
        </w:tc>
        <w:tc>
          <w:tcPr>
            <w:tcW w:w="2020" w:type="dxa"/>
            <w:vAlign w:val="bottom"/>
            <w:tcBorders>
              <w:bottom w:val="single" w:sz="8" w:color="auto"/>
            </w:tcBorders>
          </w:tcPr>
          <w:p>
            <w:pPr>
              <w:spacing w:after="0"/>
              <w:rPr>
                <w:sz w:val="24"/>
                <w:szCs w:val="24"/>
                <w:color w:val="auto"/>
              </w:rPr>
            </w:pPr>
          </w:p>
        </w:tc>
      </w:tr>
      <w:tr>
        <w:trPr>
          <w:trHeight w:val="471"/>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Contained </w:t>
            </w:r>
            <w:r>
              <w:rPr>
                <w:rFonts w:ascii="Times New Roman" w:cs="Times New Roman" w:eastAsia="Times New Roman" w:hAnsi="Times New Roman"/>
                <w:sz w:val="22"/>
                <w:szCs w:val="22"/>
                <w:b w:val="1"/>
                <w:bCs w:val="1"/>
                <w:color w:val="auto"/>
              </w:rPr>
              <w:t>no amount</w:t>
            </w:r>
            <w:r>
              <w:rPr>
                <w:rFonts w:ascii="Times New Roman" w:cs="Times New Roman" w:eastAsia="Times New Roman" w:hAnsi="Times New Roman"/>
                <w:sz w:val="22"/>
                <w:szCs w:val="22"/>
                <w:color w:val="auto"/>
              </w:rPr>
              <w:t xml:space="preserve"> of conflict minerals</w:t>
            </w: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375</w:t>
            </w:r>
          </w:p>
        </w:tc>
        <w:tc>
          <w:tcPr>
            <w:tcW w:w="2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76.5%</w:t>
            </w:r>
          </w:p>
        </w:tc>
      </w:tr>
      <w:tr>
        <w:trPr>
          <w:trHeight w:val="416"/>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Contained some amount of conflict mineral(s) but all such conflict mineral(s) </w:t>
            </w:r>
            <w:r>
              <w:rPr>
                <w:rFonts w:ascii="Times New Roman" w:cs="Times New Roman" w:eastAsia="Times New Roman" w:hAnsi="Times New Roman"/>
                <w:sz w:val="22"/>
                <w:szCs w:val="22"/>
                <w:b w:val="1"/>
                <w:bCs w:val="1"/>
                <w:color w:val="auto"/>
              </w:rPr>
              <w:t>came</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86"/>
        </w:trPr>
        <w:tc>
          <w:tcPr>
            <w:tcW w:w="7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from recycled or scrap sources</w:t>
            </w: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w:t>
            </w:r>
          </w:p>
        </w:tc>
        <w:tc>
          <w:tcPr>
            <w:tcW w:w="2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2.5%</w:t>
            </w:r>
          </w:p>
        </w:tc>
      </w:tr>
      <w:tr>
        <w:trPr>
          <w:trHeight w:val="420"/>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Contained some amount (including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amounts) of one or more conflict</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43"/>
        </w:trPr>
        <w:tc>
          <w:tcPr>
            <w:tcW w:w="7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mineral(s), but such conflict mineral(s) did not originate in the Democratic Republic</w:t>
            </w:r>
          </w:p>
        </w:tc>
        <w:tc>
          <w:tcPr>
            <w:tcW w:w="1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82"/>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of the Congo or an adjoining country or were from conformant sources</w:t>
            </w: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102</w:t>
            </w:r>
          </w:p>
        </w:tc>
        <w:tc>
          <w:tcPr>
            <w:tcW w:w="2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20.8%</w:t>
            </w:r>
          </w:p>
        </w:tc>
      </w:tr>
      <w:tr>
        <w:trPr>
          <w:trHeight w:val="416"/>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Contained some amount (including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amounts) of one or more conflict</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47"/>
        </w:trPr>
        <w:tc>
          <w:tcPr>
            <w:tcW w:w="7520" w:type="dxa"/>
            <w:vAlign w:val="bottom"/>
          </w:tcPr>
          <w:p>
            <w:pPr>
              <w:spacing w:after="0" w:line="247" w:lineRule="exact"/>
              <w:rPr>
                <w:sz w:val="20"/>
                <w:szCs w:val="20"/>
                <w:color w:val="auto"/>
              </w:rPr>
            </w:pPr>
            <w:r>
              <w:rPr>
                <w:rFonts w:ascii="Times New Roman" w:cs="Times New Roman" w:eastAsia="Times New Roman" w:hAnsi="Times New Roman"/>
                <w:sz w:val="22"/>
                <w:szCs w:val="22"/>
                <w:color w:val="auto"/>
              </w:rPr>
              <w:t xml:space="preserve">mineral(s), with such conflict mineral(s) </w:t>
            </w:r>
            <w:r>
              <w:rPr>
                <w:rFonts w:ascii="Times New Roman" w:cs="Times New Roman" w:eastAsia="Times New Roman" w:hAnsi="Times New Roman"/>
                <w:sz w:val="22"/>
                <w:szCs w:val="22"/>
                <w:b w:val="1"/>
                <w:bCs w:val="1"/>
                <w:color w:val="auto"/>
              </w:rPr>
              <w:t>originating or possibly originating</w:t>
            </w:r>
            <w:r>
              <w:rPr>
                <w:rFonts w:ascii="Times New Roman" w:cs="Times New Roman" w:eastAsia="Times New Roman" w:hAnsi="Times New Roman"/>
                <w:sz w:val="22"/>
                <w:szCs w:val="22"/>
                <w:color w:val="auto"/>
              </w:rPr>
              <w:t xml:space="preserve"> in the</w:t>
            </w:r>
          </w:p>
        </w:tc>
        <w:tc>
          <w:tcPr>
            <w:tcW w:w="1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82"/>
        </w:trPr>
        <w:tc>
          <w:tcPr>
            <w:tcW w:w="7520" w:type="dxa"/>
            <w:vAlign w:val="bottom"/>
          </w:tcPr>
          <w:p>
            <w:pPr>
              <w:spacing w:after="0"/>
              <w:rPr>
                <w:sz w:val="20"/>
                <w:szCs w:val="20"/>
                <w:color w:val="auto"/>
              </w:rPr>
            </w:pPr>
            <w:r>
              <w:rPr>
                <w:rFonts w:ascii="Times New Roman" w:cs="Times New Roman" w:eastAsia="Times New Roman" w:hAnsi="Times New Roman"/>
                <w:sz w:val="22"/>
                <w:szCs w:val="22"/>
                <w:color w:val="auto"/>
              </w:rPr>
              <w:t>Democratic Republic of the Congo or an adjoining country</w:t>
            </w: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w:t>
            </w:r>
          </w:p>
        </w:tc>
        <w:tc>
          <w:tcPr>
            <w:tcW w:w="2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0.2%</w:t>
            </w:r>
          </w:p>
        </w:tc>
      </w:tr>
      <w:tr>
        <w:trPr>
          <w:trHeight w:val="447"/>
        </w:trPr>
        <w:tc>
          <w:tcPr>
            <w:tcW w:w="7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490</w:t>
            </w:r>
          </w:p>
        </w:tc>
        <w:tc>
          <w:tcPr>
            <w:tcW w:w="2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100.0%</w:t>
            </w:r>
          </w:p>
        </w:tc>
      </w:tr>
      <w:tr>
        <w:trPr>
          <w:trHeight w:val="20"/>
        </w:trPr>
        <w:tc>
          <w:tcPr>
            <w:tcW w:w="75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With respect to the one response regarding conflict minerals originating or possibly originating in the Democratic Republic of the Congo or an adjoining company, we contacted the vendor. This vendor provides products from the electronic component industry with extensive product lines. We purchase relatively few item SKUs compared to total vendor offerings. The vendor informed us that they have made efforts to ensure conflict free sourcing, expect suppliers to source responsibly, or are in various stages of compliance. This vendor does not directly provide product specific reports as to the sourcing of their conflict minerals. These conditions create a level of uncertainty related to the term “possibly originating” as it relates to the specific products the registrant purchases from this vendor. As a result (and even though we were able to satisfy ourselves, by further researching the manufacturers sourced by this vendor, that certain specific products sourced from this vendor did not fall into the fourth category above), the registrant does not have sufficient information to assess whether all of the products it purchased from this vendor did not contain some amount of one or more conflict minerals originating or possibly originating in the Democratic Republic of the Congo or an adjoining country. The total value of the registrant’s purchases from this vendor (not including purchases from the vendors of products that we were able to remove from the fourth category by further researching manufacturers) represents an aggregate of 0.016% of total purchases from all of the registrant’s vendors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As used above, “conformant sources” means sources conformant to the assessment protocols for conflict-free sourcing of the Responsible Minerals Initiative (RMI) or industry equivalent program.</w:t>
      </w:r>
    </w:p>
    <w:p>
      <w:pPr>
        <w:spacing w:after="0" w:line="18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Based on the registrant’s good faith, reasonable country of origin inquiry, the registrant does not know or have reason to believe that the conflict minerals in the registrant’s products have originated from the Democratic Republic of the Congo or an adjoining country.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Conflicts Minerals Disclosure is also posted on our website at</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https://compxinternational.com/governance/#conflict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w:t>
      </w:r>
      <w:r>
        <w:rPr>
          <w:rFonts w:ascii="Times New Roman" w:cs="Times New Roman" w:eastAsia="Times New Roman" w:hAnsi="Times New Roman"/>
          <w:sz w:val="22"/>
          <w:szCs w:val="22"/>
          <w:b w:val="1"/>
          <w:bCs w:val="1"/>
          <w:color w:val="auto"/>
        </w:rPr>
        <w:t>X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980" w:type="dxa"/>
            <w:vAlign w:val="bottom"/>
            <w:gridSpan w:val="2"/>
          </w:tcPr>
          <w:p>
            <w:pPr>
              <w:ind w:left="5580"/>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 Jane Grimm</w:t>
            </w:r>
          </w:p>
        </w:tc>
      </w:tr>
      <w:tr>
        <w:trPr>
          <w:trHeight w:val="212"/>
        </w:trPr>
        <w:tc>
          <w:tcPr>
            <w:tcW w:w="5580" w:type="dxa"/>
            <w:vAlign w:val="bottom"/>
          </w:tcPr>
          <w:p>
            <w:pPr>
              <w:spacing w:after="0" w:line="211" w:lineRule="exact"/>
              <w:rPr>
                <w:sz w:val="20"/>
                <w:szCs w:val="20"/>
                <w:color w:val="auto"/>
              </w:rPr>
            </w:pPr>
            <w:r>
              <w:rPr>
                <w:rFonts w:ascii="Times New Roman" w:cs="Times New Roman" w:eastAsia="Times New Roman" w:hAnsi="Times New Roman"/>
                <w:sz w:val="22"/>
                <w:szCs w:val="22"/>
                <w:color w:val="auto"/>
              </w:rPr>
              <w:t>Date:  May 27, 2022</w:t>
            </w:r>
          </w:p>
        </w:tc>
        <w:tc>
          <w:tcPr>
            <w:tcW w:w="400" w:type="dxa"/>
            <w:vAlign w:val="bottom"/>
            <w:tcBorders>
              <w:top w:val="single" w:sz="8" w:color="auto"/>
            </w:tcBorders>
          </w:tcPr>
          <w:p>
            <w:pPr>
              <w:spacing w:after="0"/>
              <w:rPr>
                <w:sz w:val="18"/>
                <w:szCs w:val="18"/>
                <w:color w:val="auto"/>
              </w:rPr>
            </w:pPr>
          </w:p>
        </w:tc>
        <w:tc>
          <w:tcPr>
            <w:tcW w:w="5260" w:type="dxa"/>
            <w:vAlign w:val="bottom"/>
            <w:tcBorders>
              <w:top w:val="single" w:sz="8" w:color="auto"/>
            </w:tcBorders>
          </w:tcPr>
          <w:p>
            <w:pPr>
              <w:ind w:left="80"/>
              <w:spacing w:after="0" w:line="211" w:lineRule="exact"/>
              <w:rPr>
                <w:sz w:val="20"/>
                <w:szCs w:val="20"/>
                <w:color w:val="auto"/>
              </w:rPr>
            </w:pPr>
            <w:r>
              <w:rPr>
                <w:rFonts w:ascii="Times New Roman" w:cs="Times New Roman" w:eastAsia="Times New Roman" w:hAnsi="Times New Roman"/>
                <w:sz w:val="22"/>
                <w:szCs w:val="22"/>
                <w:i w:val="1"/>
                <w:iCs w:val="1"/>
                <w:color w:val="auto"/>
              </w:rPr>
              <w:t>Jane Grimm</w:t>
            </w:r>
          </w:p>
        </w:tc>
      </w:tr>
      <w:tr>
        <w:trPr>
          <w:trHeight w:val="286"/>
        </w:trPr>
        <w:tc>
          <w:tcPr>
            <w:tcW w:w="5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Vice President and Secretary</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2022-05-27T08:51:55Z</dcterms:created>
  <dcterms:modified xsi:type="dcterms:W3CDTF">2022-05-27T08:51:55Z</dcterms:modified>
</cp:coreProperties>
</file>