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March 2, 2022</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4"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203"/>
              <w:spacing w:after="0"/>
              <w:rPr>
                <w:sz w:val="20"/>
                <w:szCs w:val="20"/>
                <w:color w:val="auto"/>
              </w:rPr>
            </w:pPr>
            <w:r>
              <w:rPr>
                <w:rFonts w:ascii="Arial" w:cs="Arial" w:eastAsia="Arial" w:hAnsi="Arial"/>
                <w:sz w:val="22"/>
                <w:szCs w:val="22"/>
                <w:b w:val="1"/>
                <w:bCs w:val="1"/>
                <w:color w:val="auto"/>
                <w:w w:val="90"/>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269875</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240"/>
          </w:cols>
          <w:pgMar w:left="320" w:top="229" w:right="339" w:bottom="1440" w:gutter="0" w:footer="0" w:header="0"/>
        </w:sectPr>
      </w:pPr>
    </w:p>
    <w:p>
      <w:pPr>
        <w:spacing w:after="0" w:line="120"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440"/>
          </w:cols>
          <w:pgMar w:left="320" w:top="229" w:right="33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3"/>
              </w:rPr>
              <w:t>Class A Common Stock</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14"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Reports Fourth Quarter 2021 Results” that the registrant issued on March 2, 2022, a copy of which is attached hereto as Exhibit 99.1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Announces Increase in Quarterly Dividend” that the registrant also issued on March 2, 2022, a copy of which is attached hereto as Exhibit 99.2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(d)</w:t>
            </w:r>
          </w:p>
        </w:tc>
        <w:tc>
          <w:tcPr>
            <w:tcW w:w="2040" w:type="dxa"/>
            <w:vAlign w:val="bottom"/>
          </w:tcPr>
          <w:p>
            <w:pPr>
              <w:spacing w:after="0"/>
              <w:rPr>
                <w:sz w:val="20"/>
                <w:szCs w:val="20"/>
                <w:color w:val="auto"/>
              </w:rPr>
            </w:pPr>
            <w:r>
              <w:rPr>
                <w:rFonts w:ascii="Arial" w:cs="Arial" w:eastAsia="Arial" w:hAnsi="Arial"/>
                <w:sz w:val="22"/>
                <w:szCs w:val="22"/>
                <w:color w:val="auto"/>
              </w:rPr>
              <w:t>Exhibits</w:t>
            </w:r>
          </w:p>
        </w:tc>
        <w:tc>
          <w:tcPr>
            <w:tcW w:w="5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20" w:type="dxa"/>
            <w:vAlign w:val="bottom"/>
          </w:tcPr>
          <w:p>
            <w:pPr>
              <w:spacing w:after="0"/>
              <w:rPr>
                <w:sz w:val="23"/>
                <w:szCs w:val="23"/>
                <w:color w:val="auto"/>
              </w:rPr>
            </w:pPr>
          </w:p>
        </w:tc>
      </w:tr>
      <w:tr>
        <w:trPr>
          <w:trHeight w:val="456"/>
        </w:trPr>
        <w:tc>
          <w:tcPr>
            <w:tcW w:w="680" w:type="dxa"/>
            <w:vAlign w:val="bottom"/>
          </w:tcPr>
          <w:p>
            <w:pPr>
              <w:spacing w:after="0"/>
              <w:rPr>
                <w:sz w:val="24"/>
                <w:szCs w:val="24"/>
                <w:color w:val="auto"/>
              </w:rPr>
            </w:pPr>
          </w:p>
        </w:tc>
        <w:tc>
          <w:tcPr>
            <w:tcW w:w="2040" w:type="dxa"/>
            <w:vAlign w:val="bottom"/>
            <w:tcBorders>
              <w:bottom w:val="single" w:sz="8" w:color="auto"/>
            </w:tcBorders>
          </w:tcPr>
          <w:p>
            <w:pPr>
              <w:ind w:left="620"/>
              <w:spacing w:after="0"/>
              <w:rPr>
                <w:sz w:val="20"/>
                <w:szCs w:val="20"/>
                <w:color w:val="auto"/>
              </w:rPr>
            </w:pPr>
            <w:r>
              <w:rPr>
                <w:rFonts w:ascii="Arial" w:cs="Arial" w:eastAsia="Arial" w:hAnsi="Arial"/>
                <w:sz w:val="22"/>
                <w:szCs w:val="22"/>
                <w:b w:val="1"/>
                <w:bCs w:val="1"/>
                <w:color w:val="auto"/>
              </w:rPr>
              <w:t>Item No.</w:t>
            </w:r>
          </w:p>
        </w:tc>
        <w:tc>
          <w:tcPr>
            <w:tcW w:w="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Description</w:t>
            </w:r>
          </w:p>
        </w:tc>
      </w:tr>
      <w:tr>
        <w:trPr>
          <w:trHeight w:val="418"/>
        </w:trPr>
        <w:tc>
          <w:tcPr>
            <w:tcW w:w="6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rPr>
              <w:t>99.1</w:t>
            </w:r>
          </w:p>
        </w:tc>
        <w:tc>
          <w:tcPr>
            <w:tcW w:w="520" w:type="dxa"/>
            <w:vAlign w:val="bottom"/>
          </w:tcPr>
          <w:p>
            <w:pPr>
              <w:spacing w:after="0"/>
              <w:rPr>
                <w:sz w:val="24"/>
                <w:szCs w:val="24"/>
                <w:color w:val="auto"/>
              </w:rPr>
            </w:pPr>
          </w:p>
        </w:tc>
        <w:tc>
          <w:tcPr>
            <w:tcW w:w="8000" w:type="dxa"/>
            <w:vAlign w:val="bottom"/>
            <w:tcBorders>
              <w:bottom w:val="single" w:sz="8" w:color="0000EE"/>
            </w:tcBorders>
            <w:gridSpan w:val="3"/>
          </w:tcPr>
          <w:p>
            <w:pPr>
              <w:spacing w:after="0"/>
              <w:rPr>
                <w:rFonts w:ascii="Arial" w:cs="Arial" w:eastAsia="Arial" w:hAnsi="Arial"/>
                <w:sz w:val="22"/>
                <w:szCs w:val="22"/>
                <w:color w:val="0000EE"/>
                <w:w w:val="90"/>
              </w:rPr>
            </w:pPr>
            <w:hyperlink w:anchor="page4">
              <w:r>
                <w:rPr>
                  <w:rFonts w:ascii="Arial" w:cs="Arial" w:eastAsia="Arial" w:hAnsi="Arial"/>
                  <w:sz w:val="22"/>
                  <w:szCs w:val="22"/>
                  <w:color w:val="0000EE"/>
                  <w:w w:val="90"/>
                </w:rPr>
                <w:t>Press release dated March 2, 2022 entitled “CompX Reports Fourth Quarter 2021 Results”</w:t>
              </w:r>
            </w:hyperlink>
          </w:p>
        </w:tc>
      </w:tr>
      <w:tr>
        <w:trPr>
          <w:trHeight w:val="223"/>
        </w:trPr>
        <w:tc>
          <w:tcPr>
            <w:tcW w:w="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0" w:type="dxa"/>
            <w:vAlign w:val="bottom"/>
            <w:gridSpan w:val="3"/>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and issued by the registrant</w:t>
              </w:r>
              <w:r>
                <w:rPr>
                  <w:rFonts w:ascii="Arial" w:cs="Arial" w:eastAsia="Arial" w:hAnsi="Arial"/>
                  <w:sz w:val="22"/>
                  <w:szCs w:val="22"/>
                  <w:color w:val="000000"/>
                </w:rPr>
                <w:t>.</w:t>
              </w:r>
            </w:hyperlink>
          </w:p>
        </w:tc>
      </w:tr>
      <w:tr>
        <w:trPr>
          <w:trHeight w:val="20"/>
        </w:trPr>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439"/>
        </w:trPr>
        <w:tc>
          <w:tcPr>
            <w:tcW w:w="6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rPr>
              <w:t>99.2</w:t>
            </w:r>
          </w:p>
        </w:tc>
        <w:tc>
          <w:tcPr>
            <w:tcW w:w="520" w:type="dxa"/>
            <w:vAlign w:val="bottom"/>
          </w:tcPr>
          <w:p>
            <w:pPr>
              <w:spacing w:after="0"/>
              <w:rPr>
                <w:sz w:val="24"/>
                <w:szCs w:val="24"/>
                <w:color w:val="auto"/>
              </w:rPr>
            </w:pPr>
          </w:p>
        </w:tc>
        <w:tc>
          <w:tcPr>
            <w:tcW w:w="8000" w:type="dxa"/>
            <w:vAlign w:val="bottom"/>
            <w:tcBorders>
              <w:bottom w:val="single" w:sz="8" w:color="0000EE"/>
            </w:tcBorders>
            <w:gridSpan w:val="3"/>
          </w:tcPr>
          <w:p>
            <w:pPr>
              <w:spacing w:after="0"/>
              <w:rPr>
                <w:rFonts w:ascii="Arial" w:cs="Arial" w:eastAsia="Arial" w:hAnsi="Arial"/>
                <w:sz w:val="22"/>
                <w:szCs w:val="22"/>
                <w:color w:val="0000EE"/>
                <w:w w:val="95"/>
              </w:rPr>
            </w:pPr>
            <w:hyperlink w:anchor="page7">
              <w:r>
                <w:rPr>
                  <w:rFonts w:ascii="Arial" w:cs="Arial" w:eastAsia="Arial" w:hAnsi="Arial"/>
                  <w:sz w:val="22"/>
                  <w:szCs w:val="22"/>
                  <w:color w:val="0000EE"/>
                  <w:w w:val="95"/>
                </w:rPr>
                <w:t>Press release dated March 2, 2022 entitled “CompX Announces Increase in Quarterly</w:t>
              </w:r>
            </w:hyperlink>
          </w:p>
        </w:tc>
      </w:tr>
      <w:tr>
        <w:trPr>
          <w:trHeight w:val="223"/>
        </w:trPr>
        <w:tc>
          <w:tcPr>
            <w:tcW w:w="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80" w:type="dxa"/>
            <w:vAlign w:val="bottom"/>
            <w:tcBorders>
              <w:bottom w:val="single" w:sz="8" w:color="0000EE"/>
            </w:tcBorders>
            <w:gridSpan w:val="2"/>
          </w:tcPr>
          <w:p>
            <w:pPr>
              <w:spacing w:after="0" w:line="223" w:lineRule="exact"/>
              <w:rPr>
                <w:rFonts w:ascii="Arial" w:cs="Arial" w:eastAsia="Arial" w:hAnsi="Arial"/>
                <w:sz w:val="22"/>
                <w:szCs w:val="22"/>
                <w:color w:val="0000EE"/>
                <w:w w:val="89"/>
              </w:rPr>
            </w:pPr>
            <w:hyperlink w:anchor="page7">
              <w:r>
                <w:rPr>
                  <w:rFonts w:ascii="Arial" w:cs="Arial" w:eastAsia="Arial" w:hAnsi="Arial"/>
                  <w:sz w:val="22"/>
                  <w:szCs w:val="22"/>
                  <w:color w:val="0000EE"/>
                  <w:w w:val="89"/>
                </w:rPr>
                <w:t>Dividend” and issued by the registrant.</w:t>
              </w:r>
            </w:hyperlink>
          </w:p>
        </w:tc>
        <w:tc>
          <w:tcPr>
            <w:tcW w:w="4620" w:type="dxa"/>
            <w:vAlign w:val="bottom"/>
          </w:tcPr>
          <w:p>
            <w:pPr>
              <w:spacing w:after="0"/>
              <w:rPr>
                <w:sz w:val="19"/>
                <w:szCs w:val="19"/>
                <w:color w:val="auto"/>
              </w:rPr>
            </w:pPr>
          </w:p>
        </w:tc>
      </w:tr>
      <w:tr>
        <w:trPr>
          <w:trHeight w:val="490"/>
        </w:trPr>
        <w:tc>
          <w:tcPr>
            <w:tcW w:w="68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rPr>
              <w:t>104</w:t>
            </w:r>
          </w:p>
        </w:tc>
        <w:tc>
          <w:tcPr>
            <w:tcW w:w="520" w:type="dxa"/>
            <w:vAlign w:val="bottom"/>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22"/>
                <w:szCs w:val="22"/>
                <w:color w:val="auto"/>
              </w:rPr>
              <w:t>Cover Page Interactive Data File (embedded within the Inline XBRL document)</w:t>
            </w:r>
          </w:p>
        </w:tc>
      </w:tr>
      <w:tr>
        <w:trPr>
          <w:trHeight w:val="901"/>
        </w:trPr>
        <w:tc>
          <w:tcPr>
            <w:tcW w:w="6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000" w:type="dxa"/>
            <w:vAlign w:val="bottom"/>
            <w:gridSpan w:val="2"/>
          </w:tcPr>
          <w:p>
            <w:pPr>
              <w:ind w:left="5620"/>
              <w:spacing w:after="0"/>
              <w:rPr>
                <w:sz w:val="20"/>
                <w:szCs w:val="20"/>
                <w:color w:val="auto"/>
              </w:rPr>
            </w:pPr>
            <w:r>
              <w:rPr>
                <w:rFonts w:ascii="Arial" w:cs="Arial" w:eastAsia="Arial" w:hAnsi="Arial"/>
                <w:sz w:val="22"/>
                <w:szCs w:val="22"/>
                <w:color w:val="auto"/>
              </w:rPr>
              <w:t>By:</w:t>
            </w:r>
          </w:p>
        </w:tc>
        <w:tc>
          <w:tcPr>
            <w:tcW w:w="5240" w:type="dxa"/>
            <w:vAlign w:val="bottom"/>
          </w:tcPr>
          <w:p>
            <w:pPr>
              <w:ind w:left="400"/>
              <w:spacing w:after="0"/>
              <w:rPr>
                <w:sz w:val="20"/>
                <w:szCs w:val="20"/>
                <w:color w:val="auto"/>
              </w:rPr>
            </w:pPr>
            <w:r>
              <w:rPr>
                <w:rFonts w:ascii="Arial" w:cs="Arial" w:eastAsia="Arial" w:hAnsi="Arial"/>
                <w:sz w:val="22"/>
                <w:szCs w:val="22"/>
                <w:color w:val="auto"/>
              </w:rPr>
              <w:t>/s/ Michael S. Simmons</w:t>
            </w:r>
          </w:p>
        </w:tc>
      </w:tr>
      <w:tr>
        <w:trPr>
          <w:trHeight w:val="222"/>
        </w:trPr>
        <w:tc>
          <w:tcPr>
            <w:tcW w:w="5620" w:type="dxa"/>
            <w:vAlign w:val="bottom"/>
          </w:tcPr>
          <w:p>
            <w:pPr>
              <w:spacing w:after="0" w:line="222" w:lineRule="exact"/>
              <w:rPr>
                <w:sz w:val="20"/>
                <w:szCs w:val="20"/>
                <w:color w:val="auto"/>
              </w:rPr>
            </w:pPr>
            <w:r>
              <w:rPr>
                <w:rFonts w:ascii="Arial" w:cs="Arial" w:eastAsia="Arial" w:hAnsi="Arial"/>
                <w:sz w:val="22"/>
                <w:szCs w:val="22"/>
                <w:color w:val="auto"/>
              </w:rPr>
              <w:t>Date: March 2, 2022</w:t>
            </w:r>
          </w:p>
        </w:tc>
        <w:tc>
          <w:tcPr>
            <w:tcW w:w="380" w:type="dxa"/>
            <w:vAlign w:val="bottom"/>
            <w:tcBorders>
              <w:top w:val="single" w:sz="8" w:color="auto"/>
            </w:tcBorders>
          </w:tcPr>
          <w:p>
            <w:pPr>
              <w:spacing w:after="0"/>
              <w:rPr>
                <w:sz w:val="19"/>
                <w:szCs w:val="19"/>
                <w:color w:val="auto"/>
              </w:rPr>
            </w:pPr>
          </w:p>
        </w:tc>
        <w:tc>
          <w:tcPr>
            <w:tcW w:w="5240" w:type="dxa"/>
            <w:vAlign w:val="bottom"/>
            <w:tcBorders>
              <w:top w:val="single" w:sz="8" w:color="auto"/>
            </w:tcBorders>
          </w:tcPr>
          <w:p>
            <w:pPr>
              <w:ind w:left="80"/>
              <w:spacing w:after="0" w:line="222" w:lineRule="exact"/>
              <w:rPr>
                <w:sz w:val="20"/>
                <w:szCs w:val="20"/>
                <w:color w:val="auto"/>
              </w:rPr>
            </w:pPr>
            <w:r>
              <w:rPr>
                <w:rFonts w:ascii="Arial" w:cs="Arial" w:eastAsia="Arial" w:hAnsi="Arial"/>
                <w:sz w:val="22"/>
                <w:szCs w:val="22"/>
                <w:i w:val="1"/>
                <w:iCs w:val="1"/>
                <w:color w:val="auto"/>
              </w:rPr>
              <w:t>Michael S. Simmons</w:t>
            </w:r>
          </w:p>
        </w:tc>
      </w:tr>
      <w:tr>
        <w:trPr>
          <w:trHeight w:val="243"/>
        </w:trPr>
        <w:tc>
          <w:tcPr>
            <w:tcW w:w="5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40" w:type="dxa"/>
            <w:vAlign w:val="bottom"/>
          </w:tcPr>
          <w:p>
            <w:pPr>
              <w:ind w:left="80"/>
              <w:spacing w:after="0" w:line="243" w:lineRule="exact"/>
              <w:rPr>
                <w:sz w:val="20"/>
                <w:szCs w:val="20"/>
                <w:color w:val="auto"/>
              </w:rPr>
            </w:pPr>
            <w:r>
              <w:rPr>
                <w:rFonts w:ascii="Arial" w:cs="Arial" w:eastAsia="Arial" w:hAnsi="Arial"/>
                <w:sz w:val="22"/>
                <w:szCs w:val="22"/>
                <w:i w:val="1"/>
                <w:iCs w:val="1"/>
                <w:color w:val="auto"/>
              </w:rPr>
              <w:t>Senior Vice President and</w:t>
            </w:r>
          </w:p>
        </w:tc>
      </w:tr>
      <w:tr>
        <w:trPr>
          <w:trHeight w:val="274"/>
        </w:trPr>
        <w:tc>
          <w:tcPr>
            <w:tcW w:w="5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40" w:type="dxa"/>
            <w:vAlign w:val="bottom"/>
          </w:tcPr>
          <w:p>
            <w:pPr>
              <w:ind w:left="140"/>
              <w:spacing w:after="0"/>
              <w:rPr>
                <w:sz w:val="20"/>
                <w:szCs w:val="20"/>
                <w:color w:val="auto"/>
              </w:rPr>
            </w:pPr>
            <w:r>
              <w:rPr>
                <w:rFonts w:ascii="Arial" w:cs="Arial" w:eastAsia="Arial" w:hAnsi="Arial"/>
                <w:sz w:val="22"/>
                <w:szCs w:val="22"/>
                <w:i w:val="1"/>
                <w:iCs w:val="1"/>
                <w:color w:val="auto"/>
              </w:rPr>
              <w:t>Chief Financial Officer</w:t>
            </w:r>
          </w:p>
        </w:tc>
      </w:tr>
    </w:tbl>
    <w:p>
      <w:pPr>
        <w:sectPr>
          <w:pgSz w:w="11900" w:h="16838" w:orient="portrait"/>
          <w:cols w:equalWidth="0" w:num="1">
            <w:col w:w="11240"/>
          </w:cols>
          <w:pgMar w:left="320" w:top="598" w:right="339" w:bottom="1440" w:gutter="0" w:footer="0" w:header="0"/>
        </w:sectPr>
      </w:pPr>
    </w:p>
    <w:bookmarkStart w:id="3" w:name="page4"/>
    <w:bookmarkEnd w:id="3"/>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88900</wp:posOffset>
            </wp:positionV>
            <wp:extent cx="2280285" cy="1003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80285" cy="10033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240"/>
          </w:cols>
          <w:pgMar w:left="320" w:top="1440" w:right="339" w:bottom="1440" w:gutter="0" w:footer="0" w:header="0"/>
        </w:sect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5060" w:space="720"/>
            <w:col w:w="5460"/>
          </w:cols>
          <w:pgMar w:left="320" w:top="1440"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234" w:lineRule="exact"/>
        <w:rPr>
          <w:sz w:val="20"/>
          <w:szCs w:val="20"/>
          <w:color w:val="auto"/>
        </w:rPr>
      </w:pPr>
    </w:p>
    <w:p>
      <w:pPr>
        <w:sectPr>
          <w:pgSz w:w="11900" w:h="16838" w:orient="portrait"/>
          <w:cols w:equalWidth="0" w:num="2">
            <w:col w:w="5060" w:space="720"/>
            <w:col w:w="5460"/>
          </w:cols>
          <w:pgMar w:left="320" w:top="1440" w:right="3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COMPX REPORTS FOURTH QUARTER 2021 RESULTS</w:t>
      </w: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DALLAS, TEXAS … March 2, 2022 … CompX International Inc. (NYSE American: CIX) announced today sales of $34.1 million for the fourth quarter of 2021 compared to $30.0 million in the same period of 2020. Operating income was $3.8 million in the fourth quarter of 2021 compared to $2.3 million in the same period of 2020. Net income was $3.2 million, or $0.25 per diluted share, for the fourth quarter of 2021 compared to $2.3 million, or $0.17 per diluted share, in the same period of 2020.</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sales for the year ended December 31, 2021 were $140.8 million compared to $114.5 million in the previous year. Operating income was $20.5 million for the year ended December 31, 2021 compared to $11.8 million for 2020. Net income for the year ended December 31, 2021 was $16.6 million, or $1.34 per diluted share, compared to $10.3 million, or $0.83 per diluted share, for the year ended December 31, 2020.</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Fourth quarter 2021 net sales increased over the 2020 comparable period primarily due to higher Security Products sales, largely increased sales to the government security and transportation markets and, to a lesser extent, higher Marine Component sales, predominantly to the towboat market. Operating income increased for the fourth quarter of 2021 compared to the fourth quarter of 2020 as higher costs, specifically increased raw material, shipping and labor costs, were more than offset by higher sales.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Net sales increased for the full year of 2021 compared to the full year of 2020 primarily due to higher sales volumes at both of our segments. Our net sales and operating income were negatively impacted by the COVID-19 pandemic in the second and third quarters of 2020, which significantly impacts the comparisons for the full year. Beginning in the third quarter of 2020 and continuing through 2021, our sales generally improved at both our business segments and our operating income increased for the full year of 2021 as compared to 2020 primarily due to the favorable effect of higher sales and production volumes, partially offset by higher production costs including increased raw material, shipping and labor costs.</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CompX is a leading manufacturer of security products and recreational marine components. It operates from three locations in the U.S. and employs approximately 570 people.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t>Forward-Looking Statements</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statements in this press release relating to matters that are not historical facts are forward-looking statements that represent management’s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The factors that could cause our actual future results to differ materially include, but are not limited to, the following:</w:t>
      </w:r>
    </w:p>
    <w:p>
      <w:pPr>
        <w:spacing w:after="0" w:line="150" w:lineRule="exact"/>
        <w:rPr>
          <w:sz w:val="20"/>
          <w:szCs w:val="20"/>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Future demand for our products,</w:t>
      </w:r>
    </w:p>
    <w:p>
      <w:pPr>
        <w:spacing w:after="0" w:line="98" w:lineRule="exact"/>
        <w:rPr>
          <w:rFonts w:ascii="Arial" w:cs="Arial" w:eastAsia="Arial" w:hAnsi="Arial"/>
          <w:sz w:val="18"/>
          <w:szCs w:val="18"/>
          <w:color w:val="auto"/>
        </w:rPr>
      </w:pPr>
    </w:p>
    <w:p>
      <w:pPr>
        <w:ind w:left="880" w:hanging="440"/>
        <w:spacing w:after="0" w:line="274" w:lineRule="auto"/>
        <w:tabs>
          <w:tab w:leader="none" w:pos="880" w:val="left"/>
        </w:tabs>
        <w:numPr>
          <w:ilvl w:val="0"/>
          <w:numId w:val="1"/>
        </w:numPr>
        <w:rPr>
          <w:rFonts w:ascii="Arial" w:cs="Arial" w:eastAsia="Arial" w:hAnsi="Arial"/>
          <w:sz w:val="17"/>
          <w:szCs w:val="17"/>
          <w:color w:val="auto"/>
        </w:rPr>
      </w:pPr>
      <w:r>
        <w:rPr>
          <w:rFonts w:ascii="Arial" w:cs="Arial" w:eastAsia="Arial" w:hAnsi="Arial"/>
          <w:sz w:val="21"/>
          <w:szCs w:val="21"/>
          <w:color w:val="auto"/>
        </w:rPr>
        <w:t>Changes in our raw material and other operating costs (such as zinc, brass, aluminum, steel and energy costs) and our ability to pass those costs on to our customers or offset them with reductions in other operating costs,</w:t>
      </w:r>
    </w:p>
    <w:p>
      <w:pPr>
        <w:spacing w:after="0" w:line="42" w:lineRule="exact"/>
        <w:rPr>
          <w:rFonts w:ascii="Arial" w:cs="Arial" w:eastAsia="Arial" w:hAnsi="Arial"/>
          <w:sz w:val="17"/>
          <w:szCs w:val="17"/>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Price and product competition from low-cost manufacturing sources (such as China),</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The impact of pricing and production decisions,</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Customer and competitor strategies including substitute products,</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Uncertainties associated with the development of new products and product features,</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Future litigation,</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Our ability to protect or defend our intellectual property rights,</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Potential difficulties in integrating future acquisitions,</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Decisions to sell operating assets other than in the ordinary course of business,</w:t>
      </w:r>
    </w:p>
    <w:p>
      <w:pPr>
        <w:spacing w:after="0" w:line="98" w:lineRule="exact"/>
        <w:rPr>
          <w:rFonts w:ascii="Arial" w:cs="Arial" w:eastAsia="Arial" w:hAnsi="Arial"/>
          <w:sz w:val="18"/>
          <w:szCs w:val="18"/>
          <w:color w:val="auto"/>
        </w:rPr>
      </w:pPr>
    </w:p>
    <w:p>
      <w:pPr>
        <w:ind w:left="880" w:hanging="440"/>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9"/>
          <w:szCs w:val="19"/>
          <w:color w:val="auto"/>
        </w:rPr>
        <w:t>Environmental matters (such as those requiring emission and discharge standards for existing and new facilities),</w:t>
      </w:r>
    </w:p>
    <w:p>
      <w:pPr>
        <w:spacing w:after="0" w:line="132" w:lineRule="exact"/>
        <w:rPr>
          <w:rFonts w:ascii="Arial" w:cs="Arial" w:eastAsia="Arial" w:hAnsi="Arial"/>
          <w:sz w:val="16"/>
          <w:szCs w:val="16"/>
          <w:color w:val="auto"/>
        </w:rPr>
      </w:pPr>
    </w:p>
    <w:p>
      <w:pPr>
        <w:ind w:left="880" w:hanging="440"/>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9"/>
          <w:szCs w:val="19"/>
          <w:color w:val="auto"/>
        </w:rPr>
        <w:t>The ultimate outcome of income tax audits, tax settlement initiatives or other tax matters, including future tax reform,</w:t>
      </w:r>
    </w:p>
    <w:p>
      <w:pPr>
        <w:spacing w:after="0" w:line="132" w:lineRule="exact"/>
        <w:rPr>
          <w:rFonts w:ascii="Arial" w:cs="Arial" w:eastAsia="Arial" w:hAnsi="Arial"/>
          <w:sz w:val="16"/>
          <w:szCs w:val="16"/>
          <w:color w:val="auto"/>
        </w:rPr>
      </w:pPr>
    </w:p>
    <w:p>
      <w:pPr>
        <w:ind w:left="880" w:hanging="440"/>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9"/>
          <w:szCs w:val="19"/>
          <w:color w:val="auto"/>
        </w:rPr>
        <w:t>The impact of current or future government regulations (including employee healthcare benefit related regulations),</w:t>
      </w:r>
    </w:p>
    <w:p>
      <w:pPr>
        <w:spacing w:after="0" w:line="132" w:lineRule="exact"/>
        <w:rPr>
          <w:rFonts w:ascii="Arial" w:cs="Arial" w:eastAsia="Arial" w:hAnsi="Arial"/>
          <w:sz w:val="16"/>
          <w:szCs w:val="16"/>
          <w:color w:val="auto"/>
        </w:rPr>
      </w:pPr>
    </w:p>
    <w:p>
      <w:pPr>
        <w:jc w:val="both"/>
        <w:ind w:left="880" w:hanging="440"/>
        <w:spacing w:after="0" w:line="238"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General global economic and political conditions that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76" w:lineRule="exact"/>
        <w:rPr>
          <w:rFonts w:ascii="Arial" w:cs="Arial" w:eastAsia="Arial" w:hAnsi="Arial"/>
          <w:sz w:val="18"/>
          <w:szCs w:val="18"/>
          <w:color w:val="auto"/>
        </w:rPr>
      </w:pPr>
    </w:p>
    <w:p>
      <w:pPr>
        <w:jc w:val="both"/>
        <w:ind w:left="880" w:hanging="440"/>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78" w:lineRule="exact"/>
        <w:rPr>
          <w:rFonts w:ascii="Arial" w:cs="Arial" w:eastAsia="Arial" w:hAnsi="Arial"/>
          <w:sz w:val="18"/>
          <w:szCs w:val="18"/>
          <w:color w:val="auto"/>
        </w:rPr>
      </w:pPr>
    </w:p>
    <w:p>
      <w:pPr>
        <w:ind w:left="880" w:hanging="440"/>
        <w:spacing w:after="0" w:line="250"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22"/>
          <w:szCs w:val="22"/>
          <w:color w:val="auto"/>
        </w:rPr>
        <w:t>Possible disruption of our business or increases in the cost of doing business resulting from terrorist activities or global conflicts.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Should one or more of these risks materialize or if the consequences worsen, or if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center"/>
        <w:ind w:right="420"/>
        <w:spacing w:after="0"/>
        <w:rPr>
          <w:sz w:val="20"/>
          <w:szCs w:val="20"/>
          <w:color w:val="auto"/>
        </w:rPr>
      </w:pPr>
      <w:r>
        <w:rPr>
          <w:rFonts w:ascii="Arial" w:cs="Arial" w:eastAsia="Arial" w:hAnsi="Arial"/>
          <w:sz w:val="25"/>
          <w:szCs w:val="25"/>
          <w:b w:val="1"/>
          <w:bCs w:val="1"/>
          <w:color w:val="auto"/>
        </w:rPr>
        <w:t>COMPX INTERNATIONAL INC.</w:t>
      </w:r>
    </w:p>
    <w:p>
      <w:pPr>
        <w:spacing w:after="0" w:line="19"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SUMMARY OF CONSOLIDATED OPERATIONS</w:t>
      </w:r>
    </w:p>
    <w:p>
      <w:pPr>
        <w:jc w:val="center"/>
        <w:ind w:right="420"/>
        <w:spacing w:after="0"/>
        <w:rPr>
          <w:sz w:val="20"/>
          <w:szCs w:val="20"/>
          <w:color w:val="auto"/>
        </w:rPr>
      </w:pPr>
      <w:r>
        <w:rPr>
          <w:rFonts w:ascii="Arial" w:cs="Arial" w:eastAsia="Arial" w:hAnsi="Arial"/>
          <w:sz w:val="22"/>
          <w:szCs w:val="22"/>
          <w:b w:val="1"/>
          <w:bCs w:val="1"/>
          <w:color w:val="auto"/>
        </w:rPr>
        <w:t>(In millions, except per share amounts)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18"/>
                <w:szCs w:val="18"/>
                <w:color w:val="auto"/>
              </w:rPr>
            </w:pPr>
          </w:p>
        </w:tc>
        <w:tc>
          <w:tcPr>
            <w:tcW w:w="1400" w:type="dxa"/>
            <w:vAlign w:val="bottom"/>
            <w:gridSpan w:val="3"/>
          </w:tcPr>
          <w:p>
            <w:pPr>
              <w:jc w:val="center"/>
              <w:ind w:left="396"/>
              <w:spacing w:after="0"/>
              <w:rPr>
                <w:sz w:val="20"/>
                <w:szCs w:val="20"/>
                <w:color w:val="auto"/>
              </w:rPr>
            </w:pPr>
            <w:r>
              <w:rPr>
                <w:rFonts w:ascii="Arial" w:cs="Arial" w:eastAsia="Arial" w:hAnsi="Arial"/>
                <w:sz w:val="18"/>
                <w:szCs w:val="18"/>
                <w:b w:val="1"/>
                <w:bCs w:val="1"/>
                <w:color w:val="auto"/>
                <w:w w:val="88"/>
              </w:rPr>
              <w:t>Year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20"/>
                <w:szCs w:val="20"/>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center"/>
              <w:ind w:right="440"/>
              <w:spacing w:after="0"/>
              <w:rPr>
                <w:sz w:val="20"/>
                <w:szCs w:val="20"/>
                <w:color w:val="auto"/>
              </w:rPr>
            </w:pPr>
            <w:r>
              <w:rPr>
                <w:rFonts w:ascii="Arial" w:cs="Arial" w:eastAsia="Arial" w:hAnsi="Arial"/>
                <w:sz w:val="22"/>
                <w:szCs w:val="22"/>
                <w:b w:val="1"/>
                <w:bCs w:val="1"/>
                <w:color w:val="auto"/>
                <w:w w:val="91"/>
              </w:rPr>
              <w:t>(Unaudited)</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440" w:type="dxa"/>
            <w:vAlign w:val="bottom"/>
          </w:tcPr>
          <w:p>
            <w:pPr>
              <w:spacing w:after="0"/>
              <w:rPr>
                <w:sz w:val="15"/>
                <w:szCs w:val="15"/>
                <w:color w:val="auto"/>
              </w:rPr>
            </w:pPr>
          </w:p>
        </w:tc>
        <w:tc>
          <w:tcPr>
            <w:tcW w:w="15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1540" w:type="dxa"/>
            <w:vAlign w:val="bottom"/>
            <w:gridSpan w:val="2"/>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106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34.1</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106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114.5</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8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140.8</w:t>
            </w:r>
          </w:p>
        </w:tc>
        <w:tc>
          <w:tcPr>
            <w:tcW w:w="0" w:type="dxa"/>
            <w:vAlign w:val="bottom"/>
          </w:tcPr>
          <w:p>
            <w:pPr>
              <w:spacing w:after="0"/>
              <w:rPr>
                <w:sz w:val="1"/>
                <w:szCs w:val="1"/>
                <w:color w:val="auto"/>
              </w:rPr>
            </w:pPr>
          </w:p>
        </w:tc>
      </w:tr>
      <w:tr>
        <w:trPr>
          <w:trHeight w:val="250"/>
        </w:trPr>
        <w:tc>
          <w:tcPr>
            <w:tcW w:w="4440" w:type="dxa"/>
            <w:vAlign w:val="bottom"/>
          </w:tcPr>
          <w:p>
            <w:pPr>
              <w:spacing w:after="0" w:line="243" w:lineRule="exact"/>
              <w:rPr>
                <w:sz w:val="20"/>
                <w:szCs w:val="20"/>
                <w:color w:val="auto"/>
              </w:rPr>
            </w:pPr>
            <w:r>
              <w:rPr>
                <w:rFonts w:ascii="Arial" w:cs="Arial" w:eastAsia="Arial" w:hAnsi="Arial"/>
                <w:sz w:val="22"/>
                <w:szCs w:val="22"/>
                <w:color w:val="auto"/>
              </w:rPr>
              <w:t>Cost of sales</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22.3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24.7</w:t>
            </w:r>
          </w:p>
        </w:tc>
        <w:tc>
          <w:tcPr>
            <w:tcW w:w="240" w:type="dxa"/>
            <w:vAlign w:val="bottom"/>
          </w:tcPr>
          <w:p>
            <w:pPr>
              <w:spacing w:after="0"/>
              <w:rPr>
                <w:sz w:val="21"/>
                <w:szCs w:val="21"/>
                <w:color w:val="auto"/>
              </w:rPr>
            </w:pPr>
          </w:p>
        </w:tc>
        <w:tc>
          <w:tcPr>
            <w:tcW w:w="106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81.7</w:t>
            </w:r>
          </w:p>
        </w:tc>
        <w:tc>
          <w:tcPr>
            <w:tcW w:w="34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98.1</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130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7.7</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9.4</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32.8</w:t>
            </w:r>
          </w:p>
        </w:tc>
        <w:tc>
          <w:tcPr>
            <w:tcW w:w="220" w:type="dxa"/>
            <w:vAlign w:val="bottom"/>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42.7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5.6</w:t>
            </w:r>
          </w:p>
        </w:tc>
        <w:tc>
          <w:tcPr>
            <w:tcW w:w="240" w:type="dxa"/>
            <w:vAlign w:val="bottom"/>
          </w:tcPr>
          <w:p>
            <w:pPr>
              <w:spacing w:after="0"/>
              <w:rPr>
                <w:sz w:val="21"/>
                <w:szCs w:val="21"/>
                <w:color w:val="auto"/>
              </w:rPr>
            </w:pPr>
          </w:p>
        </w:tc>
        <w:tc>
          <w:tcPr>
            <w:tcW w:w="106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21.0</w:t>
            </w:r>
          </w:p>
        </w:tc>
        <w:tc>
          <w:tcPr>
            <w:tcW w:w="34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22.2</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130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2.3</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3.8</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11.8</w:t>
            </w:r>
          </w:p>
        </w:tc>
        <w:tc>
          <w:tcPr>
            <w:tcW w:w="220" w:type="dxa"/>
            <w:vAlign w:val="bottom"/>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line="243" w:lineRule="exact"/>
              <w:rPr>
                <w:sz w:val="20"/>
                <w:szCs w:val="20"/>
                <w:color w:val="auto"/>
              </w:rPr>
            </w:pPr>
            <w:r>
              <w:rPr>
                <w:rFonts w:ascii="Arial" w:cs="Arial" w:eastAsia="Arial" w:hAnsi="Arial"/>
                <w:sz w:val="22"/>
                <w:szCs w:val="22"/>
                <w:color w:val="auto"/>
              </w:rPr>
              <w:t>Interest income</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0.4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0.3</w:t>
            </w:r>
          </w:p>
        </w:tc>
        <w:tc>
          <w:tcPr>
            <w:tcW w:w="240" w:type="dxa"/>
            <w:vAlign w:val="bottom"/>
          </w:tcPr>
          <w:p>
            <w:pPr>
              <w:spacing w:after="0"/>
              <w:rPr>
                <w:sz w:val="21"/>
                <w:szCs w:val="21"/>
                <w:color w:val="auto"/>
              </w:rPr>
            </w:pPr>
          </w:p>
        </w:tc>
        <w:tc>
          <w:tcPr>
            <w:tcW w:w="106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1.7</w:t>
            </w:r>
          </w:p>
        </w:tc>
        <w:tc>
          <w:tcPr>
            <w:tcW w:w="34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before taxes</w:t>
            </w:r>
          </w:p>
        </w:tc>
        <w:tc>
          <w:tcPr>
            <w:tcW w:w="130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2.7</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4.1</w:t>
            </w:r>
          </w:p>
        </w:tc>
        <w:tc>
          <w:tcPr>
            <w:tcW w:w="2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13.5</w:t>
            </w:r>
          </w:p>
        </w:tc>
        <w:tc>
          <w:tcPr>
            <w:tcW w:w="220" w:type="dxa"/>
            <w:vAlign w:val="bottom"/>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21.7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line="243" w:lineRule="exact"/>
              <w:rPr>
                <w:sz w:val="20"/>
                <w:szCs w:val="20"/>
                <w:color w:val="auto"/>
              </w:rPr>
            </w:pPr>
            <w:r>
              <w:rPr>
                <w:rFonts w:ascii="Arial" w:cs="Arial" w:eastAsia="Arial" w:hAnsi="Arial"/>
                <w:sz w:val="22"/>
                <w:szCs w:val="22"/>
                <w:color w:val="auto"/>
              </w:rPr>
              <w:t>Provision for income taxes</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0.4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0.9</w:t>
            </w:r>
          </w:p>
        </w:tc>
        <w:tc>
          <w:tcPr>
            <w:tcW w:w="240" w:type="dxa"/>
            <w:vAlign w:val="bottom"/>
          </w:tcPr>
          <w:p>
            <w:pPr>
              <w:spacing w:after="0"/>
              <w:rPr>
                <w:sz w:val="21"/>
                <w:szCs w:val="21"/>
                <w:color w:val="auto"/>
              </w:rPr>
            </w:pPr>
          </w:p>
        </w:tc>
        <w:tc>
          <w:tcPr>
            <w:tcW w:w="106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3.2</w:t>
            </w:r>
          </w:p>
        </w:tc>
        <w:tc>
          <w:tcPr>
            <w:tcW w:w="34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83"/>
        </w:trPr>
        <w:tc>
          <w:tcPr>
            <w:tcW w:w="444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22"/>
                <w:szCs w:val="22"/>
                <w:color w:val="auto"/>
              </w:rPr>
              <w:t>Net income</w:t>
            </w:r>
          </w:p>
        </w:tc>
        <w:tc>
          <w:tcPr>
            <w:tcW w:w="13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2.3</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8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3.2</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8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10.3</w:t>
            </w: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7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16.6</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spacing w:after="0" w:line="243" w:lineRule="exact"/>
              <w:rPr>
                <w:sz w:val="20"/>
                <w:szCs w:val="20"/>
                <w:color w:val="auto"/>
              </w:rPr>
            </w:pPr>
            <w:r>
              <w:rPr>
                <w:rFonts w:ascii="Arial" w:cs="Arial" w:eastAsia="Arial" w:hAnsi="Arial"/>
                <w:sz w:val="22"/>
                <w:szCs w:val="22"/>
                <w:color w:val="auto"/>
              </w:rPr>
              <w:t>Basic and diluted net income</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440" w:type="dxa"/>
            <w:vAlign w:val="bottom"/>
            <w:shd w:val="clear" w:color="auto" w:fill="CCEEFF"/>
          </w:tcPr>
          <w:p>
            <w:pPr>
              <w:ind w:left="160"/>
              <w:spacing w:after="0" w:line="243" w:lineRule="exact"/>
              <w:rPr>
                <w:sz w:val="20"/>
                <w:szCs w:val="20"/>
                <w:color w:val="auto"/>
              </w:rPr>
            </w:pPr>
            <w:r>
              <w:rPr>
                <w:rFonts w:ascii="Arial" w:cs="Arial" w:eastAsia="Arial" w:hAnsi="Arial"/>
                <w:sz w:val="22"/>
                <w:szCs w:val="22"/>
                <w:color w:val="auto"/>
              </w:rPr>
              <w:t>per common share</w:t>
            </w:r>
          </w:p>
        </w:tc>
        <w:tc>
          <w:tcPr>
            <w:tcW w:w="1540" w:type="dxa"/>
            <w:vAlign w:val="bottom"/>
            <w:gridSpan w:val="2"/>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0.17</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106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0.25</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106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0.83</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8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Weighted average diluted common</w:t>
            </w: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60"/>
              <w:spacing w:after="0" w:line="243" w:lineRule="exact"/>
              <w:rPr>
                <w:sz w:val="20"/>
                <w:szCs w:val="20"/>
                <w:color w:val="auto"/>
              </w:rPr>
            </w:pPr>
            <w:r>
              <w:rPr>
                <w:rFonts w:ascii="Arial" w:cs="Arial" w:eastAsia="Arial" w:hAnsi="Arial"/>
                <w:sz w:val="22"/>
                <w:szCs w:val="22"/>
                <w:color w:val="auto"/>
              </w:rPr>
              <w:t>shares outstanding</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12.4</w:t>
            </w:r>
          </w:p>
        </w:tc>
        <w:tc>
          <w:tcPr>
            <w:tcW w:w="240" w:type="dxa"/>
            <w:vAlign w:val="bottom"/>
          </w:tcPr>
          <w:p>
            <w:pPr>
              <w:spacing w:after="0"/>
              <w:rPr>
                <w:sz w:val="21"/>
                <w:szCs w:val="21"/>
                <w:color w:val="auto"/>
              </w:rPr>
            </w:pPr>
          </w:p>
        </w:tc>
        <w:tc>
          <w:tcPr>
            <w:tcW w:w="106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12.4</w:t>
            </w:r>
          </w:p>
        </w:tc>
        <w:tc>
          <w:tcPr>
            <w:tcW w:w="34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00" w:type="dxa"/>
            <w:vAlign w:val="bottom"/>
            <w:vMerge w:val="restart"/>
          </w:tcPr>
          <w:p>
            <w:pPr>
              <w:jc w:val="right"/>
              <w:ind w:right="364"/>
              <w:spacing w:after="0"/>
              <w:rPr>
                <w:sz w:val="20"/>
                <w:szCs w:val="20"/>
                <w:color w:val="auto"/>
              </w:rPr>
            </w:pPr>
            <w:r>
              <w:rPr>
                <w:rFonts w:ascii="Arial" w:cs="Arial" w:eastAsia="Arial" w:hAnsi="Arial"/>
                <w:sz w:val="14"/>
                <w:szCs w:val="14"/>
                <w:color w:val="auto"/>
              </w:rPr>
              <w:t>-3-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5"/>
        </w:trPr>
        <w:tc>
          <w:tcPr>
            <w:tcW w:w="4440" w:type="dxa"/>
            <w:vAlign w:val="bottom"/>
          </w:tcPr>
          <w:p>
            <w:pPr>
              <w:spacing w:after="0"/>
              <w:rPr>
                <w:sz w:val="23"/>
                <w:szCs w:val="23"/>
                <w:color w:val="auto"/>
              </w:rPr>
            </w:pPr>
          </w:p>
        </w:tc>
        <w:tc>
          <w:tcPr>
            <w:tcW w:w="13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740" w:top="36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3045460</wp:posOffset>
            </wp:positionH>
            <wp:positionV relativeFrom="page">
              <wp:posOffset>88900</wp:posOffset>
            </wp:positionV>
            <wp:extent cx="1457325"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11480"/>
                    </a:xfrm>
                    <a:prstGeom prst="rect">
                      <a:avLst/>
                    </a:prstGeom>
                    <a:noFill/>
                  </pic:spPr>
                </pic:pic>
              </a:graphicData>
            </a:graphic>
          </wp:anchor>
        </w:drawing>
        <w:t>PRESS RELEASE</w:t>
      </w:r>
    </w:p>
    <w:p>
      <w:pPr>
        <w:sectPr>
          <w:pgSz w:w="11900" w:h="16838" w:orient="portrait"/>
          <w:cols w:equalWidth="0" w:num="1">
            <w:col w:w="11240"/>
          </w:cols>
          <w:pgMar w:left="320" w:top="12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6060" w:space="720"/>
            <w:col w:w="4460"/>
          </w:cols>
          <w:pgMar w:left="320" w:top="1232"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238" w:lineRule="auto"/>
        <w:rPr>
          <w:sz w:val="20"/>
          <w:szCs w:val="20"/>
          <w:color w:val="auto"/>
        </w:rPr>
      </w:pPr>
      <w:r>
        <w:rPr>
          <w:rFonts w:ascii="Arial" w:cs="Arial" w:eastAsia="Arial" w:hAnsi="Arial"/>
          <w:sz w:val="22"/>
          <w:szCs w:val="22"/>
          <w:color w:val="auto"/>
        </w:rPr>
        <w:t>Three Lincoln Centre</w:t>
      </w: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477" w:lineRule="exact"/>
        <w:rPr>
          <w:sz w:val="20"/>
          <w:szCs w:val="20"/>
          <w:color w:val="auto"/>
        </w:rPr>
      </w:pPr>
    </w:p>
    <w:p>
      <w:pPr>
        <w:sectPr>
          <w:pgSz w:w="11900" w:h="16838" w:orient="portrait"/>
          <w:cols w:equalWidth="0" w:num="2">
            <w:col w:w="6060" w:space="720"/>
            <w:col w:w="4460"/>
          </w:cols>
          <w:pgMar w:left="320" w:top="1232" w:right="33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COMPX ANNOUNCES INCREASE IN QUARTERLY DIVIDEND</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DALLAS, TEXAS . . . March 2, 2022 . . . CompX International Inc. (NYSE American: CIX) announced today a $0.05 per share increase in its regular quarterly dividend. CompX’s board of directors has declared a regular quarterly dividend of twenty-five cents ($0.25) per share on its class A common stock, payable on March 22, 2022 to stockholders of record at the close of business on March 14, 2022.</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is a leading manufacturer of security products and recreational marine components.</w:t>
      </w:r>
    </w:p>
    <w:p>
      <w:pPr>
        <w:spacing w:after="0" w:line="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 * * *</w:t>
      </w:r>
    </w:p>
    <w:sectPr>
      <w:pgSz w:w="11900" w:h="16838" w:orient="portrait"/>
      <w:cols w:equalWidth="0" w:num="1">
        <w:col w:w="11240"/>
      </w:cols>
      <w:pgMar w:left="320" w:top="12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2022-03-02T15:27:22Z</dcterms:created>
  <dcterms:modified xsi:type="dcterms:W3CDTF">2022-03-02T15:27:22Z</dcterms:modified>
</cp:coreProperties>
</file>