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955"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CONTRAN CORP</w:t>
              </w:r>
            </w:hyperlink>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COMPX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CIX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20" w:type="dxa"/>
            <w:vAlign w:val="bottom"/>
          </w:tcPr>
          <w:p>
            <w:pPr>
              <w:ind w:left="5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5430 LBJ FRWY</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1700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75240-2620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3"/>
                <w:szCs w:val="13"/>
                <w:color w:val="auto"/>
              </w:rPr>
              <w:t>(State)</w:t>
            </w:r>
          </w:p>
        </w:tc>
        <w:tc>
          <w:tcPr>
            <w:tcW w:w="480" w:type="dxa"/>
            <w:vAlign w:val="bottom"/>
          </w:tcPr>
          <w:p>
            <w:pPr>
              <w:ind w:left="14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2"/>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5"/>
                <w:szCs w:val="15"/>
                <w:color w:val="auto"/>
              </w:rPr>
            </w:pPr>
          </w:p>
        </w:tc>
        <w:tc>
          <w:tcPr>
            <w:tcW w:w="134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13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06/01/2022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5,900</w:t>
            </w: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21.94</w:t>
            </w:r>
          </w:p>
        </w:tc>
        <w:tc>
          <w:tcPr>
            <w:tcW w:w="460" w:type="dxa"/>
            <w:vAlign w:val="bottom"/>
          </w:tcPr>
          <w:p>
            <w:pPr>
              <w:spacing w:after="0"/>
              <w:rPr>
                <w:sz w:val="21"/>
                <w:szCs w:val="21"/>
                <w:color w:val="auto"/>
              </w:rPr>
            </w:pPr>
          </w:p>
        </w:tc>
        <w:tc>
          <w:tcPr>
            <w:tcW w:w="740" w:type="dxa"/>
            <w:vAlign w:val="bottom"/>
            <w:vMerge w:val="restart"/>
          </w:tcPr>
          <w:p>
            <w:pPr>
              <w:jc w:val="center"/>
              <w:ind w:right="435"/>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13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06/01/2022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3,000</w:t>
            </w: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21.94</w:t>
            </w:r>
          </w:p>
        </w:tc>
        <w:tc>
          <w:tcPr>
            <w:tcW w:w="460" w:type="dxa"/>
            <w:vAlign w:val="bottom"/>
          </w:tcPr>
          <w:p>
            <w:pPr>
              <w:spacing w:after="0"/>
              <w:rPr>
                <w:sz w:val="21"/>
                <w:szCs w:val="21"/>
                <w:color w:val="auto"/>
              </w:rPr>
            </w:pPr>
          </w:p>
        </w:tc>
        <w:tc>
          <w:tcPr>
            <w:tcW w:w="740" w:type="dxa"/>
            <w:vAlign w:val="bottom"/>
            <w:vMerge w:val="restart"/>
          </w:tcPr>
          <w:p>
            <w:pPr>
              <w:jc w:val="center"/>
              <w:ind w:right="435"/>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Kronos</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Borders>
              <w:bottom w:val="single" w:sz="8" w:color="2C2C2C"/>
            </w:tcBorders>
            <w:gridSpan w:val="2"/>
            <w:vMerge w:val="continue"/>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10,755,104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By NL</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gridSpan w:val="17"/>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228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CONTRAN CORP</w:t>
              </w:r>
            </w:hyperlink>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5430 LBJ FRWY</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1700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6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4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75240-2620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Simmons Lisa K</w:t>
              </w:r>
            </w:hyperlink>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5430 LBJ FREEWAY</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1700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6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4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75240-2620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KRONOS WORLDWIDE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340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40550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5430 LBJ FREEWAY</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1700</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75240-2620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Harold C. Simmons Family Trust No. 2</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5430 LBJ FREEWAY</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1700</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75240-2620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2022, the issuer, CompX International, Inc. ("CompX"), purchased 5,900 shares of its class A common stock, par value $0.01 per share, from Contran Corporation ("Contran") in a private transaction that was approved in advance by the independent directors of CompX. See Exhibit 99.1 to this statement for a description of the relationship of additional persons who may be deemed to have beneficially owned these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2022, the issuer, CompX, purchased 3,000 shares of its class A common stock, par value $0.01 per share, from Kronos Worldwide, Inc. ("Kronos") in a private transaction that was approved in advance by the independent directors of CompX and Kronos. See Exhibit 99.1 to this statement for a description of the relationship of additional persons who may be deemed to have beneficially owned these shares.</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Directly held by NL Industries, Inc. ("NL"). See Exhibit 99.1 to this statement for a description of the relationship of additional persons who may be deemed to beneficially own these shares.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Index 99.1 Additional Information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Andrew B. Nace,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0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Vice President of Contran</w:t>
      </w:r>
      <w:r>
        <w:rPr>
          <w:sz w:val="20"/>
          <w:szCs w:val="20"/>
          <w:color w:val="auto"/>
        </w:rPr>
        <w:tab/>
      </w:r>
      <w:r>
        <w:rPr>
          <w:rFonts w:ascii="Times New Roman" w:cs="Times New Roman" w:eastAsia="Times New Roman" w:hAnsi="Times New Roman"/>
          <w:sz w:val="17"/>
          <w:szCs w:val="17"/>
          <w:color w:val="0000FF"/>
        </w:rPr>
        <w:t>06/01/2022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31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Andrew B. Nace,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Vice President of Kronos</w:t>
      </w:r>
      <w:r>
        <w:rPr>
          <w:sz w:val="20"/>
          <w:szCs w:val="20"/>
          <w:color w:val="auto"/>
        </w:rPr>
        <w:tab/>
      </w:r>
      <w:r>
        <w:rPr>
          <w:rFonts w:ascii="Times New Roman" w:cs="Times New Roman" w:eastAsia="Times New Roman" w:hAnsi="Times New Roman"/>
          <w:sz w:val="17"/>
          <w:szCs w:val="17"/>
          <w:color w:val="0000FF"/>
        </w:rPr>
        <w:t>06/01/2022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8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Andrew B. Nace, Attorney-in- </w:t>
      </w:r>
      <w:r>
        <w:rPr>
          <w:rFonts w:ascii="Times New Roman" w:cs="Times New Roman" w:eastAsia="Times New Roman" w:hAnsi="Times New Roman"/>
          <w:sz w:val="33"/>
          <w:szCs w:val="33"/>
          <w:color w:val="0000FF"/>
          <w:vertAlign w:val="subscript"/>
        </w:rPr>
        <w:t>06/01/2022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41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15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150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0840"/>
          </w:cols>
          <w:pgMar w:left="500" w:top="111" w:right="55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0000FF"/>
        </w:rPr>
        <w:t>Ashley Tarleton, AVP &amp;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2540</wp:posOffset>
            </wp:positionV>
            <wp:extent cx="133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2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Tolleson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85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Bank, not in its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capacity but solely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2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 the Harold C.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7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Family Trust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9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100"/>
          </w:cols>
          <w:pgMar w:left="500" w:top="111"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11" w:right="559" w:bottom="1440" w:gutter="0" w:footer="0" w:header="0"/>
          <w:type w:val="continuous"/>
        </w:sectPr>
      </w:pPr>
    </w:p>
    <w:bookmarkStart w:id="2" w:name="page3"/>
    <w:bookmarkEnd w:id="2"/>
    <w:p>
      <w:pPr>
        <w:ind w:left="120"/>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right="2299" w:firstLine="624"/>
        <w:spacing w:after="0" w:line="280" w:lineRule="auto"/>
        <w:rPr>
          <w:sz w:val="20"/>
          <w:szCs w:val="20"/>
          <w:color w:val="auto"/>
        </w:rPr>
      </w:pPr>
      <w:r>
        <w:rPr>
          <w:rFonts w:ascii="Courier New" w:cs="Courier New" w:eastAsia="Courier New" w:hAnsi="Courier New"/>
          <w:sz w:val="17"/>
          <w:szCs w:val="17"/>
          <w:color w:val="auto"/>
        </w:rPr>
        <w:t>The following is a description of the relationships among the Reporting Persons and certain related entities or persons that may be deemed to beneficially own shares of the class A common stock, par value $0.01 per share (the "Class A Shares"), of the issuer, CompX International Inc. ("CompX").</w:t>
      </w:r>
    </w:p>
    <w:p>
      <w:pPr>
        <w:spacing w:after="0" w:line="76" w:lineRule="exact"/>
        <w:rPr>
          <w:sz w:val="20"/>
          <w:szCs w:val="20"/>
          <w:color w:val="auto"/>
        </w:rPr>
      </w:pPr>
    </w:p>
    <w:p>
      <w:pPr>
        <w:ind w:right="2199" w:firstLine="832"/>
        <w:spacing w:after="0" w:line="261" w:lineRule="auto"/>
        <w:rPr>
          <w:sz w:val="20"/>
          <w:szCs w:val="20"/>
          <w:color w:val="auto"/>
        </w:rPr>
      </w:pPr>
      <w:r>
        <w:rPr>
          <w:rFonts w:ascii="Courier New" w:cs="Courier New" w:eastAsia="Courier New" w:hAnsi="Courier New"/>
          <w:sz w:val="17"/>
          <w:szCs w:val="17"/>
          <w:color w:val="auto"/>
        </w:rPr>
        <w:t>A majority of the outstanding voting stock of Contran Corporation ("Contran")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pursuant to the terms of a stockholders agreement (the "Contran Stockholders Agreement") he is required to vote the shares of Contran voting stock held in such trusts in the same manner as Ms. Simmons. Such voting rights of Ms. Simmons last through April 22, 2030 and are personal to Ms. Simmons.</w:t>
      </w:r>
    </w:p>
    <w:p>
      <w:pPr>
        <w:spacing w:after="0" w:line="95" w:lineRule="exact"/>
        <w:rPr>
          <w:sz w:val="20"/>
          <w:szCs w:val="20"/>
          <w:color w:val="auto"/>
        </w:rPr>
      </w:pPr>
    </w:p>
    <w:p>
      <w:pPr>
        <w:ind w:right="2299" w:firstLine="832"/>
        <w:spacing w:after="0" w:line="280" w:lineRule="auto"/>
        <w:rPr>
          <w:sz w:val="20"/>
          <w:szCs w:val="20"/>
          <w:color w:val="auto"/>
        </w:rPr>
      </w:pPr>
      <w:r>
        <w:rPr>
          <w:rFonts w:ascii="Courier New" w:cs="Courier New" w:eastAsia="Courier New" w:hAnsi="Courier New"/>
          <w:sz w:val="17"/>
          <w:szCs w:val="17"/>
          <w:color w:val="auto"/>
        </w:rPr>
        <w:t>The remainder of Contran's outstanding voting stock is held by the Harold C. Simmons Family Trust No 2 (the "Family Trust"), which was established for the benefit of Ms. Simmons and her late sister and their children and for which for which Tolleson Private Bank serves as trustee (the "Trustee").</w:t>
      </w:r>
    </w:p>
    <w:p>
      <w:pPr>
        <w:spacing w:after="0" w:line="76" w:lineRule="exact"/>
        <w:rPr>
          <w:sz w:val="20"/>
          <w:szCs w:val="20"/>
          <w:color w:val="auto"/>
        </w:rPr>
      </w:pPr>
    </w:p>
    <w:p>
      <w:pPr>
        <w:ind w:right="2299" w:firstLine="624"/>
        <w:spacing w:after="0" w:line="252" w:lineRule="auto"/>
        <w:rPr>
          <w:sz w:val="20"/>
          <w:szCs w:val="20"/>
          <w:color w:val="auto"/>
        </w:rPr>
      </w:pPr>
      <w:r>
        <w:rPr>
          <w:rFonts w:ascii="Courier New" w:cs="Courier New" w:eastAsia="Courier New" w:hAnsi="Courier New"/>
          <w:sz w:val="17"/>
          <w:szCs w:val="17"/>
          <w:color w:val="auto"/>
        </w:rPr>
        <w:t>Ms. Simmons serves as chair of the Contran board of directors (the "Contran Board"), and one other member of Contran management also serves on the Contran Board. The Trustee of the Family Trust has the power to vote the shares of Contran stock held by the Family Trust and to direct the disposition of such shares subject to certain right-of-first-refusal limitations and restrictions as set forth in the Contran Stockholders Agreement. Ms. Simmons has the power to vote the shares of Contran stock she holds directly or indirectly (for the shares of Contran stock held by the Other Trusts for which she serves as trustee), and by virtue of the Contran Stockholders Agreement has the power to vote the shares of Contran stock held by the Other Trusts for which she does not serve as trustee.</w:t>
      </w:r>
    </w:p>
    <w:p>
      <w:pPr>
        <w:spacing w:after="0" w:line="6"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7"/>
          <w:szCs w:val="17"/>
          <w:color w:val="auto"/>
        </w:rPr>
        <w:t>Ms. Simmons has the power to direct the disposition of the shares of Contran stock she holds directly or indirectly (for the shares of Contran stock held by the Other Trusts for which she serves as trustee) subject to certain right-of-first-refusal limitations and restrictions as set forth in the Contran Stockholders Agreement.</w:t>
      </w:r>
    </w:p>
    <w:p>
      <w:pPr>
        <w:spacing w:after="0" w:line="84" w:lineRule="exact"/>
        <w:rPr>
          <w:sz w:val="20"/>
          <w:szCs w:val="20"/>
          <w:color w:val="auto"/>
        </w:rPr>
      </w:pPr>
    </w:p>
    <w:p>
      <w:pPr>
        <w:ind w:right="2299" w:firstLine="624"/>
        <w:spacing w:after="0" w:line="373" w:lineRule="auto"/>
        <w:rPr>
          <w:sz w:val="20"/>
          <w:szCs w:val="20"/>
          <w:color w:val="auto"/>
        </w:rPr>
      </w:pPr>
      <w:r>
        <w:rPr>
          <w:rFonts w:ascii="Courier New" w:cs="Courier New" w:eastAsia="Courier New" w:hAnsi="Courier New"/>
          <w:sz w:val="17"/>
          <w:szCs w:val="17"/>
          <w:color w:val="auto"/>
        </w:rPr>
        <w:t>Contran is the holder of the sole membership interest of Dixie Rice AgriculturalL.L.C. ("Dixie Rice") and may be deemed to control Dixie 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00" w:type="dxa"/>
            <w:vAlign w:val="bottom"/>
            <w:gridSpan w:val="3"/>
          </w:tcPr>
          <w:p>
            <w:pPr>
              <w:ind w:left="640"/>
              <w:spacing w:after="0"/>
              <w:rPr>
                <w:sz w:val="20"/>
                <w:szCs w:val="20"/>
                <w:color w:val="auto"/>
              </w:rPr>
            </w:pPr>
            <w:r>
              <w:rPr>
                <w:rFonts w:ascii="Courier New" w:cs="Courier New" w:eastAsia="Courier New" w:hAnsi="Courier New"/>
                <w:sz w:val="17"/>
                <w:szCs w:val="17"/>
                <w:color w:val="auto"/>
              </w:rPr>
              <w:t>Ms. Simmons and the Family Trust directly hold, or are</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related</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Courier New" w:cs="Courier New" w:eastAsia="Courier New" w:hAnsi="Courier New"/>
                <w:sz w:val="17"/>
                <w:szCs w:val="17"/>
                <w:color w:val="auto"/>
              </w:rPr>
              <w:t>to the</w:t>
            </w:r>
          </w:p>
        </w:tc>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following persons or entities that directly hold, the</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following</w:t>
            </w:r>
          </w:p>
        </w:tc>
        <w:tc>
          <w:tcPr>
            <w:tcW w:w="0" w:type="dxa"/>
            <w:vAlign w:val="bottom"/>
          </w:tcPr>
          <w:p>
            <w:pPr>
              <w:spacing w:after="0"/>
              <w:rPr>
                <w:sz w:val="1"/>
                <w:szCs w:val="1"/>
                <w:color w:val="auto"/>
              </w:rPr>
            </w:pPr>
          </w:p>
        </w:tc>
      </w:tr>
      <w:tr>
        <w:trPr>
          <w:trHeight w:val="292"/>
        </w:trPr>
        <w:tc>
          <w:tcPr>
            <w:tcW w:w="5720" w:type="dxa"/>
            <w:vAlign w:val="bottom"/>
            <w:gridSpan w:val="2"/>
          </w:tcPr>
          <w:p>
            <w:pPr>
              <w:spacing w:after="0"/>
              <w:rPr>
                <w:sz w:val="20"/>
                <w:szCs w:val="20"/>
                <w:color w:val="auto"/>
              </w:rPr>
            </w:pPr>
            <w:r>
              <w:rPr>
                <w:rFonts w:ascii="Courier New" w:cs="Courier New" w:eastAsia="Courier New" w:hAnsi="Courier New"/>
                <w:sz w:val="17"/>
                <w:szCs w:val="17"/>
                <w:color w:val="auto"/>
              </w:rPr>
              <w:t>percentages of the outstanding Class A Shares: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300" w:type="dxa"/>
            <w:vAlign w:val="bottom"/>
            <w:gridSpan w:val="3"/>
          </w:tcPr>
          <w:p>
            <w:pPr>
              <w:spacing w:after="0"/>
              <w:rPr>
                <w:sz w:val="20"/>
                <w:szCs w:val="20"/>
                <w:color w:val="auto"/>
              </w:rPr>
            </w:pPr>
            <w:r>
              <w:rPr>
                <w:rFonts w:ascii="Courier New" w:cs="Courier New" w:eastAsia="Courier New" w:hAnsi="Courier New"/>
                <w:sz w:val="17"/>
                <w:szCs w:val="17"/>
                <w:color w:val="auto"/>
                <w:w w:val="99"/>
              </w:rPr>
              <w:t>NL Industries, Inc. ("NL")....................................</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86.9%</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Courier New" w:cs="Courier New" w:eastAsia="Courier New" w:hAnsi="Courier New"/>
                <w:sz w:val="17"/>
                <w:szCs w:val="17"/>
                <w:color w:val="auto"/>
              </w:rPr>
              <w:t>Contran</w:t>
            </w:r>
          </w:p>
        </w:tc>
        <w:tc>
          <w:tcPr>
            <w:tcW w:w="4980" w:type="dxa"/>
            <w:vAlign w:val="bottom"/>
            <w:vMerge w:val="restart"/>
          </w:tcPr>
          <w:p>
            <w:pPr>
              <w:spacing w:after="0"/>
              <w:rPr>
                <w:sz w:val="20"/>
                <w:szCs w:val="20"/>
                <w:color w:val="auto"/>
              </w:rPr>
            </w:pPr>
            <w:r>
              <w:rPr>
                <w:rFonts w:ascii="Courier New" w:cs="Courier New" w:eastAsia="Courier New" w:hAnsi="Courier New"/>
                <w:sz w:val="20"/>
                <w:szCs w:val="20"/>
                <w:color w:val="auto"/>
                <w:w w:val="70"/>
                <w:vertAlign w:val="subscript"/>
              </w:rPr>
              <w:t>Worldwide,</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Inc.("KronosWorldwide")............</w:t>
            </w:r>
          </w:p>
        </w:tc>
        <w:tc>
          <w:tcPr>
            <w:tcW w:w="15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Less than 1%</w:t>
            </w:r>
          </w:p>
        </w:tc>
        <w:tc>
          <w:tcPr>
            <w:tcW w:w="0" w:type="dxa"/>
            <w:vAlign w:val="bottom"/>
          </w:tcPr>
          <w:p>
            <w:pPr>
              <w:spacing w:after="0"/>
              <w:rPr>
                <w:sz w:val="1"/>
                <w:szCs w:val="1"/>
                <w:color w:val="auto"/>
              </w:rPr>
            </w:pPr>
          </w:p>
        </w:tc>
      </w:tr>
      <w:tr>
        <w:trPr>
          <w:trHeight w:val="309"/>
        </w:trPr>
        <w:tc>
          <w:tcPr>
            <w:tcW w:w="740" w:type="dxa"/>
            <w:vAlign w:val="bottom"/>
          </w:tcPr>
          <w:p>
            <w:pPr>
              <w:spacing w:after="0"/>
              <w:rPr>
                <w:sz w:val="20"/>
                <w:szCs w:val="20"/>
                <w:color w:val="auto"/>
              </w:rPr>
            </w:pPr>
            <w:r>
              <w:rPr>
                <w:rFonts w:ascii="Courier New" w:cs="Courier New" w:eastAsia="Courier New" w:hAnsi="Courier New"/>
                <w:sz w:val="17"/>
                <w:szCs w:val="17"/>
                <w:color w:val="auto"/>
              </w:rPr>
              <w:t>Kronos</w:t>
            </w:r>
          </w:p>
        </w:tc>
        <w:tc>
          <w:tcPr>
            <w:tcW w:w="4980" w:type="dxa"/>
            <w:vAlign w:val="bottom"/>
            <w:vMerge w:val="continue"/>
          </w:tcPr>
          <w:p>
            <w:pPr>
              <w:spacing w:after="0"/>
              <w:rPr>
                <w:sz w:val="24"/>
                <w:szCs w:val="24"/>
                <w:color w:val="auto"/>
              </w:rPr>
            </w:pPr>
          </w:p>
        </w:tc>
        <w:tc>
          <w:tcPr>
            <w:tcW w:w="15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Less than 1%</w:t>
            </w:r>
          </w:p>
        </w:tc>
        <w:tc>
          <w:tcPr>
            <w:tcW w:w="0" w:type="dxa"/>
            <w:vAlign w:val="bottom"/>
          </w:tcPr>
          <w:p>
            <w:pPr>
              <w:spacing w:after="0"/>
              <w:rPr>
                <w:sz w:val="1"/>
                <w:szCs w:val="1"/>
                <w:color w:val="auto"/>
              </w:rPr>
            </w:pPr>
          </w:p>
        </w:tc>
      </w:tr>
      <w:tr>
        <w:trPr>
          <w:trHeight w:val="491"/>
        </w:trPr>
        <w:tc>
          <w:tcPr>
            <w:tcW w:w="6300" w:type="dxa"/>
            <w:vAlign w:val="bottom"/>
            <w:gridSpan w:val="3"/>
          </w:tcPr>
          <w:p>
            <w:pPr>
              <w:ind w:left="640"/>
              <w:spacing w:after="0"/>
              <w:rPr>
                <w:sz w:val="20"/>
                <w:szCs w:val="20"/>
                <w:color w:val="auto"/>
              </w:rPr>
            </w:pPr>
            <w:r>
              <w:rPr>
                <w:rFonts w:ascii="Courier New" w:cs="Courier New" w:eastAsia="Courier New" w:hAnsi="Courier New"/>
                <w:sz w:val="17"/>
                <w:szCs w:val="17"/>
                <w:color w:val="auto"/>
              </w:rPr>
              <w:t>Ms. Simmons and the Family Trust directly hold, or are</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related</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Courier New" w:cs="Courier New" w:eastAsia="Courier New" w:hAnsi="Courier New"/>
                <w:sz w:val="17"/>
                <w:szCs w:val="17"/>
                <w:color w:val="auto"/>
              </w:rPr>
              <w:t>to the</w:t>
            </w:r>
          </w:p>
        </w:tc>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following persons or entities that directly hold, the</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following</w:t>
            </w:r>
          </w:p>
        </w:tc>
        <w:tc>
          <w:tcPr>
            <w:tcW w:w="0" w:type="dxa"/>
            <w:vAlign w:val="bottom"/>
          </w:tcPr>
          <w:p>
            <w:pPr>
              <w:spacing w:after="0"/>
              <w:rPr>
                <w:sz w:val="1"/>
                <w:szCs w:val="1"/>
                <w:color w:val="auto"/>
              </w:rPr>
            </w:pPr>
          </w:p>
        </w:tc>
      </w:tr>
      <w:tr>
        <w:trPr>
          <w:trHeight w:val="292"/>
        </w:trPr>
        <w:tc>
          <w:tcPr>
            <w:tcW w:w="6300" w:type="dxa"/>
            <w:vAlign w:val="bottom"/>
            <w:gridSpan w:val="3"/>
          </w:tcPr>
          <w:p>
            <w:pPr>
              <w:spacing w:after="0"/>
              <w:rPr>
                <w:sz w:val="20"/>
                <w:szCs w:val="20"/>
                <w:color w:val="auto"/>
              </w:rPr>
            </w:pPr>
            <w:r>
              <w:rPr>
                <w:rFonts w:ascii="Courier New" w:cs="Courier New" w:eastAsia="Courier New" w:hAnsi="Courier New"/>
                <w:sz w:val="17"/>
                <w:szCs w:val="17"/>
                <w:color w:val="auto"/>
              </w:rPr>
              <w:t>percentages of the outstanding shares of NL common stock:</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0"/>
                <w:szCs w:val="20"/>
                <w:color w:val="auto"/>
              </w:rPr>
            </w:pPr>
            <w:r>
              <w:rPr>
                <w:rFonts w:ascii="Courier New" w:cs="Courier New" w:eastAsia="Courier New" w:hAnsi="Courier New"/>
                <w:sz w:val="17"/>
                <w:szCs w:val="17"/>
                <w:color w:val="auto"/>
              </w:rPr>
              <w:t>Valhi,</w:t>
            </w:r>
          </w:p>
        </w:tc>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w w:val="98"/>
              </w:rPr>
              <w:t>Inc. ("Valhi").........................................</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82.8%</w:t>
            </w:r>
          </w:p>
        </w:tc>
        <w:tc>
          <w:tcPr>
            <w:tcW w:w="0" w:type="dxa"/>
            <w:vAlign w:val="bottom"/>
          </w:tcPr>
          <w:p>
            <w:pPr>
              <w:spacing w:after="0"/>
              <w:rPr>
                <w:sz w:val="1"/>
                <w:szCs w:val="1"/>
                <w:color w:val="auto"/>
              </w:rPr>
            </w:pPr>
          </w:p>
        </w:tc>
      </w:tr>
      <w:tr>
        <w:trPr>
          <w:trHeight w:val="292"/>
        </w:trPr>
        <w:tc>
          <w:tcPr>
            <w:tcW w:w="740" w:type="dxa"/>
            <w:vAlign w:val="bottom"/>
          </w:tcPr>
          <w:p>
            <w:pPr>
              <w:spacing w:after="0"/>
              <w:rPr>
                <w:sz w:val="20"/>
                <w:szCs w:val="20"/>
                <w:color w:val="auto"/>
              </w:rPr>
            </w:pPr>
            <w:r>
              <w:rPr>
                <w:rFonts w:ascii="Courier New" w:cs="Courier New" w:eastAsia="Courier New" w:hAnsi="Courier New"/>
                <w:sz w:val="17"/>
                <w:szCs w:val="17"/>
                <w:color w:val="auto"/>
              </w:rPr>
              <w:t>Kronos</w:t>
            </w:r>
          </w:p>
        </w:tc>
        <w:tc>
          <w:tcPr>
            <w:tcW w:w="4980" w:type="dxa"/>
            <w:vAlign w:val="bottom"/>
          </w:tcPr>
          <w:p>
            <w:pPr>
              <w:spacing w:after="0"/>
              <w:rPr>
                <w:sz w:val="20"/>
                <w:szCs w:val="20"/>
                <w:color w:val="auto"/>
              </w:rPr>
            </w:pPr>
            <w:r>
              <w:rPr>
                <w:rFonts w:ascii="Courier New" w:cs="Courier New" w:eastAsia="Courier New" w:hAnsi="Courier New"/>
                <w:sz w:val="17"/>
                <w:szCs w:val="17"/>
                <w:color w:val="auto"/>
              </w:rPr>
              <w:t>Worldwide.......................................</w:t>
            </w:r>
          </w:p>
        </w:tc>
        <w:tc>
          <w:tcPr>
            <w:tcW w:w="15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Less than 1%</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Together, Valhi and Kronos Worldwide may be deemed to control NL.</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Ms. Simmons and the Family Trust directly hold, or are related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spacing w:after="0"/>
              <w:rPr>
                <w:sz w:val="20"/>
                <w:szCs w:val="20"/>
                <w:color w:val="auto"/>
              </w:rPr>
            </w:pPr>
            <w:r>
              <w:rPr>
                <w:rFonts w:ascii="Courier New" w:cs="Courier New" w:eastAsia="Courier New" w:hAnsi="Courier New"/>
                <w:sz w:val="17"/>
                <w:szCs w:val="17"/>
                <w:color w:val="auto"/>
              </w:rPr>
              <w:t>to the following</w:t>
            </w:r>
          </w:p>
        </w:tc>
        <w:tc>
          <w:tcPr>
            <w:tcW w:w="5600" w:type="dxa"/>
            <w:vAlign w:val="bottom"/>
            <w:gridSpan w:val="3"/>
          </w:tcPr>
          <w:p>
            <w:pPr>
              <w:spacing w:after="0"/>
              <w:rPr>
                <w:sz w:val="20"/>
                <w:szCs w:val="20"/>
                <w:color w:val="auto"/>
              </w:rPr>
            </w:pPr>
            <w:r>
              <w:rPr>
                <w:rFonts w:ascii="Courier New" w:cs="Courier New" w:eastAsia="Courier New" w:hAnsi="Courier New"/>
                <w:sz w:val="17"/>
                <w:szCs w:val="17"/>
                <w:color w:val="auto"/>
              </w:rPr>
              <w:t>persons or entities that directly hold, the following</w:t>
            </w:r>
          </w:p>
        </w:tc>
        <w:tc>
          <w:tcPr>
            <w:tcW w:w="0" w:type="dxa"/>
            <w:vAlign w:val="bottom"/>
          </w:tcPr>
          <w:p>
            <w:pPr>
              <w:spacing w:after="0"/>
              <w:rPr>
                <w:sz w:val="1"/>
                <w:szCs w:val="1"/>
                <w:color w:val="auto"/>
              </w:rPr>
            </w:pPr>
          </w:p>
        </w:tc>
      </w:tr>
      <w:tr>
        <w:trPr>
          <w:trHeight w:val="292"/>
        </w:trPr>
        <w:tc>
          <w:tcPr>
            <w:tcW w:w="6720" w:type="dxa"/>
            <w:vAlign w:val="bottom"/>
            <w:gridSpan w:val="3"/>
          </w:tcPr>
          <w:p>
            <w:pPr>
              <w:spacing w:after="0"/>
              <w:rPr>
                <w:sz w:val="20"/>
                <w:szCs w:val="20"/>
                <w:color w:val="auto"/>
              </w:rPr>
            </w:pPr>
            <w:r>
              <w:rPr>
                <w:rFonts w:ascii="Courier New" w:cs="Courier New" w:eastAsia="Courier New" w:hAnsi="Courier New"/>
                <w:sz w:val="17"/>
                <w:szCs w:val="17"/>
                <w:color w:val="auto"/>
              </w:rPr>
              <w:t>percentages of the outstanding shares of Kronos Worldwide common</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stock:</w:t>
            </w:r>
          </w:p>
        </w:tc>
        <w:tc>
          <w:tcPr>
            <w:tcW w:w="0" w:type="dxa"/>
            <w:vAlign w:val="bottom"/>
          </w:tcPr>
          <w:p>
            <w:pPr>
              <w:spacing w:after="0"/>
              <w:rPr>
                <w:sz w:val="1"/>
                <w:szCs w:val="1"/>
                <w:color w:val="auto"/>
              </w:rPr>
            </w:pPr>
          </w:p>
        </w:tc>
      </w:tr>
      <w:tr>
        <w:trPr>
          <w:trHeight w:val="307"/>
        </w:trPr>
        <w:tc>
          <w:tcPr>
            <w:tcW w:w="1780" w:type="dxa"/>
            <w:vAlign w:val="bottom"/>
          </w:tcPr>
          <w:p>
            <w:pPr>
              <w:spacing w:after="0"/>
              <w:rPr>
                <w:sz w:val="20"/>
                <w:szCs w:val="20"/>
                <w:color w:val="auto"/>
              </w:rPr>
            </w:pPr>
            <w:r>
              <w:rPr>
                <w:rFonts w:ascii="Courier New" w:cs="Courier New" w:eastAsia="Courier New" w:hAnsi="Courier New"/>
                <w:sz w:val="6"/>
                <w:szCs w:val="6"/>
                <w:color w:val="auto"/>
                <w:w w:val="78"/>
              </w:rPr>
              <w:t>Valhi.........................................................</w:t>
            </w:r>
          </w:p>
        </w:tc>
        <w:tc>
          <w:tcPr>
            <w:tcW w:w="820" w:type="dxa"/>
            <w:vAlign w:val="bottom"/>
            <w:vMerge w:val="restart"/>
          </w:tcPr>
          <w:p>
            <w:pPr>
              <w:spacing w:after="0"/>
              <w:rPr>
                <w:sz w:val="20"/>
                <w:szCs w:val="20"/>
                <w:color w:val="auto"/>
              </w:rPr>
            </w:pPr>
            <w:r>
              <w:rPr>
                <w:rFonts w:ascii="Courier New" w:cs="Courier New" w:eastAsia="Courier New" w:hAnsi="Courier New"/>
                <w:sz w:val="17"/>
                <w:szCs w:val="17"/>
                <w:color w:val="auto"/>
                <w:w w:val="97"/>
              </w:rPr>
              <w:t>("NLKW")</w:t>
            </w:r>
          </w:p>
        </w:tc>
        <w:tc>
          <w:tcPr>
            <w:tcW w:w="478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50.2%</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20"/>
                <w:szCs w:val="20"/>
                <w:color w:val="auto"/>
              </w:rPr>
            </w:pPr>
            <w:r>
              <w:rPr>
                <w:rFonts w:ascii="Courier New" w:cs="Courier New" w:eastAsia="Courier New" w:hAnsi="Courier New"/>
                <w:sz w:val="17"/>
                <w:szCs w:val="17"/>
                <w:color w:val="auto"/>
              </w:rPr>
              <w:t>NLKW Holding LLC</w:t>
            </w:r>
          </w:p>
        </w:tc>
        <w:tc>
          <w:tcPr>
            <w:tcW w:w="820" w:type="dxa"/>
            <w:vAlign w:val="bottom"/>
            <w:vMerge w:val="continue"/>
          </w:tcPr>
          <w:p>
            <w:pPr>
              <w:spacing w:after="0"/>
              <w:rPr>
                <w:sz w:val="17"/>
                <w:szCs w:val="17"/>
                <w:color w:val="auto"/>
              </w:rPr>
            </w:pPr>
          </w:p>
        </w:tc>
        <w:tc>
          <w:tcPr>
            <w:tcW w:w="478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.....................................30.5%</w:t>
            </w:r>
          </w:p>
        </w:tc>
        <w:tc>
          <w:tcPr>
            <w:tcW w:w="0" w:type="dxa"/>
            <w:vAlign w:val="bottom"/>
          </w:tcPr>
          <w:p>
            <w:pPr>
              <w:spacing w:after="0"/>
              <w:rPr>
                <w:sz w:val="1"/>
                <w:szCs w:val="1"/>
                <w:color w:val="auto"/>
              </w:rPr>
            </w:pPr>
          </w:p>
        </w:tc>
      </w:tr>
      <w:tr>
        <w:trPr>
          <w:trHeight w:val="292"/>
        </w:trPr>
        <w:tc>
          <w:tcPr>
            <w:tcW w:w="2600" w:type="dxa"/>
            <w:vAlign w:val="bottom"/>
            <w:gridSpan w:val="2"/>
          </w:tcPr>
          <w:p>
            <w:pPr>
              <w:spacing w:after="0"/>
              <w:rPr>
                <w:sz w:val="20"/>
                <w:szCs w:val="20"/>
                <w:color w:val="auto"/>
              </w:rPr>
            </w:pPr>
            <w:r>
              <w:rPr>
                <w:rFonts w:ascii="Courier New" w:cs="Courier New" w:eastAsia="Courier New" w:hAnsi="Courier New"/>
                <w:sz w:val="11"/>
                <w:szCs w:val="11"/>
                <w:color w:val="auto"/>
                <w:w w:val="71"/>
              </w:rPr>
              <w:t>Contran................................................</w:t>
            </w:r>
          </w:p>
        </w:tc>
        <w:tc>
          <w:tcPr>
            <w:tcW w:w="4120" w:type="dxa"/>
            <w:vAlign w:val="bottom"/>
          </w:tcPr>
          <w:p>
            <w:pPr>
              <w:ind w:left="3120"/>
              <w:spacing w:after="0"/>
              <w:rPr>
                <w:sz w:val="20"/>
                <w:szCs w:val="20"/>
                <w:color w:val="auto"/>
              </w:rPr>
            </w:pPr>
            <w:r>
              <w:rPr>
                <w:rFonts w:ascii="Courier New" w:cs="Courier New" w:eastAsia="Courier New" w:hAnsi="Courier New"/>
                <w:sz w:val="17"/>
                <w:szCs w:val="17"/>
                <w:color w:val="auto"/>
              </w:rPr>
              <w:t>Less than</w:t>
            </w:r>
          </w:p>
        </w:tc>
        <w:tc>
          <w:tcPr>
            <w:tcW w:w="6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539"/>
        <w:spacing w:after="0" w:line="373" w:lineRule="auto"/>
        <w:rPr>
          <w:sz w:val="20"/>
          <w:szCs w:val="20"/>
          <w:color w:val="auto"/>
        </w:rPr>
      </w:pPr>
      <w:r>
        <w:rPr>
          <w:rFonts w:ascii="Courier New" w:cs="Courier New" w:eastAsia="Courier New" w:hAnsi="Courier New"/>
          <w:sz w:val="17"/>
          <w:szCs w:val="17"/>
          <w:color w:val="auto"/>
        </w:rPr>
        <w:t>Together, Valhi, NL (and its wholly owned subsidiary NLKW) and Contran may be deemed to control Kronos Worldwide.</w:t>
      </w:r>
    </w:p>
    <w:p>
      <w:pPr>
        <w:spacing w:after="0" w:line="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7"/>
          <w:szCs w:val="17"/>
          <w:color w:val="auto"/>
        </w:rPr>
        <w:t>Ms. Simmons and the Family Trust directly hold, or related</w:t>
      </w:r>
    </w:p>
    <w:p>
      <w:pPr>
        <w:spacing w:after="0" w:line="3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7"/>
          <w:szCs w:val="17"/>
          <w:color w:val="auto"/>
        </w:rPr>
        <w:t>to the following persons or entities that directly hold,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6460" w:type="dxa"/>
            <w:vAlign w:val="bottom"/>
          </w:tcPr>
          <w:p>
            <w:pPr>
              <w:spacing w:after="0"/>
              <w:rPr>
                <w:sz w:val="20"/>
                <w:szCs w:val="20"/>
                <w:color w:val="auto"/>
              </w:rPr>
            </w:pPr>
            <w:r>
              <w:rPr>
                <w:rFonts w:ascii="Courier New" w:cs="Courier New" w:eastAsia="Courier New" w:hAnsi="Courier New"/>
                <w:sz w:val="17"/>
                <w:szCs w:val="17"/>
                <w:color w:val="auto"/>
              </w:rPr>
              <w:t>percentages of the outstanding shares of Valhi common stock:</w:t>
            </w:r>
          </w:p>
        </w:tc>
        <w:tc>
          <w:tcPr>
            <w:tcW w:w="520" w:type="dxa"/>
            <w:vAlign w:val="bottom"/>
          </w:tcPr>
          <w:p>
            <w:pPr>
              <w:spacing w:after="0"/>
              <w:rPr>
                <w:sz w:val="24"/>
                <w:szCs w:val="24"/>
                <w:color w:val="auto"/>
              </w:rPr>
            </w:pPr>
          </w:p>
        </w:tc>
      </w:tr>
      <w:tr>
        <w:trPr>
          <w:trHeight w:val="368"/>
        </w:trPr>
        <w:tc>
          <w:tcPr>
            <w:tcW w:w="6460" w:type="dxa"/>
            <w:vAlign w:val="bottom"/>
          </w:tcPr>
          <w:p>
            <w:pPr>
              <w:spacing w:after="0"/>
              <w:rPr>
                <w:sz w:val="20"/>
                <w:szCs w:val="20"/>
                <w:color w:val="auto"/>
              </w:rPr>
            </w:pPr>
            <w:r>
              <w:rPr>
                <w:rFonts w:ascii="Courier New" w:cs="Courier New" w:eastAsia="Courier New" w:hAnsi="Courier New"/>
                <w:sz w:val="17"/>
                <w:szCs w:val="17"/>
                <w:color w:val="auto"/>
              </w:rPr>
              <w:t>Dixie Rice....................................................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91.5%</w:t>
            </w:r>
          </w:p>
        </w:tc>
      </w:tr>
    </w:tbl>
    <w:p>
      <w:pPr>
        <w:sectPr>
          <w:pgSz w:w="11900" w:h="16838" w:orient="portrait"/>
          <w:cols w:equalWidth="0" w:num="1">
            <w:col w:w="9999"/>
          </w:cols>
          <w:pgMar w:left="46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Dixie Rice may be deemed to control Valhi.</w:t>
      </w:r>
    </w:p>
    <w:p>
      <w:pPr>
        <w:spacing w:after="0" w:line="207" w:lineRule="exact"/>
        <w:rPr>
          <w:sz w:val="20"/>
          <w:szCs w:val="20"/>
          <w:color w:val="auto"/>
        </w:rPr>
      </w:pPr>
    </w:p>
    <w:p>
      <w:pPr>
        <w:ind w:right="2619" w:firstLine="832"/>
        <w:spacing w:after="0" w:line="261" w:lineRule="auto"/>
        <w:rPr>
          <w:sz w:val="20"/>
          <w:szCs w:val="20"/>
          <w:color w:val="auto"/>
        </w:rPr>
      </w:pPr>
      <w:r>
        <w:rPr>
          <w:rFonts w:ascii="Courier New" w:cs="Courier New" w:eastAsia="Courier New" w:hAnsi="Courier New"/>
          <w:sz w:val="17"/>
          <w:szCs w:val="17"/>
          <w:color w:val="auto"/>
        </w:rPr>
        <w:t>NL (including a wholly-owned subsidiary of NL) and Kronos Worldwide own 14,372,970 shares and 1,724,916 shares, respectively, of Valhi common stock. As stated above, Valhi is the direct holder of approximately 82.8% of the outstanding shares of common stock of NL and 50.2% of the outstanding shares of Kronos Worldwide common stock. As a result of Valhi's direct and indirect ownership of NL and Kronos Worldwide and pursuant to Delaware law and Section 13(d)(4) of the Exchange Act, Valhi treats the shares of Valhi common stock that NL and Kronos Worldwide own as treasury stock for voting purposes. For the purposes of this statement, such shares of Valhi common stock that NL and Kronos Worldwide hold are not deemed outstanding.</w:t>
      </w:r>
    </w:p>
    <w:p>
      <w:pPr>
        <w:spacing w:after="0" w:line="95" w:lineRule="exact"/>
        <w:rPr>
          <w:sz w:val="20"/>
          <w:szCs w:val="20"/>
          <w:color w:val="auto"/>
        </w:rPr>
      </w:pPr>
    </w:p>
    <w:p>
      <w:pPr>
        <w:ind w:right="2819" w:firstLine="624"/>
        <w:spacing w:after="0" w:line="262" w:lineRule="auto"/>
        <w:rPr>
          <w:sz w:val="20"/>
          <w:szCs w:val="20"/>
          <w:color w:val="auto"/>
        </w:rPr>
      </w:pPr>
      <w:r>
        <w:rPr>
          <w:rFonts w:ascii="Courier New" w:cs="Courier New" w:eastAsia="Courier New" w:hAnsi="Courier New"/>
          <w:sz w:val="17"/>
          <w:szCs w:val="17"/>
          <w:color w:val="auto"/>
        </w:rPr>
        <w:t>By virtue of the stock ownership of each of Kronos Worldwide, NL, Valhi, Dixie Rice and Contran, Ms. Simmons being a beneficiary of the Family Trust, the direct holdings of Contran voting stock by</w:t>
      </w:r>
    </w:p>
    <w:p>
      <w:pPr>
        <w:spacing w:after="0" w:line="1"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7"/>
          <w:szCs w:val="17"/>
          <w:color w:val="auto"/>
        </w:rPr>
        <w:t>Ms. Simmons, the voting rights conferred to Ms. Simmons by the Contran Stockholders Agreement with Contran shares, the position of chair of the Contran Board by Ms. Simmons, and the Family Trust's ownership of Contran voting stock, in each case as described above, (a) Ms. Simmons and the Family Trust (and the Trustee, in its capacity as trustee of the Family Trust) may be deemed to control Contran, Dixie Rice, Valhi, NL, Kronos Worldwide and CompX and (b) Ms. Simmons, the Family Trust (and the Trustee, in its capacity as trustee of the Family Trust), Contran, Dixie Rice, Valhi, NL and Kronos Worldwide may be deemed</w:t>
      </w:r>
    </w:p>
    <w:p>
      <w:pPr>
        <w:spacing w:after="0" w:line="1"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to possess indirect beneficial ownership of, and a pecuniary interest in, shares of common stock directly held by such entities, including any Class A Shares. However, Ms. Simmons and the Family Trust</w:t>
      </w:r>
    </w:p>
    <w:p>
      <w:pPr>
        <w:ind w:right="3239"/>
        <w:spacing w:after="0" w:line="272" w:lineRule="auto"/>
        <w:rPr>
          <w:sz w:val="20"/>
          <w:szCs w:val="20"/>
          <w:color w:val="auto"/>
        </w:rPr>
      </w:pPr>
      <w:r>
        <w:rPr>
          <w:rFonts w:ascii="Courier New" w:cs="Courier New" w:eastAsia="Courier New" w:hAnsi="Courier New"/>
          <w:sz w:val="17"/>
          <w:szCs w:val="17"/>
          <w:color w:val="auto"/>
        </w:rPr>
        <w:t>(and the Trustee) each disclaims beneficial ownership of, and such pecuniary interest in, such shares beneficially owned, directly or indirectly, by any of such entities, except to the extent of their direct beneficial ownership, if any, in shares of such entities.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0024240" TargetMode="External"/><Relationship Id="rId13" Type="http://schemas.openxmlformats.org/officeDocument/2006/relationships/hyperlink" Target="http://www.sec.gov/cgi-bin/browse-edgar?action=getcompany&amp;CIK=0001049606" TargetMode="External"/><Relationship Id="rId14" Type="http://schemas.openxmlformats.org/officeDocument/2006/relationships/hyperlink" Target="http://www.sec.gov/cgi-bin/browse-edgar?action=getcompany&amp;CIK=0001599736" TargetMode="External"/><Relationship Id="rId17" Type="http://schemas.openxmlformats.org/officeDocument/2006/relationships/hyperlink" Target="http://www.sec.gov/cgi-bin/browse-edgar?action=getcompany&amp;CIK=0001257640" TargetMode="External"/><Relationship Id="rId19" Type="http://schemas.openxmlformats.org/officeDocument/2006/relationships/hyperlink" Target="http://www.sec.gov/cgi-bin/browse-edgar?action=getcompany&amp;CIK=00016008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2022-06-02T09:56:36Z</dcterms:created>
  <dcterms:modified xsi:type="dcterms:W3CDTF">2022-06-02T09:56:36Z</dcterms:modified>
</cp:coreProperties>
</file>