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the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7, 2019</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1-13905</w:t>
            </w:r>
          </w:p>
        </w:tc>
        <w:tc>
          <w:tcPr>
            <w:tcW w:w="26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57-0981653</w:t>
            </w:r>
          </w:p>
        </w:tc>
      </w:tr>
      <w:tr>
        <w:trPr>
          <w:trHeight w:val="216"/>
        </w:trPr>
        <w:tc>
          <w:tcPr>
            <w:tcW w:w="404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(Commission</w:t>
            </w:r>
          </w:p>
        </w:tc>
        <w:tc>
          <w:tcPr>
            <w:tcW w:w="26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File Number)</w:t>
            </w:r>
          </w:p>
        </w:tc>
        <w:tc>
          <w:tcPr>
            <w:tcW w:w="26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30"/>
        </w:trPr>
        <w:tc>
          <w:tcPr>
            <w:tcW w:w="72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5430 LBJ Freeway, Suite 1700, Dallas, Texas</w:t>
            </w:r>
          </w:p>
        </w:tc>
        <w:tc>
          <w:tcPr>
            <w:tcW w:w="266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75240-2620</w:t>
            </w:r>
          </w:p>
        </w:tc>
      </w:tr>
      <w:tr>
        <w:trPr>
          <w:trHeight w:val="234"/>
        </w:trPr>
        <w:tc>
          <w:tcPr>
            <w:tcW w:w="72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211455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5" w:right="239" w:bottom="1440" w:gutter="0" w:footer="0" w:header="0"/>
        </w:sectPr>
      </w:pPr>
    </w:p>
    <w:p>
      <w:pPr>
        <w:spacing w:after="0" w:line="14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5" w:right="239" w:bottom="1440" w:gutter="0" w:footer="0" w:header="0"/>
          <w:type w:val="continuous"/>
        </w:sectPr>
      </w:pPr>
    </w:p>
    <w:p>
      <w:pPr>
        <w:spacing w:after="0" w:line="93" w:lineRule="exact"/>
        <w:rPr>
          <w:sz w:val="24"/>
          <w:szCs w:val="24"/>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47"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45"/>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 par value per share)</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CIX</w:t>
            </w:r>
          </w:p>
        </w:tc>
        <w:tc>
          <w:tcPr>
            <w:tcW w:w="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r>
        <w:trPr>
          <w:trHeight w:val="912"/>
        </w:trPr>
        <w:tc>
          <w:tcPr>
            <w:tcW w:w="4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issued on May 7, 2019, a copy of which is attached hereto as Exhibit 99.1 and incorporated herein by reference.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including the exhibit, the registrant furnishes in this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680" w:hanging="672"/>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Item No.</w:t>
            </w:r>
          </w:p>
        </w:tc>
        <w:tc>
          <w:tcPr>
            <w:tcW w:w="320" w:type="dxa"/>
            <w:vAlign w:val="bottom"/>
          </w:tcPr>
          <w:p>
            <w:pPr>
              <w:spacing w:after="0"/>
              <w:rPr>
                <w:sz w:val="21"/>
                <w:szCs w:val="21"/>
                <w:color w:val="auto"/>
              </w:rPr>
            </w:pPr>
          </w:p>
        </w:tc>
        <w:tc>
          <w:tcPr>
            <w:tcW w:w="8160" w:type="dxa"/>
            <w:vAlign w:val="bottom"/>
            <w:tcBorders>
              <w:bottom w:val="single" w:sz="8" w:color="auto"/>
            </w:tcBorders>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680" w:type="dxa"/>
            <w:vAlign w:val="bottom"/>
          </w:tcPr>
          <w:p>
            <w:pPr>
              <w:spacing w:after="0"/>
              <w:rPr>
                <w:sz w:val="24"/>
                <w:szCs w:val="24"/>
                <w:color w:val="auto"/>
              </w:rPr>
            </w:pPr>
          </w:p>
        </w:tc>
        <w:tc>
          <w:tcPr>
            <w:tcW w:w="22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99.1</w:t>
            </w:r>
          </w:p>
        </w:tc>
        <w:tc>
          <w:tcPr>
            <w:tcW w:w="8480" w:type="dxa"/>
            <w:vAlign w:val="bottom"/>
            <w:gridSpan w:val="3"/>
          </w:tcPr>
          <w:p>
            <w:pPr>
              <w:ind w:left="3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May 7, 2019 issued by the registrant</w:t>
              </w:r>
            </w:hyperlink>
            <w:r>
              <w:rPr>
                <w:rFonts w:ascii="Times New Roman" w:cs="Times New Roman" w:eastAsia="Times New Roman" w:hAnsi="Times New Roman"/>
                <w:sz w:val="18"/>
                <w:szCs w:val="18"/>
                <w:color w:val="000000"/>
              </w:rPr>
              <w:t>.</w:t>
            </w:r>
          </w:p>
        </w:tc>
      </w:tr>
      <w:tr>
        <w:trPr>
          <w:trHeight w:val="932"/>
        </w:trPr>
        <w:tc>
          <w:tcPr>
            <w:tcW w:w="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40" w:type="dxa"/>
            <w:vAlign w:val="bottom"/>
            <w:tcBorders>
              <w:top w:val="single" w:sz="8" w:color="0000EE"/>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w:t>
      </w:r>
      <w:r>
        <w:rPr>
          <w:rFonts w:ascii="Times New Roman" w:cs="Times New Roman" w:eastAsia="Times New Roman" w:hAnsi="Times New Roman"/>
          <w:sz w:val="18"/>
          <w:szCs w:val="18"/>
          <w:b w:val="1"/>
          <w:bCs w:val="1"/>
          <w:color w:val="auto"/>
        </w:rPr>
        <w:t>X I</w:t>
      </w:r>
      <w:r>
        <w:rPr>
          <w:rFonts w:ascii="Times New Roman" w:cs="Times New Roman" w:eastAsia="Times New Roman" w:hAnsi="Times New Roman"/>
          <w:sz w:val="12"/>
          <w:szCs w:val="12"/>
          <w:b w:val="1"/>
          <w:bCs w:val="1"/>
          <w:color w:val="auto"/>
        </w:rPr>
        <w:t>NTERNATIONAL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Gregory M. Swalwell</w:t>
            </w:r>
          </w:p>
        </w:tc>
      </w:tr>
      <w:tr>
        <w:trPr>
          <w:trHeight w:val="196"/>
        </w:trPr>
        <w:tc>
          <w:tcPr>
            <w:tcW w:w="5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Date: May 7, 2019</w:t>
            </w:r>
          </w:p>
        </w:tc>
        <w:tc>
          <w:tcPr>
            <w:tcW w:w="360" w:type="dxa"/>
            <w:vAlign w:val="bottom"/>
          </w:tcPr>
          <w:p>
            <w:pPr>
              <w:spacing w:after="0"/>
              <w:rPr>
                <w:sz w:val="17"/>
                <w:szCs w:val="17"/>
                <w:color w:val="auto"/>
              </w:rPr>
            </w:pPr>
          </w:p>
        </w:tc>
        <w:tc>
          <w:tcPr>
            <w:tcW w:w="536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Gregory M. Swalwell,</w:t>
            </w:r>
          </w:p>
        </w:tc>
      </w:tr>
      <w:tr>
        <w:trPr>
          <w:trHeight w:val="236"/>
        </w:trPr>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r>
    </w:tbl>
    <w:p>
      <w:pPr>
        <w:sectPr>
          <w:pgSz w:w="11900" w:h="16838" w:orient="portrait"/>
          <w:cols w:equalWidth="0" w:num="1">
            <w:col w:w="11420"/>
          </w:cols>
          <w:pgMar w:left="240" w:top="603"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PRESS RELEASE</w:t>
      </w: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CompX International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5430 LBJ Freeway, Suite 1700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Janet G. Keckeisen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972-233-1700</w:t>
      </w:r>
    </w:p>
    <w:p>
      <w:pPr>
        <w:spacing w:after="0" w:line="200" w:lineRule="exact"/>
        <w:rPr>
          <w:sz w:val="20"/>
          <w:szCs w:val="20"/>
          <w:color w:val="auto"/>
        </w:rPr>
      </w:pPr>
    </w:p>
    <w:p>
      <w:pPr>
        <w:sectPr>
          <w:pgSz w:w="11900" w:h="16838" w:orient="portrait"/>
          <w:cols w:equalWidth="0" w:num="2">
            <w:col w:w="5000" w:space="720"/>
            <w:col w:w="5700"/>
          </w:cols>
          <w:pgMar w:left="240" w:top="1440" w:right="239" w:bottom="0" w:gutter="0" w:footer="0" w:header="0"/>
          <w:type w:val="continuous"/>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COMPX REPORTS FIRST QUARTER 2019 RESULTS</w:t>
      </w:r>
    </w:p>
    <w:p>
      <w:pPr>
        <w:spacing w:after="0" w:line="2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DALLAS, TEXAS … May 7, 2019 … CompX International Inc. (NYSE American: CIX) announced today sales of $31.2 million for the first quarter of 2019 compared to $28.4 million in the same period of 2018. Operating income was $4.3 million in the first quarter of 2019 compared to $4.4 million in the same period of 2018. Net income was $4.0 million, or $0.32 per basic and diluted common share, for the first quarter of 2019 compared to $3.7 million, or $0.30 per basic and diluted common share, in the same period of 2018.</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Net sales increased for the quarter primarily due to higher Marine Component sales, mainly surf pipes and wake enhancement systems to an original equipment boat manufacturer. Security Products also contributed higher sales for the quarter, primarily to existing government security customers. Operating income decreased slightly for the quarter as the favorable effect of higher sales volumes at Marine Components was offset by increased labor rates and medical costs at Security Products as well as a less favorable customer and product mix at Marine Components.</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CompX is a leading manufacturer of security products and recreational marine components. It operates from four locations in the U.S. and employs approximately 550 people.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200" w:lineRule="exact"/>
        <w:rPr>
          <w:sz w:val="20"/>
          <w:szCs w:val="20"/>
          <w:color w:val="auto"/>
        </w:rPr>
      </w:pPr>
    </w:p>
    <w:p>
      <w:pPr>
        <w:spacing w:after="0" w:line="231" w:lineRule="exact"/>
        <w:rPr>
          <w:sz w:val="20"/>
          <w:szCs w:val="20"/>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demand for our products,</w:t>
      </w:r>
    </w:p>
    <w:p>
      <w:pPr>
        <w:spacing w:after="0" w:line="225" w:lineRule="exact"/>
        <w:rPr>
          <w:rFonts w:ascii="Times New Roman" w:cs="Times New Roman" w:eastAsia="Times New Roman" w:hAnsi="Times New Roman"/>
          <w:sz w:val="18"/>
          <w:szCs w:val="18"/>
          <w:color w:val="auto"/>
        </w:rPr>
      </w:pPr>
    </w:p>
    <w:p>
      <w:pPr>
        <w:ind w:left="880" w:hanging="431"/>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raw material and other operating costs (such as zinc, brass, steel and energy costs) and our ability to pass those costs on to our customers or offset them with reductions in other operating costs,</w:t>
      </w:r>
    </w:p>
    <w:p>
      <w:pPr>
        <w:spacing w:after="0" w:line="161"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competition from low-cost manufacturing sources (such as China),</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 including substitute products,</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development of new product features,</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defend our intellectual property rights,</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integrating future acquisitions,</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emission and discharge standards for existing and new facilities),</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tax reform,</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or future government regulations (including employee healthcare benefit related regulations),</w:t>
      </w:r>
    </w:p>
    <w:p>
      <w:pPr>
        <w:spacing w:after="0" w:line="225"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introduce instability into the U.S. economy (such as changes in the level of gross domestic</w:t>
      </w:r>
    </w:p>
    <w:p>
      <w:pPr>
        <w:sectPr>
          <w:pgSz w:w="11900" w:h="16838" w:orient="portrait"/>
          <w:cols w:equalWidth="0" w:num="1">
            <w:col w:w="11420"/>
          </w:cols>
          <w:pgMar w:left="240" w:top="1440" w:right="239" w:bottom="0" w:gutter="0" w:footer="0" w:header="0"/>
          <w:type w:val="continuous"/>
        </w:sectPr>
      </w:pPr>
    </w:p>
    <w:bookmarkStart w:id="4" w:name="page5"/>
    <w:bookmarkEnd w:id="4"/>
    <w:p>
      <w:pPr>
        <w:ind w:left="880"/>
        <w:spacing w:after="0"/>
        <w:rPr>
          <w:sz w:val="20"/>
          <w:szCs w:val="20"/>
          <w:color w:val="auto"/>
        </w:rPr>
      </w:pPr>
      <w:r>
        <w:rPr>
          <w:rFonts w:ascii="Times New Roman" w:cs="Times New Roman" w:eastAsia="Times New Roman" w:hAnsi="Times New Roman"/>
          <w:sz w:val="18"/>
          <w:szCs w:val="18"/>
          <w:color w:val="auto"/>
        </w:rPr>
        <w:t>product in various regions of the world),</w:t>
      </w:r>
    </w:p>
    <w:p>
      <w:pPr>
        <w:spacing w:after="0" w:line="225" w:lineRule="exact"/>
        <w:rPr>
          <w:sz w:val="20"/>
          <w:szCs w:val="20"/>
          <w:color w:val="auto"/>
        </w:rPr>
      </w:pPr>
    </w:p>
    <w:p>
      <w:pPr>
        <w:ind w:left="880" w:hanging="431"/>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hazardous chemical leaks, natural disasters, fires, explosions, unscheduled or unplanned downtime, transportation interruptions and cyber attacks); and</w:t>
      </w:r>
    </w:p>
    <w:p>
      <w:pPr>
        <w:spacing w:after="0" w:line="161"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 of our business or increases in the cost of doing business resulting from terrorist activities or global conflicts.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COMPX INTERNATIONAL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CONSOLIDATED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7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10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800" w:type="dxa"/>
            <w:vAlign w:val="bottom"/>
            <w:gridSpan w:val="2"/>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8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800" w:type="dxa"/>
            <w:vAlign w:val="bottom"/>
            <w:gridSpan w:val="2"/>
          </w:tcPr>
          <w:p>
            <w:pPr>
              <w:jc w:val="right"/>
              <w:ind w:right="39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
        </w:trPr>
        <w:tc>
          <w:tcPr>
            <w:tcW w:w="78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diluted common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9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365"/>
        </w:trPr>
        <w:tc>
          <w:tcPr>
            <w:tcW w:w="20" w:type="dxa"/>
            <w:vAlign w:val="bottom"/>
          </w:tcPr>
          <w:p>
            <w:pPr>
              <w:spacing w:after="0"/>
              <w:rPr>
                <w:sz w:val="24"/>
                <w:szCs w:val="24"/>
                <w:color w:val="auto"/>
              </w:rPr>
            </w:pPr>
          </w:p>
        </w:tc>
        <w:tc>
          <w:tcPr>
            <w:tcW w:w="784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5"/>
          <w:szCs w:val="25"/>
          <w:b w:val="1"/>
          <w:bCs w:val="1"/>
          <w:color w:val="auto"/>
        </w:rPr>
        <w:t>COMPX INTERNATIONAL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2018</w:t>
            </w:r>
          </w:p>
        </w:tc>
        <w:tc>
          <w:tcPr>
            <w:tcW w:w="48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equivalents</w:t>
            </w:r>
          </w:p>
        </w:tc>
        <w:tc>
          <w:tcPr>
            <w:tcW w:w="166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Inventories, net</w:t>
            </w:r>
          </w:p>
        </w:tc>
        <w:tc>
          <w:tcPr>
            <w:tcW w:w="16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6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76.3</w:t>
            </w:r>
          </w:p>
        </w:tc>
        <w:tc>
          <w:tcPr>
            <w:tcW w:w="3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16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23.7</w:t>
            </w:r>
          </w:p>
        </w:tc>
        <w:tc>
          <w:tcPr>
            <w:tcW w:w="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6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31.8</w:t>
            </w:r>
          </w:p>
        </w:tc>
        <w:tc>
          <w:tcPr>
            <w:tcW w:w="3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w:t>
            </w:r>
          </w:p>
        </w:tc>
        <w:tc>
          <w:tcPr>
            <w:tcW w:w="1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166.4</w:t>
            </w:r>
          </w:p>
        </w:tc>
        <w:tc>
          <w:tcPr>
            <w:tcW w:w="360" w:type="dxa"/>
            <w:vAlign w:val="bottom"/>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6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w:t>
            </w:r>
          </w:p>
        </w:tc>
        <w:tc>
          <w:tcPr>
            <w:tcW w:w="1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60" w:type="dxa"/>
            <w:vAlign w:val="bottom"/>
            <w:tcBorders>
              <w:bottom w:val="single" w:sz="8" w:color="auto"/>
            </w:tcBorders>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166.4</w:t>
            </w:r>
          </w:p>
        </w:tc>
        <w:tc>
          <w:tcPr>
            <w:tcW w:w="4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2019-12-28T12:56:30Z</dcterms:created>
  <dcterms:modified xsi:type="dcterms:W3CDTF">2019-12-28T12:56:30Z</dcterms:modified>
</cp:coreProperties>
</file>