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216535</wp:posOffset>
            </wp:positionV>
            <wp:extent cx="71964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64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156845</wp:posOffset>
            </wp:positionV>
            <wp:extent cx="71964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6455" cy="17145"/>
                    </a:xfrm>
                    <a:prstGeom prst="rect">
                      <a:avLst/>
                    </a:prstGeom>
                    <a:noFill/>
                  </pic:spPr>
                </pic:pic>
              </a:graphicData>
            </a:graphic>
          </wp:anchor>
        </w:drawing>
        <w:t>UNITED STATES</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109220</wp:posOffset>
            </wp:positionV>
            <wp:extent cx="1426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112395</wp:posOffset>
            </wp:positionV>
            <wp:extent cx="1426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367" w:lineRule="exact"/>
        <w:rPr>
          <w:sz w:val="24"/>
          <w:szCs w:val="24"/>
          <w:color w:val="auto"/>
        </w:rPr>
      </w:pPr>
    </w:p>
    <w:p>
      <w:pPr>
        <w:ind w:left="1860" w:right="380" w:hanging="369"/>
        <w:spacing w:after="0" w:line="256" w:lineRule="auto"/>
        <w:tabs>
          <w:tab w:leader="none" w:pos="18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QUARTERLY REPORT PURSUANT TO SECTION 13 OR 15(d) OF THE SECURITIES EXCHANGE ACT OF 1934</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2021</w:t>
      </w:r>
    </w:p>
    <w:p>
      <w:pPr>
        <w:spacing w:after="0" w:line="236" w:lineRule="exact"/>
        <w:rPr>
          <w:sz w:val="24"/>
          <w:szCs w:val="24"/>
          <w:color w:val="auto"/>
        </w:rPr>
      </w:pPr>
    </w:p>
    <w:p>
      <w:pPr>
        <w:ind w:left="1880" w:right="2220" w:hanging="389"/>
        <w:spacing w:after="0" w:line="270" w:lineRule="auto"/>
        <w:tabs>
          <w:tab w:leader="none" w:pos="1853"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TRANSITION REPORT PURSUANT TO SECTION 13 OR 15(d) OF THE SECURITIES EXCHANGE ACT OF 1934</w:t>
      </w:r>
    </w:p>
    <w:p>
      <w:pPr>
        <w:spacing w:after="0" w:line="56" w:lineRule="exact"/>
        <w:rPr>
          <w:sz w:val="24"/>
          <w:szCs w:val="24"/>
          <w:color w:val="auto"/>
        </w:rPr>
      </w:pPr>
    </w:p>
    <w:tbl>
      <w:tblPr>
        <w:tblLayout w:type="fixed"/>
        <w:tblInd w:w="1400" w:type="dxa"/>
        <w:tblCellMar>
          <w:top w:w="0" w:type="dxa"/>
          <w:left w:w="0" w:type="dxa"/>
          <w:bottom w:w="0" w:type="dxa"/>
          <w:right w:w="0" w:type="dxa"/>
        </w:tblCellMar>
      </w:tblPr>
      <w:tr>
        <w:trPr>
          <w:trHeight w:val="231"/>
        </w:trPr>
        <w:tc>
          <w:tcPr>
            <w:tcW w:w="6480" w:type="dxa"/>
            <w:vAlign w:val="bottom"/>
            <w:gridSpan w:val="3"/>
          </w:tcPr>
          <w:p>
            <w:pPr>
              <w:ind w:left="2240"/>
              <w:spacing w:after="0"/>
              <w:rPr>
                <w:sz w:val="20"/>
                <w:szCs w:val="20"/>
                <w:color w:val="auto"/>
              </w:rPr>
            </w:pPr>
            <w:r>
              <w:rPr>
                <w:rFonts w:ascii="Arial" w:cs="Arial" w:eastAsia="Arial" w:hAnsi="Arial"/>
                <w:sz w:val="18"/>
                <w:szCs w:val="18"/>
                <w:b w:val="1"/>
                <w:bCs w:val="1"/>
                <w:color w:val="auto"/>
                <w:w w:val="90"/>
              </w:rPr>
              <w:t>For the transition period from _________ to _________</w:t>
            </w:r>
          </w:p>
        </w:tc>
        <w:tc>
          <w:tcPr>
            <w:tcW w:w="1120" w:type="dxa"/>
            <w:vAlign w:val="bottom"/>
          </w:tcPr>
          <w:p>
            <w:pPr>
              <w:spacing w:after="0"/>
              <w:rPr>
                <w:sz w:val="20"/>
                <w:szCs w:val="20"/>
                <w:color w:val="auto"/>
              </w:rPr>
            </w:pPr>
          </w:p>
        </w:tc>
      </w:tr>
      <w:tr>
        <w:trPr>
          <w:trHeight w:val="428"/>
        </w:trPr>
        <w:tc>
          <w:tcPr>
            <w:tcW w:w="6480" w:type="dxa"/>
            <w:vAlign w:val="bottom"/>
            <w:gridSpan w:val="3"/>
          </w:tcPr>
          <w:p>
            <w:pPr>
              <w:jc w:val="center"/>
              <w:ind w:left="1869"/>
              <w:spacing w:after="0"/>
              <w:rPr>
                <w:sz w:val="20"/>
                <w:szCs w:val="20"/>
                <w:color w:val="auto"/>
              </w:rPr>
            </w:pPr>
            <w:r>
              <w:rPr>
                <w:rFonts w:ascii="Arial" w:cs="Arial" w:eastAsia="Arial" w:hAnsi="Arial"/>
                <w:sz w:val="18"/>
                <w:szCs w:val="18"/>
                <w:b w:val="1"/>
                <w:bCs w:val="1"/>
                <w:color w:val="auto"/>
                <w:w w:val="89"/>
              </w:rPr>
              <w:t>Commission file number 1-13905</w:t>
            </w:r>
          </w:p>
        </w:tc>
        <w:tc>
          <w:tcPr>
            <w:tcW w:w="1120" w:type="dxa"/>
            <w:vAlign w:val="bottom"/>
          </w:tcPr>
          <w:p>
            <w:pPr>
              <w:spacing w:after="0"/>
              <w:rPr>
                <w:sz w:val="24"/>
                <w:szCs w:val="24"/>
                <w:color w:val="auto"/>
              </w:rPr>
            </w:pPr>
          </w:p>
        </w:tc>
      </w:tr>
      <w:tr>
        <w:trPr>
          <w:trHeight w:val="162"/>
        </w:trPr>
        <w:tc>
          <w:tcPr>
            <w:tcW w:w="310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260" w:type="dxa"/>
            <w:vAlign w:val="bottom"/>
            <w:gridSpan w:val="2"/>
          </w:tcPr>
          <w:p>
            <w:pPr>
              <w:spacing w:after="0"/>
              <w:rPr>
                <w:sz w:val="14"/>
                <w:szCs w:val="14"/>
                <w:color w:val="auto"/>
              </w:rPr>
            </w:pPr>
          </w:p>
        </w:tc>
      </w:tr>
      <w:tr>
        <w:trPr>
          <w:trHeight w:val="447"/>
        </w:trPr>
        <w:tc>
          <w:tcPr>
            <w:tcW w:w="7600" w:type="dxa"/>
            <w:vAlign w:val="bottom"/>
            <w:gridSpan w:val="4"/>
          </w:tcPr>
          <w:p>
            <w:pPr>
              <w:jc w:val="center"/>
              <w:ind w:left="749"/>
              <w:spacing w:after="0"/>
              <w:rPr>
                <w:sz w:val="20"/>
                <w:szCs w:val="20"/>
                <w:color w:val="auto"/>
              </w:rPr>
            </w:pPr>
            <w:r>
              <w:rPr>
                <w:rFonts w:ascii="Arial" w:cs="Arial" w:eastAsia="Arial" w:hAnsi="Arial"/>
                <w:sz w:val="32"/>
                <w:szCs w:val="32"/>
                <w:b w:val="1"/>
                <w:bCs w:val="1"/>
                <w:color w:val="auto"/>
              </w:rPr>
              <w:t>COMPX INTERNATIONAL INC.</w:t>
            </w:r>
          </w:p>
        </w:tc>
      </w:tr>
      <w:tr>
        <w:trPr>
          <w:trHeight w:val="227"/>
        </w:trPr>
        <w:tc>
          <w:tcPr>
            <w:tcW w:w="6480" w:type="dxa"/>
            <w:vAlign w:val="bottom"/>
            <w:gridSpan w:val="3"/>
          </w:tcPr>
          <w:p>
            <w:pPr>
              <w:jc w:val="center"/>
              <w:ind w:left="1889"/>
              <w:spacing w:after="0"/>
              <w:rPr>
                <w:sz w:val="20"/>
                <w:szCs w:val="20"/>
                <w:color w:val="auto"/>
              </w:rPr>
            </w:pPr>
            <w:r>
              <w:rPr>
                <w:rFonts w:ascii="Arial" w:cs="Arial" w:eastAsia="Arial" w:hAnsi="Arial"/>
                <w:sz w:val="18"/>
                <w:szCs w:val="18"/>
                <w:color w:val="auto"/>
                <w:w w:val="89"/>
              </w:rPr>
              <w:t>(Exact name of Registrant as specified in its charter)</w:t>
            </w:r>
          </w:p>
        </w:tc>
        <w:tc>
          <w:tcPr>
            <w:tcW w:w="1120" w:type="dxa"/>
            <w:vAlign w:val="bottom"/>
          </w:tcPr>
          <w:p>
            <w:pPr>
              <w:spacing w:after="0"/>
              <w:rPr>
                <w:sz w:val="19"/>
                <w:szCs w:val="19"/>
                <w:color w:val="auto"/>
              </w:rPr>
            </w:pPr>
          </w:p>
        </w:tc>
      </w:tr>
      <w:tr>
        <w:trPr>
          <w:trHeight w:val="344"/>
        </w:trPr>
        <w:tc>
          <w:tcPr>
            <w:tcW w:w="648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1"/>
              </w:rPr>
              <w:t>Delaware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57-0981653</w:t>
            </w:r>
          </w:p>
        </w:tc>
      </w:tr>
      <w:tr>
        <w:trPr>
          <w:trHeight w:val="147"/>
        </w:trPr>
        <w:tc>
          <w:tcPr>
            <w:tcW w:w="6480" w:type="dxa"/>
            <w:vAlign w:val="bottom"/>
            <w:gridSpan w:val="3"/>
          </w:tcPr>
          <w:p>
            <w:pPr>
              <w:jc w:val="center"/>
              <w:ind w:right="3780"/>
              <w:spacing w:after="0" w:line="147" w:lineRule="exact"/>
              <w:rPr>
                <w:sz w:val="20"/>
                <w:szCs w:val="20"/>
                <w:color w:val="auto"/>
              </w:rPr>
            </w:pPr>
            <w:r>
              <w:rPr>
                <w:rFonts w:ascii="Arial" w:cs="Arial" w:eastAsia="Arial" w:hAnsi="Arial"/>
                <w:sz w:val="14"/>
                <w:szCs w:val="14"/>
                <w:color w:val="auto"/>
                <w:w w:val="94"/>
              </w:rPr>
              <w:t>(State or other jurisdiction of</w:t>
            </w:r>
          </w:p>
        </w:tc>
        <w:tc>
          <w:tcPr>
            <w:tcW w:w="1120" w:type="dxa"/>
            <w:vAlign w:val="bottom"/>
          </w:tcPr>
          <w:p>
            <w:pPr>
              <w:jc w:val="center"/>
              <w:spacing w:after="0" w:line="147" w:lineRule="exact"/>
              <w:rPr>
                <w:sz w:val="20"/>
                <w:szCs w:val="20"/>
                <w:color w:val="auto"/>
              </w:rPr>
            </w:pPr>
            <w:r>
              <w:rPr>
                <w:rFonts w:ascii="Arial" w:cs="Arial" w:eastAsia="Arial" w:hAnsi="Arial"/>
                <w:sz w:val="14"/>
                <w:szCs w:val="14"/>
                <w:color w:val="auto"/>
                <w:w w:val="94"/>
              </w:rPr>
              <w:t>(IRS Employer</w:t>
            </w:r>
          </w:p>
        </w:tc>
      </w:tr>
      <w:tr>
        <w:trPr>
          <w:trHeight w:val="181"/>
        </w:trPr>
        <w:tc>
          <w:tcPr>
            <w:tcW w:w="6480" w:type="dxa"/>
            <w:vAlign w:val="bottom"/>
            <w:gridSpan w:val="3"/>
          </w:tcPr>
          <w:p>
            <w:pPr>
              <w:jc w:val="center"/>
              <w:ind w:right="3760"/>
              <w:spacing w:after="0"/>
              <w:rPr>
                <w:sz w:val="20"/>
                <w:szCs w:val="20"/>
                <w:color w:val="auto"/>
              </w:rPr>
            </w:pPr>
            <w:r>
              <w:rPr>
                <w:rFonts w:ascii="Arial" w:cs="Arial" w:eastAsia="Arial" w:hAnsi="Arial"/>
                <w:sz w:val="14"/>
                <w:szCs w:val="14"/>
                <w:color w:val="auto"/>
                <w:w w:val="94"/>
              </w:rPr>
              <w:t>Incorporation or organization)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r>
      <w:tr>
        <w:trPr>
          <w:trHeight w:val="434"/>
        </w:trPr>
        <w:tc>
          <w:tcPr>
            <w:tcW w:w="648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89"/>
              </w:rPr>
              <w:t>5430 LBJ Freeway, Suite 1700,</w:t>
            </w:r>
          </w:p>
        </w:tc>
        <w:tc>
          <w:tcPr>
            <w:tcW w:w="1120" w:type="dxa"/>
            <w:vAlign w:val="bottom"/>
          </w:tcPr>
          <w:p>
            <w:pPr>
              <w:spacing w:after="0"/>
              <w:rPr>
                <w:sz w:val="24"/>
                <w:szCs w:val="24"/>
                <w:color w:val="auto"/>
              </w:rPr>
            </w:pPr>
          </w:p>
        </w:tc>
      </w:tr>
      <w:tr>
        <w:trPr>
          <w:trHeight w:val="227"/>
        </w:trPr>
        <w:tc>
          <w:tcPr>
            <w:tcW w:w="648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89"/>
              </w:rPr>
              <w:t>Three Lincoln Centre, Dallas, Texas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75240-2620</w:t>
            </w:r>
          </w:p>
        </w:tc>
      </w:tr>
      <w:tr>
        <w:trPr>
          <w:trHeight w:val="181"/>
        </w:trPr>
        <w:tc>
          <w:tcPr>
            <w:tcW w:w="6480" w:type="dxa"/>
            <w:vAlign w:val="bottom"/>
            <w:gridSpan w:val="3"/>
          </w:tcPr>
          <w:p>
            <w:pPr>
              <w:jc w:val="center"/>
              <w:ind w:right="3780"/>
              <w:spacing w:after="0"/>
              <w:rPr>
                <w:sz w:val="20"/>
                <w:szCs w:val="20"/>
                <w:color w:val="auto"/>
              </w:rPr>
            </w:pPr>
            <w:r>
              <w:rPr>
                <w:rFonts w:ascii="Arial" w:cs="Arial" w:eastAsia="Arial" w:hAnsi="Arial"/>
                <w:sz w:val="14"/>
                <w:szCs w:val="14"/>
                <w:color w:val="auto"/>
                <w:w w:val="94"/>
              </w:rPr>
              <w:t>(Address of principal executive offices)</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(Zip Code)</w:t>
            </w:r>
          </w:p>
        </w:tc>
      </w:tr>
    </w:tbl>
    <w:p>
      <w:pPr>
        <w:spacing w:after="0" w:line="180"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(972) 448-1400</w:t>
      </w:r>
    </w:p>
    <w:p>
      <w:pPr>
        <w:spacing w:after="0" w:line="96"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4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0"/>
        </w:trPr>
        <w:tc>
          <w:tcPr>
            <w:tcW w:w="476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4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w:t>
            </w:r>
          </w:p>
        </w:tc>
        <w:tc>
          <w:tcPr>
            <w:tcW w:w="100" w:type="dxa"/>
            <w:vAlign w:val="bottom"/>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CIX</w:t>
            </w:r>
          </w:p>
        </w:tc>
        <w:tc>
          <w:tcPr>
            <w:tcW w:w="100" w:type="dxa"/>
            <w:vAlign w:val="bottom"/>
          </w:tcPr>
          <w:p>
            <w:pPr>
              <w:spacing w:after="0"/>
              <w:rPr>
                <w:sz w:val="17"/>
                <w:szCs w:val="17"/>
                <w:color w:val="auto"/>
              </w:rPr>
            </w:pPr>
          </w:p>
        </w:tc>
        <w:tc>
          <w:tcPr>
            <w:tcW w:w="4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NYSE American</w:t>
            </w:r>
          </w:p>
        </w:tc>
        <w:tc>
          <w:tcPr>
            <w:tcW w:w="0" w:type="dxa"/>
            <w:vAlign w:val="bottom"/>
          </w:tcPr>
          <w:p>
            <w:pPr>
              <w:spacing w:after="0"/>
              <w:rPr>
                <w:sz w:val="1"/>
                <w:szCs w:val="1"/>
                <w:color w:val="auto"/>
              </w:rPr>
            </w:pPr>
          </w:p>
        </w:tc>
      </w:tr>
    </w:tbl>
    <w:p>
      <w:pPr>
        <w:spacing w:after="0" w:line="196"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b w:val="1"/>
          <w:bCs w:val="1"/>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highlight w:val="black"/>
        </w:rPr>
        <w:t>☐</w:t>
      </w:r>
    </w:p>
    <w:p>
      <w:pPr>
        <w:spacing w:after="0" w:line="189" w:lineRule="exact"/>
        <w:rPr>
          <w:sz w:val="24"/>
          <w:szCs w:val="24"/>
          <w:color w:val="auto"/>
        </w:rPr>
      </w:pPr>
    </w:p>
    <w:p>
      <w:pPr>
        <w:jc w:val="both"/>
        <w:spacing w:after="0" w:line="214" w:lineRule="exact"/>
        <w:rPr>
          <w:sz w:val="20"/>
          <w:szCs w:val="20"/>
          <w:color w:val="auto"/>
        </w:rPr>
      </w:pPr>
      <w:r>
        <w:rPr>
          <w:rFonts w:ascii="Arial" w:cs="Arial" w:eastAsia="Arial" w:hAnsi="Arial"/>
          <w:sz w:val="15"/>
          <w:szCs w:val="15"/>
          <w:b w:val="1"/>
          <w:bCs w:val="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highlight w:val="black"/>
        </w:rPr>
        <w:t>☒</w:t>
      </w:r>
      <w:r>
        <w:rPr>
          <w:rFonts w:ascii="Arial" w:cs="Arial" w:eastAsia="Arial" w:hAnsi="Arial"/>
          <w:sz w:val="15"/>
          <w:szCs w:val="15"/>
          <w:b w:val="1"/>
          <w:bCs w:val="1"/>
          <w:color w:val="auto"/>
        </w:rPr>
        <w:t xml:space="preserve"> No </w:t>
      </w:r>
      <w:r>
        <w:rPr>
          <w:rFonts w:ascii="MS PGothic" w:cs="MS PGothic" w:eastAsia="MS PGothic" w:hAnsi="MS PGothic"/>
          <w:sz w:val="15"/>
          <w:szCs w:val="15"/>
          <w:color w:val="auto"/>
          <w:highlight w:val="black"/>
        </w:rPr>
        <w:t>☐</w:t>
      </w:r>
    </w:p>
    <w:p>
      <w:pPr>
        <w:spacing w:after="0" w:line="188" w:lineRule="exact"/>
        <w:rPr>
          <w:sz w:val="24"/>
          <w:szCs w:val="24"/>
          <w:color w:val="auto"/>
        </w:rPr>
      </w:pPr>
    </w:p>
    <w:p>
      <w:pPr>
        <w:jc w:val="both"/>
        <w:spacing w:after="0" w:line="277"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53" w:lineRule="exact"/>
        <w:rPr>
          <w:sz w:val="24"/>
          <w:szCs w:val="24"/>
          <w:color w:val="auto"/>
        </w:rPr>
      </w:pPr>
    </w:p>
    <w:p>
      <w:pPr>
        <w:spacing w:after="0" w:line="184" w:lineRule="exact"/>
        <w:tabs>
          <w:tab w:leader="none" w:pos="1860" w:val="left"/>
          <w:tab w:leader="none" w:pos="3340" w:val="left"/>
        </w:tabs>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ab/>
        <w:t xml:space="preserve">Accelerated filer </w:t>
      </w:r>
      <w:r>
        <w:rPr>
          <w:rFonts w:ascii="MS PGothic" w:cs="MS PGothic" w:eastAsia="MS PGothic" w:hAnsi="MS PGothic"/>
          <w:sz w:val="16"/>
          <w:szCs w:val="16"/>
          <w:color w:val="auto"/>
          <w:highlight w:val="black"/>
        </w:rPr>
        <w:t>☐</w:t>
      </w:r>
      <w:r>
        <w:rPr>
          <w:sz w:val="20"/>
          <w:szCs w:val="20"/>
          <w:color w:val="auto"/>
        </w:rPr>
        <w:tab/>
      </w:r>
      <w:r>
        <w:rPr>
          <w:rFonts w:ascii="Arial" w:cs="Arial" w:eastAsia="Arial" w:hAnsi="Arial"/>
          <w:sz w:val="14"/>
          <w:szCs w:val="14"/>
          <w:b w:val="1"/>
          <w:bCs w:val="1"/>
          <w:color w:val="auto"/>
        </w:rPr>
        <w:t xml:space="preserve">Non-accelerated filer </w:t>
      </w:r>
      <w:r>
        <w:rPr>
          <w:rFonts w:ascii="MS PGothic" w:cs="MS PGothic" w:eastAsia="MS PGothic" w:hAnsi="MS PGothic"/>
          <w:sz w:val="14"/>
          <w:szCs w:val="14"/>
          <w:color w:val="auto"/>
          <w:highlight w:val="black"/>
        </w:rPr>
        <w:t>☒</w:t>
      </w:r>
      <w:r>
        <w:rPr>
          <w:rFonts w:ascii="Arial" w:cs="Arial" w:eastAsia="Arial" w:hAnsi="Arial"/>
          <w:sz w:val="14"/>
          <w:szCs w:val="14"/>
          <w:b w:val="1"/>
          <w:bCs w:val="1"/>
          <w:color w:val="auto"/>
        </w:rPr>
        <w:t xml:space="preserve"> Smaller reporting company </w:t>
      </w:r>
      <w:r>
        <w:rPr>
          <w:rFonts w:ascii="MS PGothic" w:cs="MS PGothic" w:eastAsia="MS PGothic" w:hAnsi="MS PGothic"/>
          <w:sz w:val="14"/>
          <w:szCs w:val="14"/>
          <w:color w:val="auto"/>
          <w:highlight w:val="black"/>
        </w:rPr>
        <w:t>☐</w:t>
      </w:r>
    </w:p>
    <w:p>
      <w:pPr>
        <w:spacing w:after="0" w:line="231"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Emerging growth company </w:t>
      </w:r>
      <w:r>
        <w:rPr>
          <w:rFonts w:ascii="MS PGothic" w:cs="MS PGothic" w:eastAsia="MS PGothic" w:hAnsi="MS PGothic"/>
          <w:sz w:val="16"/>
          <w:szCs w:val="16"/>
          <w:color w:val="auto"/>
          <w:highlight w:val="black"/>
        </w:rPr>
        <w:t>☐</w:t>
      </w:r>
    </w:p>
    <w:p>
      <w:pPr>
        <w:spacing w:after="0" w:line="257"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163" w:lineRule="exact"/>
        <w:rPr>
          <w:sz w:val="24"/>
          <w:szCs w:val="24"/>
          <w:color w:val="auto"/>
        </w:rPr>
      </w:pPr>
    </w:p>
    <w:p>
      <w:pPr>
        <w:spacing w:after="0" w:line="184" w:lineRule="exact"/>
        <w:tabs>
          <w:tab w:leader="none" w:pos="7860" w:val="left"/>
          <w:tab w:leader="none" w:pos="8480" w:val="left"/>
        </w:tabs>
        <w:rPr>
          <w:sz w:val="20"/>
          <w:szCs w:val="20"/>
          <w:color w:val="auto"/>
        </w:rPr>
      </w:pPr>
      <w:r>
        <w:rPr>
          <w:rFonts w:ascii="Arial" w:cs="Arial" w:eastAsia="Arial" w:hAnsi="Arial"/>
          <w:sz w:val="15"/>
          <w:szCs w:val="15"/>
          <w:b w:val="1"/>
          <w:bCs w:val="1"/>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highlight w:val="black"/>
        </w:rPr>
        <w:t>☐</w:t>
      </w:r>
      <w:r>
        <w:rPr>
          <w:sz w:val="20"/>
          <w:szCs w:val="20"/>
          <w:color w:val="auto"/>
        </w:rPr>
        <w:tab/>
      </w:r>
      <w:r>
        <w:rPr>
          <w:rFonts w:ascii="Arial" w:cs="Arial" w:eastAsia="Arial" w:hAnsi="Arial"/>
          <w:sz w:val="15"/>
          <w:szCs w:val="15"/>
          <w:b w:val="1"/>
          <w:bCs w:val="1"/>
          <w:color w:val="auto"/>
        </w:rPr>
        <w:t xml:space="preserve">No </w:t>
      </w:r>
      <w:r>
        <w:rPr>
          <w:rFonts w:ascii="MS PGothic" w:cs="MS PGothic" w:eastAsia="MS PGothic" w:hAnsi="MS PGothic"/>
          <w:sz w:val="15"/>
          <w:szCs w:val="15"/>
          <w:color w:val="auto"/>
          <w:highlight w:val="black"/>
        </w:rPr>
        <w:t>☒</w:t>
      </w:r>
      <w:r>
        <w:rPr>
          <w:rFonts w:ascii="Arial" w:cs="Arial" w:eastAsia="Arial" w:hAnsi="Arial"/>
          <w:sz w:val="15"/>
          <w:szCs w:val="15"/>
          <w:b w:val="1"/>
          <w:bCs w:val="1"/>
          <w:color w:val="auto"/>
        </w:rPr>
        <w:t>.</w:t>
      </w:r>
    </w:p>
    <w:p>
      <w:pPr>
        <w:spacing w:after="0" w:line="25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As of October 28, 2021, the registrant had 12,405,657 shares of Class A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113030</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490855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40" w:type="dxa"/>
            <w:vAlign w:val="bottom"/>
            <w:gridSpan w:val="8"/>
          </w:tcPr>
          <w:p>
            <w:pPr>
              <w:jc w:val="center"/>
              <w:ind w:right="2100"/>
              <w:spacing w:after="0"/>
              <w:rPr>
                <w:sz w:val="20"/>
                <w:szCs w:val="20"/>
                <w:color w:val="auto"/>
              </w:rPr>
            </w:pPr>
            <w:r>
              <w:rPr>
                <w:rFonts w:ascii="Arial" w:cs="Arial" w:eastAsia="Arial" w:hAnsi="Arial"/>
                <w:sz w:val="18"/>
                <w:szCs w:val="18"/>
                <w:b w:val="1"/>
                <w:bCs w:val="1"/>
                <w:color w:val="auto"/>
              </w:rPr>
              <w:t>COMPX INTERNATIONAL INC.</w:t>
            </w:r>
          </w:p>
        </w:tc>
        <w:tc>
          <w:tcPr>
            <w:tcW w:w="800" w:type="dxa"/>
            <w:vAlign w:val="bottom"/>
          </w:tcPr>
          <w:p>
            <w:pPr>
              <w:spacing w:after="0"/>
              <w:rPr>
                <w:sz w:val="20"/>
                <w:szCs w:val="20"/>
                <w:color w:val="auto"/>
              </w:rPr>
            </w:pPr>
          </w:p>
        </w:tc>
      </w:tr>
      <w:tr>
        <w:trPr>
          <w:trHeight w:val="428"/>
        </w:trPr>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300" w:type="dxa"/>
            <w:vAlign w:val="bottom"/>
            <w:gridSpan w:val="7"/>
          </w:tcPr>
          <w:p>
            <w:pPr>
              <w:jc w:val="center"/>
              <w:ind w:right="4340"/>
              <w:spacing w:after="0"/>
              <w:rPr>
                <w:sz w:val="20"/>
                <w:szCs w:val="20"/>
                <w:color w:val="auto"/>
              </w:rPr>
            </w:pPr>
            <w:r>
              <w:rPr>
                <w:rFonts w:ascii="Arial" w:cs="Arial" w:eastAsia="Arial" w:hAnsi="Arial"/>
                <w:sz w:val="18"/>
                <w:szCs w:val="18"/>
                <w:b w:val="1"/>
                <w:bCs w:val="1"/>
                <w:color w:val="auto"/>
                <w:w w:val="93"/>
              </w:rPr>
              <w:t>Index</w:t>
            </w:r>
          </w:p>
        </w:tc>
        <w:tc>
          <w:tcPr>
            <w:tcW w:w="800" w:type="dxa"/>
            <w:vAlign w:val="bottom"/>
          </w:tcPr>
          <w:p>
            <w:pPr>
              <w:spacing w:after="0"/>
              <w:rPr>
                <w:sz w:val="24"/>
                <w:szCs w:val="24"/>
                <w:color w:val="auto"/>
              </w:rPr>
            </w:pPr>
          </w:p>
        </w:tc>
      </w:tr>
      <w:tr>
        <w:trPr>
          <w:trHeight w:val="443"/>
        </w:trPr>
        <w:tc>
          <w:tcPr>
            <w:tcW w:w="8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560" w:type="dxa"/>
            <w:vAlign w:val="bottom"/>
            <w:gridSpan w:val="13"/>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3"/>
          </w:tcPr>
          <w:p>
            <w:pPr>
              <w:spacing w:after="0"/>
              <w:rPr>
                <w:sz w:val="20"/>
                <w:szCs w:val="20"/>
                <w:color w:val="auto"/>
              </w:rPr>
            </w:pPr>
            <w:r>
              <w:rPr>
                <w:rFonts w:ascii="Arial" w:cs="Arial" w:eastAsia="Arial" w:hAnsi="Arial"/>
                <w:sz w:val="18"/>
                <w:szCs w:val="18"/>
                <w:color w:val="auto"/>
              </w:rPr>
              <w:t>Financial Statements</w:t>
            </w:r>
          </w:p>
        </w:tc>
        <w:tc>
          <w:tcPr>
            <w:tcW w:w="800" w:type="dxa"/>
            <w:vAlign w:val="bottom"/>
          </w:tcPr>
          <w:p>
            <w:pPr>
              <w:spacing w:after="0"/>
              <w:rPr>
                <w:sz w:val="17"/>
                <w:szCs w:val="17"/>
                <w:color w:val="auto"/>
              </w:rPr>
            </w:pPr>
          </w:p>
        </w:tc>
      </w:tr>
      <w:tr>
        <w:trPr>
          <w:trHeight w:val="295"/>
        </w:trPr>
        <w:tc>
          <w:tcPr>
            <w:tcW w:w="880" w:type="dxa"/>
            <w:vAlign w:val="bottom"/>
          </w:tcPr>
          <w:p>
            <w:pPr>
              <w:spacing w:after="0"/>
              <w:rPr>
                <w:sz w:val="24"/>
                <w:szCs w:val="24"/>
                <w:color w:val="auto"/>
              </w:rPr>
            </w:pPr>
          </w:p>
        </w:tc>
        <w:tc>
          <w:tcPr>
            <w:tcW w:w="71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 December 31, 2020 and September 30, 2021 (unaudited)</w:t>
              </w:r>
            </w:hyperlink>
          </w:p>
        </w:tc>
        <w:tc>
          <w:tcPr>
            <w:tcW w:w="2420" w:type="dxa"/>
            <w:vAlign w:val="bottom"/>
            <w:gridSpan w:val="4"/>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- 3 -</w:t>
            </w:r>
          </w:p>
        </w:tc>
      </w:tr>
      <w:tr>
        <w:trPr>
          <w:trHeight w:val="314"/>
        </w:trPr>
        <w:tc>
          <w:tcPr>
            <w:tcW w:w="880" w:type="dxa"/>
            <w:vAlign w:val="bottom"/>
          </w:tcPr>
          <w:p>
            <w:pPr>
              <w:spacing w:after="0"/>
              <w:rPr>
                <w:sz w:val="24"/>
                <w:szCs w:val="24"/>
                <w:color w:val="auto"/>
              </w:rPr>
            </w:pPr>
          </w:p>
        </w:tc>
        <w:tc>
          <w:tcPr>
            <w:tcW w:w="87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 (unaudited) – Three and nine months ended September 30, 2020 and 2021</w:t>
              </w:r>
            </w:hyperlink>
          </w:p>
        </w:tc>
        <w:tc>
          <w:tcPr>
            <w:tcW w:w="840" w:type="dxa"/>
            <w:vAlign w:val="bottom"/>
            <w:gridSpan w:val="2"/>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- 4 -</w:t>
            </w:r>
          </w:p>
        </w:tc>
      </w:tr>
      <w:tr>
        <w:trPr>
          <w:trHeight w:val="314"/>
        </w:trPr>
        <w:tc>
          <w:tcPr>
            <w:tcW w:w="880" w:type="dxa"/>
            <w:vAlign w:val="bottom"/>
          </w:tcPr>
          <w:p>
            <w:pPr>
              <w:spacing w:after="0"/>
              <w:rPr>
                <w:sz w:val="24"/>
                <w:szCs w:val="24"/>
                <w:color w:val="auto"/>
              </w:rPr>
            </w:pPr>
          </w:p>
        </w:tc>
        <w:tc>
          <w:tcPr>
            <w:tcW w:w="9560" w:type="dxa"/>
            <w:vAlign w:val="bottom"/>
            <w:gridSpan w:val="13"/>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Stockholders’ Equity (unaudited) – Three and nine months ended September 30, 2020 and</w:t>
              </w:r>
            </w:hyperlink>
          </w:p>
        </w:tc>
        <w:tc>
          <w:tcPr>
            <w:tcW w:w="800" w:type="dxa"/>
            <w:vAlign w:val="bottom"/>
          </w:tcPr>
          <w:p>
            <w:pPr>
              <w:spacing w:after="0"/>
              <w:rPr>
                <w:sz w:val="24"/>
                <w:szCs w:val="24"/>
                <w:color w:val="auto"/>
              </w:rPr>
            </w:pPr>
          </w:p>
        </w:tc>
      </w:tr>
      <w:tr>
        <w:trPr>
          <w:trHeight w:val="194"/>
        </w:trPr>
        <w:tc>
          <w:tcPr>
            <w:tcW w:w="88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80" w:type="dxa"/>
            <w:vAlign w:val="bottom"/>
            <w:tcBorders>
              <w:top w:val="single" w:sz="8" w:color="0000EE"/>
              <w:bottom w:val="single" w:sz="8" w:color="0000EE"/>
            </w:tcBorders>
          </w:tcPr>
          <w:p>
            <w:pPr>
              <w:jc w:val="right"/>
              <w:spacing w:after="0" w:line="194"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2021</w:t>
              </w:r>
            </w:hyperlink>
          </w:p>
        </w:tc>
        <w:tc>
          <w:tcPr>
            <w:tcW w:w="30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24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156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116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ind w:left="300"/>
              <w:spacing w:after="0" w:line="194" w:lineRule="exact"/>
              <w:rPr>
                <w:sz w:val="20"/>
                <w:szCs w:val="20"/>
                <w:color w:val="auto"/>
              </w:rPr>
            </w:pPr>
            <w:r>
              <w:rPr>
                <w:rFonts w:ascii="Arial" w:cs="Arial" w:eastAsia="Arial" w:hAnsi="Arial"/>
                <w:sz w:val="18"/>
                <w:szCs w:val="18"/>
                <w:color w:val="auto"/>
              </w:rPr>
              <w:t>- 5 -</w:t>
            </w:r>
          </w:p>
        </w:tc>
      </w:tr>
      <w:tr>
        <w:trPr>
          <w:trHeight w:val="314"/>
        </w:trPr>
        <w:tc>
          <w:tcPr>
            <w:tcW w:w="880" w:type="dxa"/>
            <w:vAlign w:val="bottom"/>
          </w:tcPr>
          <w:p>
            <w:pPr>
              <w:spacing w:after="0"/>
              <w:rPr>
                <w:sz w:val="24"/>
                <w:szCs w:val="24"/>
                <w:color w:val="auto"/>
              </w:rPr>
            </w:pPr>
          </w:p>
        </w:tc>
        <w:tc>
          <w:tcPr>
            <w:tcW w:w="8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(unaudited) – Nine months ended September 30, 2020 and 2021</w:t>
              </w:r>
            </w:hyperlink>
          </w:p>
        </w:tc>
        <w:tc>
          <w:tcPr>
            <w:tcW w:w="1260" w:type="dxa"/>
            <w:vAlign w:val="bottom"/>
            <w:gridSpan w:val="3"/>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- 6 -</w:t>
            </w:r>
          </w:p>
        </w:tc>
      </w:tr>
      <w:tr>
        <w:trPr>
          <w:trHeight w:val="314"/>
        </w:trPr>
        <w:tc>
          <w:tcPr>
            <w:tcW w:w="880" w:type="dxa"/>
            <w:vAlign w:val="bottom"/>
          </w:tcPr>
          <w:p>
            <w:pPr>
              <w:spacing w:after="0"/>
              <w:rPr>
                <w:sz w:val="24"/>
                <w:szCs w:val="24"/>
                <w:color w:val="auto"/>
              </w:rPr>
            </w:pPr>
          </w:p>
        </w:tc>
        <w:tc>
          <w:tcPr>
            <w:tcW w:w="48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 (unaudited)</w:t>
              </w:r>
            </w:hyperlink>
          </w:p>
        </w:tc>
        <w:tc>
          <w:tcPr>
            <w:tcW w:w="4720" w:type="dxa"/>
            <w:vAlign w:val="bottom"/>
            <w:gridSpan w:val="6"/>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- 7 -</w:t>
            </w:r>
          </w:p>
        </w:tc>
      </w:tr>
      <w:tr>
        <w:trPr>
          <w:trHeight w:val="31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- 11 -</w:t>
            </w:r>
          </w:p>
        </w:tc>
      </w:tr>
      <w:tr>
        <w:trPr>
          <w:trHeight w:val="31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Quantitative and Qualitative Disclosure About Market Risk</w:t>
              </w:r>
            </w:hyperlink>
          </w:p>
        </w:tc>
        <w:tc>
          <w:tcPr>
            <w:tcW w:w="2140" w:type="dxa"/>
            <w:vAlign w:val="bottom"/>
            <w:tcBorders>
              <w:top w:val="single" w:sz="8" w:color="0000EE"/>
            </w:tcBorders>
            <w:gridSpan w:val="2"/>
          </w:tcPr>
          <w:p>
            <w:pPr>
              <w:spacing w:after="0"/>
              <w:rPr>
                <w:sz w:val="24"/>
                <w:szCs w:val="24"/>
                <w:color w:val="auto"/>
              </w:rPr>
            </w:pPr>
          </w:p>
        </w:tc>
        <w:tc>
          <w:tcPr>
            <w:tcW w:w="3160" w:type="dxa"/>
            <w:vAlign w:val="bottom"/>
            <w:gridSpan w:val="5"/>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18"/>
                <w:szCs w:val="18"/>
                <w:color w:val="auto"/>
              </w:rPr>
              <w:t>- 16 -</w:t>
            </w:r>
          </w:p>
        </w:tc>
      </w:tr>
      <w:tr>
        <w:trPr>
          <w:trHeight w:val="31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1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Controls and Procedures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- 16 -</w:t>
            </w:r>
          </w:p>
        </w:tc>
      </w:tr>
      <w:tr>
        <w:trPr>
          <w:trHeight w:val="20"/>
        </w:trPr>
        <w:tc>
          <w:tcPr>
            <w:tcW w:w="88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4"/>
        </w:trPr>
        <w:tc>
          <w:tcPr>
            <w:tcW w:w="8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OTHER INFORMATION</w:t>
              </w:r>
            </w:hyperlink>
          </w:p>
        </w:tc>
        <w:tc>
          <w:tcPr>
            <w:tcW w:w="7540" w:type="dxa"/>
            <w:vAlign w:val="bottom"/>
            <w:gridSpan w:val="8"/>
          </w:tcPr>
          <w:p>
            <w:pPr>
              <w:spacing w:after="0"/>
              <w:rPr>
                <w:sz w:val="24"/>
                <w:szCs w:val="24"/>
                <w:color w:val="auto"/>
              </w:rPr>
            </w:pPr>
          </w:p>
        </w:tc>
        <w:tc>
          <w:tcPr>
            <w:tcW w:w="800" w:type="dxa"/>
            <w:vAlign w:val="bottom"/>
          </w:tcPr>
          <w:p>
            <w:pPr>
              <w:spacing w:after="0"/>
              <w:rPr>
                <w:sz w:val="24"/>
                <w:szCs w:val="24"/>
                <w:color w:val="auto"/>
              </w:rPr>
            </w:pPr>
          </w:p>
        </w:tc>
      </w:tr>
      <w:tr>
        <w:trPr>
          <w:trHeight w:val="31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56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- 18 -</w:t>
            </w:r>
          </w:p>
        </w:tc>
      </w:tr>
      <w:tr>
        <w:trPr>
          <w:trHeight w:val="31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8660" w:type="dxa"/>
            <w:vAlign w:val="bottom"/>
            <w:gridSpan w:val="10"/>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18"/>
                <w:szCs w:val="18"/>
                <w:color w:val="auto"/>
              </w:rPr>
              <w:t>- 18 -</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Items 2, 3, 4 and 5 of Part II are omitted because there is no information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32"/>
        </w:trPr>
        <w:tc>
          <w:tcPr>
            <w:tcW w:w="8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center"/>
              <w:ind w:right="31"/>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70,637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75,959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10,731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23,536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101,246</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117,657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12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21,800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2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23,742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noncurrent</w:t>
            </w: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53,849</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20" w:type="dxa"/>
            <w:vAlign w:val="bottom"/>
          </w:tcPr>
          <w:p>
            <w:pPr>
              <w:ind w:left="26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4,940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Buildings</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23,161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20" w:type="dxa"/>
            <w:vAlign w:val="bottom"/>
          </w:tcPr>
          <w:p>
            <w:pPr>
              <w:ind w:left="260"/>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68,227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69,974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97,323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99,445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68,373</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70,902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property and equipment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28,950</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184,045</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192,340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8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1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2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12,198</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 to affiliate</w:t>
            </w: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13,150</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2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 -</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2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8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55,987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55,336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111,545</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117,530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167,656</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172,990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184,045</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192,340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4"/>
          </w:tcPr>
          <w:p>
            <w:pPr>
              <w:jc w:val="right"/>
              <w:ind w:right="411"/>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7"/>
              </w:rPr>
              <w:t>Nine months ended</w:t>
            </w:r>
          </w:p>
        </w:tc>
      </w:tr>
      <w:tr>
        <w:trPr>
          <w:trHeight w:val="232"/>
        </w:trPr>
        <w:tc>
          <w:tcPr>
            <w:tcW w:w="5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4"/>
          </w:tcPr>
          <w:p>
            <w:pPr>
              <w:jc w:val="right"/>
              <w:ind w:right="651"/>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7"/>
              </w:rPr>
              <w:t>September 30,</w:t>
            </w:r>
          </w:p>
        </w:tc>
      </w:tr>
      <w:tr>
        <w:trPr>
          <w:trHeight w:val="221"/>
        </w:trPr>
        <w:tc>
          <w:tcPr>
            <w:tcW w:w="57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94"/>
              </w:rPr>
              <w:t>2020</w:t>
            </w: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21"/>
        </w:trPr>
        <w:tc>
          <w:tcPr>
            <w:tcW w:w="5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28,426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34,556</w:t>
            </w:r>
          </w:p>
        </w:tc>
        <w:tc>
          <w:tcPr>
            <w:tcW w:w="600" w:type="dxa"/>
            <w:vAlign w:val="bottom"/>
            <w:gridSpan w:val="2"/>
            <w:shd w:val="clear" w:color="auto" w:fill="CFF0FC"/>
          </w:tcPr>
          <w:p>
            <w:pPr>
              <w:jc w:val="right"/>
              <w:ind w:right="171"/>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84,537</w:t>
            </w:r>
          </w:p>
        </w:tc>
        <w:tc>
          <w:tcPr>
            <w:tcW w:w="5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106,733</w:t>
            </w:r>
          </w:p>
        </w:tc>
        <w:tc>
          <w:tcPr>
            <w:tcW w:w="100" w:type="dxa"/>
            <w:vAlign w:val="bottom"/>
            <w:shd w:val="clear" w:color="auto" w:fill="CFF0FC"/>
          </w:tcPr>
          <w:p>
            <w:pPr>
              <w:spacing w:after="0"/>
              <w:rPr>
                <w:sz w:val="19"/>
                <w:szCs w:val="19"/>
                <w:color w:val="auto"/>
              </w:rPr>
            </w:pPr>
          </w:p>
        </w:tc>
      </w:tr>
      <w:tr>
        <w:trPr>
          <w:trHeight w:val="227"/>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21,098</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23,634</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59,412</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73,470</w:t>
            </w:r>
          </w:p>
        </w:tc>
        <w:tc>
          <w:tcPr>
            <w:tcW w:w="100" w:type="dxa"/>
            <w:vAlign w:val="bottom"/>
            <w:tcBorders>
              <w:bottom w:val="single" w:sz="8" w:color="CFF0FC"/>
            </w:tcBorders>
          </w:tcPr>
          <w:p>
            <w:pPr>
              <w:spacing w:after="0"/>
              <w:rPr>
                <w:sz w:val="19"/>
                <w:szCs w:val="19"/>
                <w:color w:val="auto"/>
              </w:rPr>
            </w:pPr>
          </w:p>
        </w:tc>
      </w:tr>
      <w:tr>
        <w:trPr>
          <w:trHeight w:val="221"/>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10,922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33,263</w:t>
            </w:r>
          </w:p>
        </w:tc>
        <w:tc>
          <w:tcPr>
            <w:tcW w:w="100" w:type="dxa"/>
            <w:vAlign w:val="bottom"/>
            <w:shd w:val="clear" w:color="auto" w:fill="CFF0FC"/>
          </w:tcPr>
          <w:p>
            <w:pPr>
              <w:spacing w:after="0"/>
              <w:rPr>
                <w:sz w:val="19"/>
                <w:szCs w:val="19"/>
                <w:color w:val="auto"/>
              </w:rPr>
            </w:pPr>
          </w:p>
        </w:tc>
      </w:tr>
      <w:tr>
        <w:trPr>
          <w:trHeight w:val="227"/>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5,791</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15,654</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16,557</w:t>
            </w:r>
          </w:p>
        </w:tc>
        <w:tc>
          <w:tcPr>
            <w:tcW w:w="100" w:type="dxa"/>
            <w:vAlign w:val="bottom"/>
            <w:tcBorders>
              <w:bottom w:val="single" w:sz="8" w:color="CFF0FC"/>
            </w:tcBorders>
          </w:tcPr>
          <w:p>
            <w:pPr>
              <w:spacing w:after="0"/>
              <w:rPr>
                <w:sz w:val="19"/>
                <w:szCs w:val="19"/>
                <w:color w:val="auto"/>
              </w:rPr>
            </w:pPr>
          </w:p>
        </w:tc>
      </w:tr>
      <w:tr>
        <w:trPr>
          <w:trHeight w:val="221"/>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5,131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16,706</w:t>
            </w:r>
          </w:p>
        </w:tc>
        <w:tc>
          <w:tcPr>
            <w:tcW w:w="100" w:type="dxa"/>
            <w:vAlign w:val="bottom"/>
            <w:shd w:val="clear" w:color="auto" w:fill="CFF0FC"/>
          </w:tcPr>
          <w:p>
            <w:pPr>
              <w:spacing w:after="0"/>
              <w:rPr>
                <w:sz w:val="19"/>
                <w:szCs w:val="19"/>
                <w:color w:val="auto"/>
              </w:rPr>
            </w:pPr>
          </w:p>
        </w:tc>
      </w:tr>
      <w:tr>
        <w:trPr>
          <w:trHeight w:val="227"/>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w:t>
            </w:r>
          </w:p>
        </w:tc>
        <w:tc>
          <w:tcPr>
            <w:tcW w:w="100" w:type="dxa"/>
            <w:vAlign w:val="bottom"/>
            <w:tcBorders>
              <w:bottom w:val="single" w:sz="8" w:color="CFF0FC"/>
            </w:tcBorders>
          </w:tcPr>
          <w:p>
            <w:pPr>
              <w:spacing w:after="0"/>
              <w:rPr>
                <w:sz w:val="19"/>
                <w:szCs w:val="19"/>
                <w:color w:val="auto"/>
              </w:rPr>
            </w:pPr>
          </w:p>
        </w:tc>
      </w:tr>
      <w:tr>
        <w:trPr>
          <w:trHeight w:val="221"/>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5,420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17,651</w:t>
            </w:r>
          </w:p>
        </w:tc>
        <w:tc>
          <w:tcPr>
            <w:tcW w:w="100" w:type="dxa"/>
            <w:vAlign w:val="bottom"/>
            <w:shd w:val="clear" w:color="auto" w:fill="CFF0FC"/>
          </w:tcPr>
          <w:p>
            <w:pPr>
              <w:spacing w:after="0"/>
              <w:rPr>
                <w:sz w:val="19"/>
                <w:szCs w:val="19"/>
                <w:color w:val="auto"/>
              </w:rPr>
            </w:pPr>
          </w:p>
        </w:tc>
      </w:tr>
      <w:tr>
        <w:trPr>
          <w:trHeight w:val="227"/>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1,288</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4,214</w:t>
            </w:r>
          </w:p>
        </w:tc>
        <w:tc>
          <w:tcPr>
            <w:tcW w:w="100" w:type="dxa"/>
            <w:vAlign w:val="bottom"/>
            <w:tcBorders>
              <w:bottom w:val="single" w:sz="8" w:color="CFF0FC"/>
            </w:tcBorders>
          </w:tcPr>
          <w:p>
            <w:pPr>
              <w:spacing w:after="0"/>
              <w:rPr>
                <w:sz w:val="19"/>
                <w:szCs w:val="19"/>
                <w:color w:val="auto"/>
              </w:rPr>
            </w:pPr>
          </w:p>
        </w:tc>
      </w:tr>
      <w:tr>
        <w:trPr>
          <w:trHeight w:val="221"/>
        </w:trPr>
        <w:tc>
          <w:tcPr>
            <w:tcW w:w="5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1,832</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4,132</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8,168</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13,437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income per common share</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0.33</w:t>
            </w:r>
          </w:p>
        </w:tc>
        <w:tc>
          <w:tcPr>
            <w:tcW w:w="600" w:type="dxa"/>
            <w:vAlign w:val="bottom"/>
            <w:gridSpan w:val="2"/>
            <w:shd w:val="clear" w:color="auto" w:fill="CFF0FC"/>
          </w:tcPr>
          <w:p>
            <w:pPr>
              <w:jc w:val="right"/>
              <w:ind w:right="171"/>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5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shd w:val="clear" w:color="auto" w:fill="CFF0FC"/>
          </w:tcPr>
          <w:p>
            <w:pPr>
              <w:spacing w:after="0"/>
              <w:rPr>
                <w:sz w:val="19"/>
                <w:szCs w:val="19"/>
                <w:color w:val="auto"/>
              </w:rPr>
            </w:pP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07"/>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12,451</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12,406</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12,447</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Three months ended September 30, 2020 and 2021 (unaudited)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75"/>
              <w:spacing w:after="0" w:line="146" w:lineRule="exact"/>
              <w:rPr>
                <w:sz w:val="20"/>
                <w:szCs w:val="20"/>
                <w:color w:val="auto"/>
              </w:rPr>
            </w:pPr>
            <w:r>
              <w:rPr>
                <w:rFonts w:ascii="Arial" w:cs="Arial" w:eastAsia="Arial" w:hAnsi="Arial"/>
                <w:sz w:val="14"/>
                <w:szCs w:val="14"/>
                <w:b w:val="1"/>
                <w:bCs w:val="1"/>
                <w:color w:val="auto"/>
                <w:w w:val="89"/>
              </w:rPr>
              <w:t>Class A</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5"/>
              <w:spacing w:after="0" w:line="146"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r>
      <w:tr>
        <w:trPr>
          <w:trHeight w:val="160"/>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common</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Treasury</w:t>
            </w:r>
          </w:p>
        </w:tc>
        <w:tc>
          <w:tcPr>
            <w:tcW w:w="20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stockholders'</w:t>
            </w:r>
          </w:p>
        </w:tc>
      </w:tr>
      <w:tr>
        <w:trPr>
          <w:trHeight w:val="170"/>
        </w:trPr>
        <w:tc>
          <w:tcPr>
            <w:tcW w:w="4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7"/>
              </w:rPr>
              <w:t>stock</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capital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stock</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4"/>
                <w:szCs w:val="14"/>
                <w:color w:val="auto"/>
              </w:rPr>
            </w:pPr>
          </w:p>
        </w:tc>
      </w:tr>
      <w:tr>
        <w:trPr>
          <w:trHeight w:val="447"/>
        </w:trPr>
        <w:tc>
          <w:tcPr>
            <w:tcW w:w="420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55,987</w:t>
            </w:r>
          </w:p>
        </w:tc>
        <w:tc>
          <w:tcPr>
            <w:tcW w:w="160" w:type="dxa"/>
            <w:vAlign w:val="bottom"/>
          </w:tcPr>
          <w:p>
            <w:pPr>
              <w:spacing w:after="0"/>
              <w:rPr>
                <w:sz w:val="24"/>
                <w:szCs w:val="24"/>
                <w:color w:val="auto"/>
              </w:rPr>
            </w:pP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110,049</w:t>
            </w:r>
          </w:p>
        </w:tc>
        <w:tc>
          <w:tcPr>
            <w:tcW w:w="160" w:type="dxa"/>
            <w:vAlign w:val="bottom"/>
          </w:tcPr>
          <w:p>
            <w:pPr>
              <w:spacing w:after="0"/>
              <w:rPr>
                <w:sz w:val="24"/>
                <w:szCs w:val="24"/>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166,160</w:t>
            </w:r>
          </w:p>
        </w:tc>
        <w:tc>
          <w:tcPr>
            <w:tcW w:w="120" w:type="dxa"/>
            <w:vAlign w:val="bottom"/>
          </w:tcPr>
          <w:p>
            <w:pPr>
              <w:spacing w:after="0"/>
              <w:rPr>
                <w:sz w:val="24"/>
                <w:szCs w:val="24"/>
                <w:color w:val="auto"/>
              </w:rPr>
            </w:pPr>
          </w:p>
        </w:tc>
      </w:tr>
      <w:tr>
        <w:trPr>
          <w:trHeight w:val="228"/>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w:t>
            </w:r>
          </w:p>
        </w:tc>
        <w:tc>
          <w:tcPr>
            <w:tcW w:w="120" w:type="dxa"/>
            <w:vAlign w:val="bottom"/>
            <w:shd w:val="clear" w:color="auto" w:fill="CFF0FC"/>
          </w:tcPr>
          <w:p>
            <w:pPr>
              <w:spacing w:after="0"/>
              <w:rPr>
                <w:sz w:val="19"/>
                <w:szCs w:val="19"/>
                <w:color w:val="auto"/>
              </w:rPr>
            </w:pPr>
          </w:p>
        </w:tc>
      </w:tr>
      <w:tr>
        <w:trPr>
          <w:trHeight w:val="227"/>
        </w:trPr>
        <w:tc>
          <w:tcPr>
            <w:tcW w:w="4200" w:type="dxa"/>
            <w:vAlign w:val="bottom"/>
          </w:tcPr>
          <w:p>
            <w:pPr>
              <w:spacing w:after="0"/>
              <w:rPr>
                <w:sz w:val="20"/>
                <w:szCs w:val="20"/>
                <w:color w:val="auto"/>
              </w:rPr>
            </w:pPr>
            <w:r>
              <w:rPr>
                <w:rFonts w:ascii="Arial" w:cs="Arial" w:eastAsia="Arial" w:hAnsi="Arial"/>
                <w:sz w:val="18"/>
                <w:szCs w:val="18"/>
                <w:color w:val="auto"/>
              </w:rPr>
              <w:t>Cash dividends ($0.10 per share)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(1,245)</w:t>
            </w:r>
          </w:p>
        </w:tc>
      </w:tr>
      <w:tr>
        <w:trPr>
          <w:trHeight w:val="221"/>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55,987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110,636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7"/>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30, 2021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55,336</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115,879</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171,339</w:t>
            </w:r>
          </w:p>
        </w:tc>
        <w:tc>
          <w:tcPr>
            <w:tcW w:w="120" w:type="dxa"/>
            <w:vAlign w:val="bottom"/>
            <w:shd w:val="clear" w:color="auto" w:fill="CFF0FC"/>
          </w:tcPr>
          <w:p>
            <w:pPr>
              <w:spacing w:after="0"/>
              <w:rPr>
                <w:sz w:val="19"/>
                <w:szCs w:val="19"/>
                <w:color w:val="auto"/>
              </w:rPr>
            </w:pPr>
          </w:p>
        </w:tc>
      </w:tr>
      <w:tr>
        <w:trPr>
          <w:trHeight w:val="227"/>
        </w:trPr>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4,132</w:t>
            </w:r>
          </w:p>
        </w:tc>
        <w:tc>
          <w:tcPr>
            <w:tcW w:w="120" w:type="dxa"/>
            <w:vAlign w:val="bottom"/>
          </w:tcPr>
          <w:p>
            <w:pPr>
              <w:spacing w:after="0"/>
              <w:rPr>
                <w:sz w:val="19"/>
                <w:szCs w:val="19"/>
                <w:color w:val="auto"/>
              </w:rPr>
            </w:pPr>
          </w:p>
        </w:tc>
      </w:tr>
      <w:tr>
        <w:trPr>
          <w:trHeight w:val="228"/>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($0.20 per share)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(2,481)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(2,481)</w:t>
            </w:r>
          </w:p>
        </w:tc>
      </w:tr>
      <w:tr>
        <w:trPr>
          <w:trHeight w:val="221"/>
        </w:trPr>
        <w:tc>
          <w:tcPr>
            <w:tcW w:w="420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117,530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172,990</w:t>
            </w:r>
          </w:p>
        </w:tc>
        <w:tc>
          <w:tcPr>
            <w:tcW w:w="12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4"/>
        </w:trPr>
        <w:tc>
          <w:tcPr>
            <w:tcW w:w="4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13"/>
          </w:tcPr>
          <w:p>
            <w:pPr>
              <w:jc w:val="right"/>
              <w:spacing w:after="0"/>
              <w:rPr>
                <w:sz w:val="20"/>
                <w:szCs w:val="20"/>
                <w:color w:val="auto"/>
              </w:rPr>
            </w:pPr>
            <w:r>
              <w:rPr>
                <w:rFonts w:ascii="Arial" w:cs="Arial" w:eastAsia="Arial" w:hAnsi="Arial"/>
                <w:sz w:val="18"/>
                <w:szCs w:val="18"/>
                <w:b w:val="1"/>
                <w:bCs w:val="1"/>
                <w:color w:val="auto"/>
                <w:w w:val="91"/>
              </w:rPr>
              <w:t>Nine months ended September 30, 2020 and 2021 (unaudited)</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5"/>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5"/>
              <w:spacing w:after="0" w:line="145" w:lineRule="exact"/>
              <w:rPr>
                <w:sz w:val="20"/>
                <w:szCs w:val="20"/>
                <w:color w:val="auto"/>
              </w:rPr>
            </w:pPr>
            <w:r>
              <w:rPr>
                <w:rFonts w:ascii="Arial" w:cs="Arial" w:eastAsia="Arial" w:hAnsi="Arial"/>
                <w:sz w:val="14"/>
                <w:szCs w:val="14"/>
                <w:b w:val="1"/>
                <w:bCs w:val="1"/>
                <w:color w:val="auto"/>
                <w:w w:val="89"/>
              </w:rPr>
              <w:t>Class A</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35"/>
              <w:spacing w:after="0" w:line="145"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r>
      <w:tr>
        <w:trPr>
          <w:trHeight w:val="160"/>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common</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Treasury</w:t>
            </w:r>
          </w:p>
        </w:tc>
        <w:tc>
          <w:tcPr>
            <w:tcW w:w="20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stockholders'</w:t>
            </w:r>
          </w:p>
        </w:tc>
      </w:tr>
      <w:tr>
        <w:trPr>
          <w:trHeight w:val="170"/>
        </w:trPr>
        <w:tc>
          <w:tcPr>
            <w:tcW w:w="4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7"/>
              </w:rPr>
              <w:t>stock</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capital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stock</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4"/>
                <w:szCs w:val="14"/>
                <w:color w:val="auto"/>
              </w:rPr>
            </w:pPr>
          </w:p>
        </w:tc>
      </w:tr>
      <w:tr>
        <w:trPr>
          <w:trHeight w:val="447"/>
        </w:trPr>
        <w:tc>
          <w:tcPr>
            <w:tcW w:w="420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55,869</w:t>
            </w:r>
          </w:p>
        </w:tc>
        <w:tc>
          <w:tcPr>
            <w:tcW w:w="160" w:type="dxa"/>
            <w:vAlign w:val="bottom"/>
          </w:tcPr>
          <w:p>
            <w:pPr>
              <w:spacing w:after="0"/>
              <w:rPr>
                <w:sz w:val="24"/>
                <w:szCs w:val="24"/>
                <w:color w:val="auto"/>
              </w:rPr>
            </w:pP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106,202</w:t>
            </w:r>
          </w:p>
        </w:tc>
        <w:tc>
          <w:tcPr>
            <w:tcW w:w="160" w:type="dxa"/>
            <w:vAlign w:val="bottom"/>
          </w:tcPr>
          <w:p>
            <w:pPr>
              <w:spacing w:after="0"/>
              <w:rPr>
                <w:sz w:val="24"/>
                <w:szCs w:val="24"/>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162,195</w:t>
            </w:r>
          </w:p>
        </w:tc>
        <w:tc>
          <w:tcPr>
            <w:tcW w:w="120" w:type="dxa"/>
            <w:vAlign w:val="bottom"/>
          </w:tcPr>
          <w:p>
            <w:pPr>
              <w:spacing w:after="0"/>
              <w:rPr>
                <w:sz w:val="24"/>
                <w:szCs w:val="24"/>
                <w:color w:val="auto"/>
              </w:rPr>
            </w:pPr>
          </w:p>
        </w:tc>
      </w:tr>
      <w:tr>
        <w:trPr>
          <w:trHeight w:val="228"/>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8,168</w:t>
            </w:r>
          </w:p>
        </w:tc>
        <w:tc>
          <w:tcPr>
            <w:tcW w:w="120" w:type="dxa"/>
            <w:vAlign w:val="bottom"/>
            <w:shd w:val="clear" w:color="auto" w:fill="CFF0FC"/>
          </w:tcPr>
          <w:p>
            <w:pPr>
              <w:spacing w:after="0"/>
              <w:rPr>
                <w:sz w:val="19"/>
                <w:szCs w:val="19"/>
                <w:color w:val="auto"/>
              </w:rPr>
            </w:pPr>
          </w:p>
        </w:tc>
      </w:tr>
      <w:tr>
        <w:trPr>
          <w:trHeight w:val="227"/>
        </w:trPr>
        <w:tc>
          <w:tcPr>
            <w:tcW w:w="42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r>
      <w:tr>
        <w:trPr>
          <w:trHeight w:val="228"/>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($0.30 per share)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(3,734)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(3,734)</w:t>
            </w:r>
          </w:p>
        </w:tc>
      </w:tr>
      <w:tr>
        <w:trPr>
          <w:trHeight w:val="260"/>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September 30,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55,987</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110,636</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166,747</w:t>
            </w:r>
          </w:p>
        </w:tc>
        <w:tc>
          <w:tcPr>
            <w:tcW w:w="120" w:type="dxa"/>
            <w:vAlign w:val="bottom"/>
            <w:tcBorders>
              <w:bottom w:val="single" w:sz="8" w:color="CFF0FC"/>
            </w:tcBorders>
          </w:tcPr>
          <w:p>
            <w:pPr>
              <w:spacing w:after="0"/>
              <w:rPr>
                <w:sz w:val="22"/>
                <w:szCs w:val="22"/>
                <w:color w:val="auto"/>
              </w:rPr>
            </w:pPr>
          </w:p>
        </w:tc>
      </w:tr>
      <w:tr>
        <w:trPr>
          <w:trHeight w:val="208"/>
        </w:trPr>
        <w:tc>
          <w:tcPr>
            <w:tcW w:w="4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7"/>
        </w:trPr>
        <w:tc>
          <w:tcPr>
            <w:tcW w:w="420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55,987</w:t>
            </w:r>
          </w:p>
        </w:tc>
        <w:tc>
          <w:tcPr>
            <w:tcW w:w="160" w:type="dxa"/>
            <w:vAlign w:val="bottom"/>
          </w:tcPr>
          <w:p>
            <w:pPr>
              <w:spacing w:after="0"/>
              <w:rPr>
                <w:sz w:val="19"/>
                <w:szCs w:val="19"/>
                <w:color w:val="auto"/>
              </w:rPr>
            </w:pP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111,545</w:t>
            </w:r>
          </w:p>
        </w:tc>
        <w:tc>
          <w:tcPr>
            <w:tcW w:w="160" w:type="dxa"/>
            <w:vAlign w:val="bottom"/>
          </w:tcPr>
          <w:p>
            <w:pPr>
              <w:spacing w:after="0"/>
              <w:rPr>
                <w:sz w:val="19"/>
                <w:szCs w:val="19"/>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167,656</w:t>
            </w:r>
          </w:p>
        </w:tc>
        <w:tc>
          <w:tcPr>
            <w:tcW w:w="120" w:type="dxa"/>
            <w:vAlign w:val="bottom"/>
          </w:tcPr>
          <w:p>
            <w:pPr>
              <w:spacing w:after="0"/>
              <w:rPr>
                <w:sz w:val="19"/>
                <w:szCs w:val="19"/>
                <w:color w:val="auto"/>
              </w:rPr>
            </w:pPr>
          </w:p>
        </w:tc>
      </w:tr>
      <w:tr>
        <w:trPr>
          <w:trHeight w:val="228"/>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13,437</w:t>
            </w:r>
          </w:p>
        </w:tc>
        <w:tc>
          <w:tcPr>
            <w:tcW w:w="120" w:type="dxa"/>
            <w:vAlign w:val="bottom"/>
            <w:shd w:val="clear" w:color="auto" w:fill="CFF0FC"/>
          </w:tcPr>
          <w:p>
            <w:pPr>
              <w:spacing w:after="0"/>
              <w:rPr>
                <w:sz w:val="19"/>
                <w:szCs w:val="19"/>
                <w:color w:val="auto"/>
              </w:rPr>
            </w:pPr>
          </w:p>
        </w:tc>
      </w:tr>
      <w:tr>
        <w:trPr>
          <w:trHeight w:val="227"/>
        </w:trPr>
        <w:tc>
          <w:tcPr>
            <w:tcW w:w="42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r>
      <w:tr>
        <w:trPr>
          <w:trHeight w:val="228"/>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($0.60 per share)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(7,452)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(7,452)</w:t>
            </w:r>
          </w:p>
        </w:tc>
      </w:tr>
      <w:tr>
        <w:trPr>
          <w:trHeight w:val="227"/>
        </w:trPr>
        <w:tc>
          <w:tcPr>
            <w:tcW w:w="4200" w:type="dxa"/>
            <w:vAlign w:val="bottom"/>
          </w:tcPr>
          <w:p>
            <w:pPr>
              <w:spacing w:after="0"/>
              <w:rPr>
                <w:sz w:val="20"/>
                <w:szCs w:val="20"/>
                <w:color w:val="auto"/>
              </w:rPr>
            </w:pPr>
            <w:r>
              <w:rPr>
                <w:rFonts w:ascii="Arial" w:cs="Arial" w:eastAsia="Arial" w:hAnsi="Arial"/>
                <w:sz w:val="18"/>
                <w:szCs w:val="18"/>
                <w:color w:val="auto"/>
              </w:rPr>
              <w:t>Treasury stock:</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4200" w:type="dxa"/>
            <w:vAlign w:val="bottom"/>
            <w:shd w:val="clear" w:color="auto" w:fill="CFF0FC"/>
          </w:tcPr>
          <w:p>
            <w:pPr>
              <w:ind w:left="80"/>
              <w:spacing w:after="0"/>
              <w:rPr>
                <w:sz w:val="20"/>
                <w:szCs w:val="20"/>
                <w:color w:val="auto"/>
              </w:rPr>
            </w:pPr>
            <w:r>
              <w:rPr>
                <w:rFonts w:ascii="Arial" w:cs="Arial" w:eastAsia="Arial" w:hAnsi="Arial"/>
                <w:sz w:val="18"/>
                <w:szCs w:val="18"/>
                <w:color w:val="auto"/>
              </w:rPr>
              <w:t>Acquired</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(755)</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(755)</w:t>
            </w:r>
          </w:p>
        </w:tc>
      </w:tr>
      <w:tr>
        <w:trPr>
          <w:trHeight w:val="227"/>
        </w:trPr>
        <w:tc>
          <w:tcPr>
            <w:tcW w:w="4200" w:type="dxa"/>
            <w:vAlign w:val="bottom"/>
          </w:tcPr>
          <w:p>
            <w:pPr>
              <w:ind w:left="100"/>
              <w:spacing w:after="0"/>
              <w:rPr>
                <w:sz w:val="20"/>
                <w:szCs w:val="20"/>
                <w:color w:val="auto"/>
              </w:rPr>
            </w:pPr>
            <w:r>
              <w:rPr>
                <w:rFonts w:ascii="Arial" w:cs="Arial" w:eastAsia="Arial" w:hAnsi="Arial"/>
                <w:sz w:val="18"/>
                <w:szCs w:val="18"/>
                <w:color w:val="auto"/>
              </w:rPr>
              <w:t>Retired</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1"/>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2021</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55,336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117,530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172,990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1"/>
        </w:trPr>
        <w:tc>
          <w:tcPr>
            <w:tcW w:w="8380" w:type="dxa"/>
            <w:vAlign w:val="bottom"/>
          </w:tcPr>
          <w:p>
            <w:pPr>
              <w:jc w:val="center"/>
              <w:ind w:left="2771"/>
              <w:spacing w:after="0"/>
              <w:rPr>
                <w:sz w:val="20"/>
                <w:szCs w:val="20"/>
                <w:color w:val="auto"/>
              </w:rPr>
            </w:pPr>
            <w:r>
              <w:rPr>
                <w:rFonts w:ascii="Arial" w:cs="Arial" w:eastAsia="Arial" w:hAnsi="Arial"/>
                <w:sz w:val="18"/>
                <w:szCs w:val="18"/>
                <w:b w:val="1"/>
                <w:bCs w:val="1"/>
                <w:color w:val="auto"/>
              </w:rPr>
              <w:t>COMPX INTERNATIONAL INC.</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8380" w:type="dxa"/>
            <w:vAlign w:val="bottom"/>
          </w:tcPr>
          <w:p>
            <w:pPr>
              <w:jc w:val="center"/>
              <w:ind w:left="2771"/>
              <w:spacing w:after="0"/>
              <w:rPr>
                <w:sz w:val="20"/>
                <w:szCs w:val="20"/>
                <w:color w:val="auto"/>
              </w:rPr>
            </w:pPr>
            <w:r>
              <w:rPr>
                <w:rFonts w:ascii="Arial" w:cs="Arial" w:eastAsia="Arial" w:hAnsi="Arial"/>
                <w:sz w:val="18"/>
                <w:szCs w:val="18"/>
                <w:b w:val="1"/>
                <w:bCs w:val="1"/>
                <w:color w:val="auto"/>
                <w:w w:val="97"/>
              </w:rPr>
              <w:t>CONDENSED CONSOLIDATED STATEMENTS OF CASH FLOWS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8380" w:type="dxa"/>
            <w:vAlign w:val="bottom"/>
          </w:tcPr>
          <w:p>
            <w:pPr>
              <w:jc w:val="center"/>
              <w:ind w:left="2791"/>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vMerge w:val="restart"/>
          </w:tcPr>
          <w:p>
            <w:pPr>
              <w:jc w:val="center"/>
              <w:ind w:right="380"/>
              <w:spacing w:after="0"/>
              <w:rPr>
                <w:sz w:val="20"/>
                <w:szCs w:val="20"/>
                <w:color w:val="auto"/>
              </w:rPr>
            </w:pPr>
            <w:r>
              <w:rPr>
                <w:rFonts w:ascii="Arial" w:cs="Arial" w:eastAsia="Arial" w:hAnsi="Arial"/>
                <w:sz w:val="18"/>
                <w:szCs w:val="18"/>
                <w:b w:val="1"/>
                <w:bCs w:val="1"/>
                <w:color w:val="auto"/>
                <w:w w:val="87"/>
              </w:rPr>
              <w:t>Nine months ended</w:t>
            </w:r>
          </w:p>
        </w:tc>
        <w:tc>
          <w:tcPr>
            <w:tcW w:w="0" w:type="dxa"/>
            <w:vAlign w:val="bottom"/>
          </w:tcPr>
          <w:p>
            <w:pPr>
              <w:spacing w:after="0"/>
              <w:rPr>
                <w:sz w:val="1"/>
                <w:szCs w:val="1"/>
                <w:color w:val="auto"/>
              </w:rPr>
            </w:pPr>
          </w:p>
        </w:tc>
      </w:tr>
      <w:tr>
        <w:trPr>
          <w:trHeight w:val="224"/>
        </w:trPr>
        <w:tc>
          <w:tcPr>
            <w:tcW w:w="8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31"/>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w w:val="84"/>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3"/>
          </w:tcPr>
          <w:p>
            <w:pPr>
              <w:jc w:val="center"/>
              <w:ind w:left="431"/>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8,168</w:t>
            </w:r>
          </w:p>
        </w:tc>
        <w:tc>
          <w:tcPr>
            <w:tcW w:w="280" w:type="dxa"/>
            <w:vAlign w:val="bottom"/>
          </w:tcPr>
          <w:p>
            <w:pPr>
              <w:spacing w:after="0"/>
              <w:rPr>
                <w:sz w:val="19"/>
                <w:szCs w:val="19"/>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2,872</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260"/>
              <w:spacing w:after="0"/>
              <w:rPr>
                <w:sz w:val="20"/>
                <w:szCs w:val="20"/>
                <w:color w:val="auto"/>
              </w:rPr>
            </w:pPr>
            <w:r>
              <w:rPr>
                <w:rFonts w:ascii="Arial" w:cs="Arial" w:eastAsia="Arial" w:hAnsi="Arial"/>
                <w:sz w:val="18"/>
                <w:szCs w:val="18"/>
                <w:color w:val="auto"/>
              </w:rPr>
              <w:t>Change in assets and liabilities: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(423)</w:t>
            </w:r>
          </w:p>
        </w:tc>
        <w:tc>
          <w:tcPr>
            <w:tcW w:w="4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(4,374)</w:t>
            </w:r>
          </w:p>
        </w:tc>
        <w:tc>
          <w:tcPr>
            <w:tcW w:w="0" w:type="dxa"/>
            <w:vAlign w:val="bottom"/>
          </w:tcPr>
          <w:p>
            <w:pPr>
              <w:spacing w:after="0"/>
              <w:rPr>
                <w:sz w:val="1"/>
                <w:szCs w:val="1"/>
                <w:color w:val="auto"/>
              </w:rPr>
            </w:pPr>
          </w:p>
        </w:tc>
      </w:tr>
      <w:tr>
        <w:trPr>
          <w:trHeight w:val="227"/>
        </w:trPr>
        <w:tc>
          <w:tcPr>
            <w:tcW w:w="838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(937)</w:t>
            </w:r>
          </w:p>
        </w:tc>
        <w:tc>
          <w:tcPr>
            <w:tcW w:w="4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(5,417)</w:t>
            </w:r>
          </w:p>
        </w:tc>
        <w:tc>
          <w:tcPr>
            <w:tcW w:w="0" w:type="dxa"/>
            <w:vAlign w:val="bottom"/>
          </w:tcPr>
          <w:p>
            <w:pPr>
              <w:spacing w:after="0"/>
              <w:rPr>
                <w:sz w:val="1"/>
                <w:szCs w:val="1"/>
                <w:color w:val="auto"/>
              </w:rPr>
            </w:pPr>
          </w:p>
        </w:tc>
      </w:tr>
      <w:tr>
        <w:trPr>
          <w:trHeight w:val="227"/>
        </w:trPr>
        <w:tc>
          <w:tcPr>
            <w:tcW w:w="8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(934)</w:t>
            </w: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500"/>
              <w:spacing w:after="0"/>
              <w:rPr>
                <w:sz w:val="20"/>
                <w:szCs w:val="20"/>
                <w:color w:val="auto"/>
              </w:rPr>
            </w:pPr>
            <w:r>
              <w:rPr>
                <w:rFonts w:ascii="Arial" w:cs="Arial" w:eastAsia="Arial" w:hAnsi="Arial"/>
                <w:sz w:val="18"/>
                <w:szCs w:val="18"/>
                <w:color w:val="auto"/>
              </w:rPr>
              <w:t>Accounts with affiliates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Prepaids and other, net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(195)</w:t>
            </w:r>
          </w:p>
        </w:tc>
        <w:tc>
          <w:tcPr>
            <w:tcW w:w="4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(1,592)</w:t>
            </w:r>
          </w:p>
        </w:tc>
        <w:tc>
          <w:tcPr>
            <w:tcW w:w="0" w:type="dxa"/>
            <w:vAlign w:val="bottom"/>
          </w:tcPr>
          <w:p>
            <w:pPr>
              <w:spacing w:after="0"/>
              <w:rPr>
                <w:sz w:val="1"/>
                <w:szCs w:val="1"/>
                <w:color w:val="auto"/>
              </w:rPr>
            </w:pPr>
          </w:p>
        </w:tc>
      </w:tr>
      <w:tr>
        <w:trPr>
          <w:trHeight w:val="221"/>
        </w:trPr>
        <w:tc>
          <w:tcPr>
            <w:tcW w:w="83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9,245</w:t>
            </w:r>
          </w:p>
        </w:tc>
        <w:tc>
          <w:tcPr>
            <w:tcW w:w="2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(1,291)</w:t>
            </w:r>
          </w:p>
        </w:tc>
        <w:tc>
          <w:tcPr>
            <w:tcW w:w="4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(2,266)</w:t>
            </w:r>
          </w:p>
        </w:tc>
        <w:tc>
          <w:tcPr>
            <w:tcW w:w="0" w:type="dxa"/>
            <w:vAlign w:val="bottom"/>
          </w:tcPr>
          <w:p>
            <w:pPr>
              <w:spacing w:after="0"/>
              <w:rPr>
                <w:sz w:val="1"/>
                <w:szCs w:val="1"/>
                <w:color w:val="auto"/>
              </w:rPr>
            </w:pPr>
          </w:p>
        </w:tc>
      </w:tr>
      <w:tr>
        <w:trPr>
          <w:trHeight w:val="227"/>
        </w:trPr>
        <w:tc>
          <w:tcPr>
            <w:tcW w:w="8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500"/>
              <w:spacing w:after="0"/>
              <w:rPr>
                <w:sz w:val="20"/>
                <w:szCs w:val="20"/>
                <w:color w:val="auto"/>
              </w:rPr>
            </w:pPr>
            <w:r>
              <w:rPr>
                <w:rFonts w:ascii="Arial" w:cs="Arial" w:eastAsia="Arial" w:hAnsi="Arial"/>
                <w:sz w:val="18"/>
                <w:szCs w:val="18"/>
                <w:color w:val="auto"/>
              </w:rPr>
              <w:t>Collections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22,828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33,100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Advances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(25,228)</w:t>
            </w:r>
          </w:p>
        </w:tc>
        <w:tc>
          <w:tcPr>
            <w:tcW w:w="4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(25,400)</w:t>
            </w:r>
          </w:p>
        </w:tc>
        <w:tc>
          <w:tcPr>
            <w:tcW w:w="0" w:type="dxa"/>
            <w:vAlign w:val="bottom"/>
          </w:tcPr>
          <w:p>
            <w:pPr>
              <w:spacing w:after="0"/>
              <w:rPr>
                <w:sz w:val="1"/>
                <w:szCs w:val="1"/>
                <w:color w:val="auto"/>
              </w:rPr>
            </w:pPr>
          </w:p>
        </w:tc>
      </w:tr>
      <w:tr>
        <w:trPr>
          <w:trHeight w:val="221"/>
        </w:trPr>
        <w:tc>
          <w:tcPr>
            <w:tcW w:w="83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2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(3,734)</w:t>
            </w:r>
          </w:p>
        </w:tc>
        <w:tc>
          <w:tcPr>
            <w:tcW w:w="4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(7,452)</w:t>
            </w:r>
          </w:p>
        </w:tc>
        <w:tc>
          <w:tcPr>
            <w:tcW w:w="0" w:type="dxa"/>
            <w:vAlign w:val="bottom"/>
          </w:tcPr>
          <w:p>
            <w:pPr>
              <w:spacing w:after="0"/>
              <w:rPr>
                <w:sz w:val="1"/>
                <w:szCs w:val="1"/>
                <w:color w:val="auto"/>
              </w:rPr>
            </w:pPr>
          </w:p>
        </w:tc>
      </w:tr>
      <w:tr>
        <w:trPr>
          <w:trHeight w:val="227"/>
        </w:trPr>
        <w:tc>
          <w:tcPr>
            <w:tcW w:w="8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acquired</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(755)</w:t>
            </w:r>
          </w:p>
        </w:tc>
        <w:tc>
          <w:tcPr>
            <w:tcW w:w="0" w:type="dxa"/>
            <w:vAlign w:val="bottom"/>
          </w:tcPr>
          <w:p>
            <w:pPr>
              <w:spacing w:after="0"/>
              <w:rPr>
                <w:sz w:val="1"/>
                <w:szCs w:val="1"/>
                <w:color w:val="auto"/>
              </w:rPr>
            </w:pPr>
          </w:p>
        </w:tc>
      </w:tr>
      <w:tr>
        <w:trPr>
          <w:trHeight w:val="221"/>
        </w:trPr>
        <w:tc>
          <w:tcPr>
            <w:tcW w:w="83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2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 net change from:</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260"/>
              <w:spacing w:after="0"/>
              <w:rPr>
                <w:sz w:val="20"/>
                <w:szCs w:val="20"/>
                <w:color w:val="auto"/>
              </w:rPr>
            </w:pPr>
            <w:r>
              <w:rPr>
                <w:rFonts w:ascii="Arial" w:cs="Arial" w:eastAsia="Arial" w:hAnsi="Arial"/>
                <w:sz w:val="18"/>
                <w:szCs w:val="18"/>
                <w:color w:val="auto"/>
              </w:rPr>
              <w:t>Operating, investing and financing activities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5,322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63,255</w:t>
            </w:r>
          </w:p>
        </w:tc>
        <w:tc>
          <w:tcPr>
            <w:tcW w:w="2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70,637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65,075</w:t>
            </w:r>
          </w:p>
        </w:tc>
        <w:tc>
          <w:tcPr>
            <w:tcW w:w="28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75,959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8380" w:type="dxa"/>
            <w:vAlign w:val="bottom"/>
            <w:shd w:val="clear" w:color="auto" w:fill="CFF0FC"/>
          </w:tcPr>
          <w:p>
            <w:pPr>
              <w:spacing w:after="0" w:line="206" w:lineRule="exact"/>
              <w:rPr>
                <w:sz w:val="20"/>
                <w:szCs w:val="20"/>
                <w:color w:val="auto"/>
              </w:rPr>
            </w:pPr>
            <w:r>
              <w:rPr>
                <w:rFonts w:ascii="Arial" w:cs="Arial" w:eastAsia="Arial" w:hAnsi="Arial"/>
                <w:sz w:val="18"/>
                <w:szCs w:val="18"/>
                <w:color w:val="auto"/>
              </w:rPr>
              <w:t>Supplemental disclosures -</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380" w:type="dxa"/>
            <w:vAlign w:val="bottom"/>
          </w:tcPr>
          <w:p>
            <w:pPr>
              <w:ind w:left="260"/>
              <w:spacing w:after="0"/>
              <w:rPr>
                <w:sz w:val="20"/>
                <w:szCs w:val="20"/>
                <w:color w:val="auto"/>
              </w:rPr>
            </w:pPr>
            <w:r>
              <w:rPr>
                <w:rFonts w:ascii="Arial" w:cs="Arial" w:eastAsia="Arial" w:hAnsi="Arial"/>
                <w:sz w:val="18"/>
                <w:szCs w:val="18"/>
                <w:color w:val="auto"/>
              </w:rPr>
              <w:t>Cash paid for income taxes</w:t>
            </w:r>
          </w:p>
        </w:tc>
        <w:tc>
          <w:tcPr>
            <w:tcW w:w="3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2,767</w:t>
            </w:r>
          </w:p>
        </w:tc>
        <w:tc>
          <w:tcPr>
            <w:tcW w:w="280" w:type="dxa"/>
            <w:vAlign w:val="bottom"/>
          </w:tcPr>
          <w:p>
            <w:pPr>
              <w:spacing w:after="0"/>
              <w:rPr>
                <w:sz w:val="20"/>
                <w:szCs w:val="20"/>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3,361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18" w:lineRule="exact"/>
        <w:rPr>
          <w:sz w:val="20"/>
          <w:szCs w:val="20"/>
          <w:color w:val="auto"/>
        </w:rPr>
      </w:pPr>
    </w:p>
    <w:p>
      <w:pPr>
        <w:jc w:val="both"/>
        <w:ind w:firstLine="510"/>
        <w:spacing w:after="0" w:line="266" w:lineRule="auto"/>
        <w:rPr>
          <w:sz w:val="20"/>
          <w:szCs w:val="20"/>
          <w:color w:val="auto"/>
        </w:rPr>
      </w:pPr>
      <w:r>
        <w:rPr>
          <w:rFonts w:ascii="Arial" w:cs="Arial" w:eastAsia="Arial" w:hAnsi="Arial"/>
          <w:sz w:val="17"/>
          <w:szCs w:val="17"/>
          <w:i w:val="1"/>
          <w:iCs w:val="1"/>
          <w:color w:val="auto"/>
        </w:rPr>
        <w:t>Organization</w:t>
      </w:r>
      <w:r>
        <w:rPr>
          <w:rFonts w:ascii="Arial" w:cs="Arial" w:eastAsia="Arial" w:hAnsi="Arial"/>
          <w:sz w:val="17"/>
          <w:szCs w:val="17"/>
          <w:color w:val="auto"/>
        </w:rPr>
        <w:t>. We (NYSE American: CIX) were approximately 87% owned by NL Industries, Inc. (NYSE: NL) at September 30, 2021. We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 and sell component products (security products and recreational marine components). At September 30, 2021, Valhi, Inc. (NYSE: VHI) owned approximately 83% of NL’s outstanding common stock and a wholly-owned subsidiary of Contran Corporation owned approximately 92% of Valhi’s outstanding common stock. A majority of Contran's outstanding voting stock is held directly by Lisa K. Simmons and various family trusts established for the benefit of Ms. Simmons, Thomas C. Connelly (the husband of Ms. Simmons’ late sister) and their children and for which Ms. Simmons or Mr. Connelly, as applicable, serve as trustee (collectively, the “Other Trusts”). With respect to the Other Trusts for which Mr. Connelly serves as trustee, he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September 30, 2021 Ms. Simmons and the Family Trust may be deemed to control Contran, and therefore may be deemed to indirectly control the wholly-owned subsidiary of Contran, Valhi, NL and us.</w:t>
      </w:r>
    </w:p>
    <w:p>
      <w:pPr>
        <w:spacing w:after="0" w:line="185"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Consolidated in this Quarterly Report are the results of CompX International Inc. and its subsidiaries. The unaudited</w:t>
      </w:r>
      <w:r>
        <w:rPr>
          <w:rFonts w:ascii="Arial" w:cs="Arial" w:eastAsia="Arial" w:hAnsi="Arial"/>
          <w:sz w:val="16"/>
          <w:szCs w:val="16"/>
          <w:i w:val="1"/>
          <w:iCs w:val="1"/>
          <w:color w:val="auto"/>
        </w:rPr>
        <w:t xml:space="preserve"> </w:t>
      </w:r>
      <w:r>
        <w:rPr>
          <w:rFonts w:ascii="Arial" w:cs="Arial" w:eastAsia="Arial" w:hAnsi="Arial"/>
          <w:sz w:val="16"/>
          <w:szCs w:val="16"/>
          <w:color w:val="auto"/>
        </w:rPr>
        <w:t>Condensed Consolidated Financial Statements contained in this Quarterly Report have been prepared on the same basis as the audited Consolidated Financial Statements included in our Annual Report on Form 10-K for the year ended December 31, 2020 that we filed with the Securities and Exchange Commission (“SEC”) on March 3, 2021 (the “2020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2020 contained in this Quarterly Report as compared to our audited Consolidated Financial Statements at that date, and we have omitted certain information and footnote disclosures (including those related to the Consolidated Balance Sheet at December 31, 2020) normally included in financial statements prepared in accordance with accounting principles generally accepted in the United States of America (“GAAP”). Our results of operations for the interim periods ended September 30, 2021 may not be indicative of our operating results for the full year. The Condensed Consolidated Financial Statements contained in this Quarterly Report should be read in conjunction with our 2020 Consolidated Financial Statements contained in our 2020 Annual Report.</w:t>
      </w:r>
    </w:p>
    <w:p>
      <w:pPr>
        <w:spacing w:after="0" w:line="66"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Our operations are reported on a 52 or 53-week year. For presentation purposes, annual and quarterly information in the Condensed Consolidated Financial Statements and accompanying notes are presented as ended September 30, 2020, December 31, 2020 and September 30, 2021. The actual dates of our annual and quarterly periods are September 27, 2020, January 3, 2021 and October 3, 2021, respectively. Unless otherwise indicated, references in this report to “we”, “us” or “our” refer to CompX International Inc. and its subsidiaries, taken as a whole.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1"/>
        </w:trPr>
        <w:tc>
          <w:tcPr>
            <w:tcW w:w="4260" w:type="dxa"/>
            <w:vAlign w:val="bottom"/>
          </w:tcPr>
          <w:p>
            <w:pPr>
              <w:spacing w:after="0"/>
              <w:rPr>
                <w:sz w:val="20"/>
                <w:szCs w:val="20"/>
                <w:color w:val="auto"/>
              </w:rPr>
            </w:pPr>
            <w:r>
              <w:rPr>
                <w:rFonts w:ascii="Arial" w:cs="Arial" w:eastAsia="Arial" w:hAnsi="Arial"/>
                <w:sz w:val="18"/>
                <w:szCs w:val="18"/>
                <w:b w:val="1"/>
                <w:bCs w:val="1"/>
                <w:color w:val="auto"/>
              </w:rPr>
              <w:t>Note 2 – Business segment information:</w:t>
            </w: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4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2"/>
              </w:rPr>
              <w:t>Three months ended</w:t>
            </w:r>
          </w:p>
        </w:tc>
        <w:tc>
          <w:tcPr>
            <w:tcW w:w="60" w:type="dxa"/>
            <w:vAlign w:val="bottom"/>
          </w:tcPr>
          <w:p>
            <w:pPr>
              <w:spacing w:after="0"/>
              <w:rPr>
                <w:sz w:val="24"/>
                <w:szCs w:val="24"/>
                <w:color w:val="auto"/>
              </w:rPr>
            </w:pPr>
          </w:p>
        </w:tc>
        <w:tc>
          <w:tcPr>
            <w:tcW w:w="228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2"/>
        </w:trPr>
        <w:tc>
          <w:tcPr>
            <w:tcW w:w="42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w w:val="92"/>
              </w:rPr>
              <w:t>September 30,</w:t>
            </w: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w w:val="94"/>
              </w:rPr>
              <w:t>2021</w:t>
            </w: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6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21,209</w:t>
            </w:r>
          </w:p>
        </w:tc>
        <w:tc>
          <w:tcPr>
            <w:tcW w:w="16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25,829</w:t>
            </w:r>
          </w:p>
        </w:tc>
        <w:tc>
          <w:tcPr>
            <w:tcW w:w="180" w:type="dxa"/>
            <w:vAlign w:val="bottom"/>
          </w:tcPr>
          <w:p>
            <w:pPr>
              <w:spacing w:after="0"/>
              <w:rPr>
                <w:sz w:val="20"/>
                <w:szCs w:val="20"/>
                <w:color w:val="auto"/>
              </w:rPr>
            </w:pPr>
          </w:p>
        </w:tc>
        <w:tc>
          <w:tcPr>
            <w:tcW w:w="520" w:type="dxa"/>
            <w:vAlign w:val="bottom"/>
            <w:gridSpan w:val="2"/>
          </w:tcPr>
          <w:p>
            <w:pPr>
              <w:jc w:val="right"/>
              <w:ind w:right="291"/>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65,251</w:t>
            </w:r>
          </w:p>
        </w:tc>
        <w:tc>
          <w:tcPr>
            <w:tcW w:w="240" w:type="dxa"/>
            <w:vAlign w:val="bottom"/>
          </w:tcPr>
          <w:p>
            <w:pPr>
              <w:spacing w:after="0"/>
              <w:rPr>
                <w:sz w:val="20"/>
                <w:szCs w:val="20"/>
                <w:color w:val="auto"/>
              </w:rPr>
            </w:pPr>
          </w:p>
        </w:tc>
        <w:tc>
          <w:tcPr>
            <w:tcW w:w="200" w:type="dxa"/>
            <w:vAlign w:val="bottom"/>
          </w:tcPr>
          <w:p>
            <w:pPr>
              <w:jc w:val="right"/>
              <w:ind w:right="42"/>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79,301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2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8,727</w:t>
            </w: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3"/>
              </w:rPr>
              <w:t>19,286</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27,432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4260" w:type="dxa"/>
            <w:vAlign w:val="bottom"/>
          </w:tcPr>
          <w:p>
            <w:pPr>
              <w:ind w:left="740"/>
              <w:spacing w:after="0"/>
              <w:rPr>
                <w:sz w:val="20"/>
                <w:szCs w:val="20"/>
                <w:color w:val="auto"/>
              </w:rPr>
            </w:pPr>
            <w:r>
              <w:rPr>
                <w:rFonts w:ascii="Arial" w:cs="Arial" w:eastAsia="Arial" w:hAnsi="Arial"/>
                <w:sz w:val="18"/>
                <w:szCs w:val="18"/>
                <w:color w:val="auto"/>
              </w:rPr>
              <w:t>Total net sales</w:t>
            </w:r>
          </w:p>
        </w:tc>
        <w:tc>
          <w:tcPr>
            <w:tcW w:w="2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28,426</w:t>
            </w:r>
          </w:p>
        </w:tc>
        <w:tc>
          <w:tcPr>
            <w:tcW w:w="160" w:type="dxa"/>
            <w:vAlign w:val="bottom"/>
          </w:tcPr>
          <w:p>
            <w:pPr>
              <w:spacing w:after="0"/>
              <w:rPr>
                <w:sz w:val="23"/>
                <w:szCs w:val="2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34,556</w:t>
            </w:r>
          </w:p>
        </w:tc>
        <w:tc>
          <w:tcPr>
            <w:tcW w:w="180" w:type="dxa"/>
            <w:vAlign w:val="bottom"/>
          </w:tcPr>
          <w:p>
            <w:pPr>
              <w:spacing w:after="0"/>
              <w:rPr>
                <w:sz w:val="23"/>
                <w:szCs w:val="23"/>
                <w:color w:val="auto"/>
              </w:rPr>
            </w:pPr>
          </w:p>
        </w:tc>
        <w:tc>
          <w:tcPr>
            <w:tcW w:w="520" w:type="dxa"/>
            <w:vAlign w:val="bottom"/>
            <w:gridSpan w:val="2"/>
          </w:tcPr>
          <w:p>
            <w:pPr>
              <w:jc w:val="right"/>
              <w:ind w:right="291"/>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84,537</w:t>
            </w:r>
          </w:p>
        </w:tc>
        <w:tc>
          <w:tcPr>
            <w:tcW w:w="240" w:type="dxa"/>
            <w:vAlign w:val="bottom"/>
          </w:tcPr>
          <w:p>
            <w:pPr>
              <w:spacing w:after="0"/>
              <w:rPr>
                <w:sz w:val="23"/>
                <w:szCs w:val="23"/>
                <w:color w:val="auto"/>
              </w:rPr>
            </w:pPr>
          </w:p>
        </w:tc>
        <w:tc>
          <w:tcPr>
            <w:tcW w:w="200" w:type="dxa"/>
            <w:vAlign w:val="bottom"/>
          </w:tcPr>
          <w:p>
            <w:pPr>
              <w:jc w:val="right"/>
              <w:ind w:right="42"/>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106,733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260" w:type="dxa"/>
            <w:vAlign w:val="bottom"/>
            <w:tcBorders>
              <w:top w:val="single" w:sz="8" w:color="CFF0FC"/>
            </w:tcBorders>
            <w:shd w:val="clear" w:color="auto" w:fill="CFF0FC"/>
          </w:tcPr>
          <w:p>
            <w:pPr>
              <w:spacing w:after="0"/>
              <w:rPr>
                <w:sz w:val="19"/>
                <w:szCs w:val="19"/>
                <w:color w:val="auto"/>
              </w:rPr>
            </w:pPr>
          </w:p>
        </w:tc>
        <w:tc>
          <w:tcPr>
            <w:tcW w:w="2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26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2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2,797</w:t>
            </w: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5,529</w:t>
            </w:r>
          </w:p>
        </w:tc>
        <w:tc>
          <w:tcPr>
            <w:tcW w:w="18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291"/>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3"/>
              </w:rPr>
              <w:t>11,871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2"/>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16,864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6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1,255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3,010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4,796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operating expenses</w:t>
            </w:r>
          </w:p>
        </w:tc>
        <w:tc>
          <w:tcPr>
            <w:tcW w:w="2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(1,653)</w:t>
            </w:r>
          </w:p>
        </w:tc>
        <w:tc>
          <w:tcPr>
            <w:tcW w:w="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7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w w:val="94"/>
              </w:rPr>
              <w:t>(5,410)</w:t>
            </w: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(4,954)</w:t>
            </w:r>
          </w:p>
        </w:tc>
        <w:tc>
          <w:tcPr>
            <w:tcW w:w="0" w:type="dxa"/>
            <w:vAlign w:val="bottom"/>
          </w:tcPr>
          <w:p>
            <w:pPr>
              <w:spacing w:after="0"/>
              <w:rPr>
                <w:sz w:val="1"/>
                <w:szCs w:val="1"/>
                <w:color w:val="auto"/>
              </w:rPr>
            </w:pPr>
          </w:p>
        </w:tc>
      </w:tr>
      <w:tr>
        <w:trPr>
          <w:trHeight w:val="234"/>
        </w:trPr>
        <w:tc>
          <w:tcPr>
            <w:tcW w:w="4260" w:type="dxa"/>
            <w:vAlign w:val="bottom"/>
          </w:tcPr>
          <w:p>
            <w:pPr>
              <w:ind w:left="740"/>
              <w:spacing w:after="0"/>
              <w:rPr>
                <w:sz w:val="20"/>
                <w:szCs w:val="20"/>
                <w:color w:val="auto"/>
              </w:rPr>
            </w:pPr>
            <w:r>
              <w:rPr>
                <w:rFonts w:ascii="Arial" w:cs="Arial" w:eastAsia="Arial" w:hAnsi="Arial"/>
                <w:sz w:val="18"/>
                <w:szCs w:val="18"/>
                <w:color w:val="auto"/>
              </w:rPr>
              <w:t>Total operating income</w:t>
            </w:r>
          </w:p>
        </w:tc>
        <w:tc>
          <w:tcPr>
            <w:tcW w:w="2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5,131</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9,471</w:t>
            </w: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16,706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w:t>
            </w:r>
          </w:p>
        </w:tc>
        <w:tc>
          <w:tcPr>
            <w:tcW w:w="22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289</w:t>
            </w: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2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2,442</w:t>
            </w:r>
          </w:p>
        </w:tc>
        <w:tc>
          <w:tcPr>
            <w:tcW w:w="16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5,420</w:t>
            </w:r>
          </w:p>
        </w:tc>
        <w:tc>
          <w:tcPr>
            <w:tcW w:w="180" w:type="dxa"/>
            <w:vAlign w:val="bottom"/>
          </w:tcPr>
          <w:p>
            <w:pPr>
              <w:spacing w:after="0"/>
              <w:rPr>
                <w:sz w:val="20"/>
                <w:szCs w:val="20"/>
                <w:color w:val="auto"/>
              </w:rPr>
            </w:pPr>
          </w:p>
        </w:tc>
        <w:tc>
          <w:tcPr>
            <w:tcW w:w="520" w:type="dxa"/>
            <w:vAlign w:val="bottom"/>
            <w:gridSpan w:val="2"/>
          </w:tcPr>
          <w:p>
            <w:pPr>
              <w:jc w:val="right"/>
              <w:ind w:right="291"/>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10,808</w:t>
            </w:r>
          </w:p>
        </w:tc>
        <w:tc>
          <w:tcPr>
            <w:tcW w:w="240" w:type="dxa"/>
            <w:vAlign w:val="bottom"/>
          </w:tcPr>
          <w:p>
            <w:pPr>
              <w:spacing w:after="0"/>
              <w:rPr>
                <w:sz w:val="20"/>
                <w:szCs w:val="20"/>
                <w:color w:val="auto"/>
              </w:rPr>
            </w:pPr>
          </w:p>
        </w:tc>
        <w:tc>
          <w:tcPr>
            <w:tcW w:w="200" w:type="dxa"/>
            <w:vAlign w:val="bottom"/>
          </w:tcPr>
          <w:p>
            <w:pPr>
              <w:jc w:val="right"/>
              <w:ind w:right="42"/>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17,651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ind w:left="520"/>
              <w:spacing w:after="0"/>
              <w:rPr>
                <w:sz w:val="20"/>
                <w:szCs w:val="20"/>
                <w:color w:val="auto"/>
              </w:rPr>
            </w:pPr>
            <w:r>
              <w:rPr>
                <w:rFonts w:ascii="Arial" w:cs="Arial" w:eastAsia="Arial" w:hAnsi="Arial"/>
                <w:sz w:val="18"/>
                <w:szCs w:val="18"/>
                <w:color w:val="auto"/>
              </w:rPr>
              <w:t>Intersegment sales are not material.</w:t>
            </w:r>
          </w:p>
        </w:tc>
        <w:tc>
          <w:tcPr>
            <w:tcW w:w="2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4260" w:type="dxa"/>
            <w:vAlign w:val="bottom"/>
            <w:vMerge w:val="continue"/>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260" w:type="dxa"/>
            <w:vAlign w:val="bottom"/>
          </w:tcPr>
          <w:p>
            <w:pPr>
              <w:spacing w:after="0"/>
              <w:rPr>
                <w:sz w:val="20"/>
                <w:szCs w:val="20"/>
                <w:color w:val="auto"/>
              </w:rPr>
            </w:pPr>
            <w:r>
              <w:rPr>
                <w:rFonts w:ascii="Arial" w:cs="Arial" w:eastAsia="Arial" w:hAnsi="Arial"/>
                <w:sz w:val="18"/>
                <w:szCs w:val="18"/>
                <w:b w:val="1"/>
                <w:bCs w:val="1"/>
                <w:color w:val="auto"/>
              </w:rPr>
              <w:t>Note 3 – Accounts receivable, net:</w:t>
            </w: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24"/>
                <w:szCs w:val="24"/>
                <w:color w:val="auto"/>
              </w:rPr>
            </w:pPr>
          </w:p>
        </w:tc>
        <w:tc>
          <w:tcPr>
            <w:tcW w:w="1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32"/>
        </w:trPr>
        <w:tc>
          <w:tcPr>
            <w:tcW w:w="42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Borders>
              <w:bottom w:val="single" w:sz="8" w:color="auto"/>
            </w:tcBorders>
            <w:gridSpan w:val="2"/>
          </w:tcPr>
          <w:p>
            <w:pPr>
              <w:jc w:val="center"/>
              <w:ind w:left="414"/>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411"/>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554"/>
              <w:spacing w:after="0"/>
              <w:rPr>
                <w:sz w:val="20"/>
                <w:szCs w:val="20"/>
                <w:color w:val="auto"/>
              </w:rPr>
            </w:pPr>
            <w:r>
              <w:rPr>
                <w:rFonts w:ascii="Arial" w:cs="Arial" w:eastAsia="Arial" w:hAnsi="Arial"/>
                <w:sz w:val="14"/>
                <w:szCs w:val="14"/>
                <w:color w:val="auto"/>
                <w:w w:val="76"/>
              </w:rPr>
              <w:t>$</w:t>
            </w:r>
          </w:p>
        </w:tc>
        <w:tc>
          <w:tcPr>
            <w:tcW w:w="1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8,797</w:t>
            </w:r>
          </w:p>
        </w:tc>
        <w:tc>
          <w:tcPr>
            <w:tcW w:w="50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111"/>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21"/>
        </w:trPr>
        <w:tc>
          <w:tcPr>
            <w:tcW w:w="42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accounts receivable, net</w:t>
            </w:r>
          </w:p>
        </w:tc>
        <w:tc>
          <w:tcPr>
            <w:tcW w:w="2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54"/>
              <w:spacing w:after="0"/>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7"/>
              </w:rPr>
              <w:t>10,731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15,106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Note 4 – Inventories, net:</w:t>
            </w: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260" w:type="dxa"/>
            <w:vAlign w:val="bottom"/>
            <w:vMerge w:val="continue"/>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24"/>
                <w:szCs w:val="24"/>
                <w:color w:val="auto"/>
              </w:rPr>
            </w:pPr>
          </w:p>
        </w:tc>
        <w:tc>
          <w:tcPr>
            <w:tcW w:w="1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32"/>
        </w:trPr>
        <w:tc>
          <w:tcPr>
            <w:tcW w:w="42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Borders>
              <w:bottom w:val="single" w:sz="8" w:color="auto"/>
            </w:tcBorders>
            <w:gridSpan w:val="2"/>
          </w:tcPr>
          <w:p>
            <w:pPr>
              <w:jc w:val="center"/>
              <w:ind w:left="414"/>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411"/>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554"/>
              <w:spacing w:after="0"/>
              <w:rPr>
                <w:sz w:val="20"/>
                <w:szCs w:val="20"/>
                <w:color w:val="auto"/>
              </w:rPr>
            </w:pPr>
            <w:r>
              <w:rPr>
                <w:rFonts w:ascii="Arial" w:cs="Arial" w:eastAsia="Arial" w:hAnsi="Arial"/>
                <w:sz w:val="14"/>
                <w:szCs w:val="14"/>
                <w:color w:val="auto"/>
                <w:w w:val="76"/>
              </w:rPr>
              <w:t>$</w:t>
            </w:r>
          </w:p>
        </w:tc>
        <w:tc>
          <w:tcPr>
            <w:tcW w:w="1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2,318</w:t>
            </w:r>
          </w:p>
        </w:tc>
        <w:tc>
          <w:tcPr>
            <w:tcW w:w="50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raw materials</w:t>
            </w:r>
          </w:p>
        </w:tc>
        <w:tc>
          <w:tcPr>
            <w:tcW w:w="22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3,220</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9,214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2,454</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work-in-process</w:t>
            </w:r>
          </w:p>
        </w:tc>
        <w:tc>
          <w:tcPr>
            <w:tcW w:w="22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11,668</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2,235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finished goods</w:t>
            </w:r>
          </w:p>
        </w:tc>
        <w:tc>
          <w:tcPr>
            <w:tcW w:w="22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3,449</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inventories, net</w:t>
            </w:r>
          </w:p>
        </w:tc>
        <w:tc>
          <w:tcPr>
            <w:tcW w:w="2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54"/>
              <w:spacing w:after="0"/>
              <w:rPr>
                <w:sz w:val="20"/>
                <w:szCs w:val="20"/>
                <w:color w:val="auto"/>
              </w:rPr>
            </w:pPr>
            <w:r>
              <w:rPr>
                <w:rFonts w:ascii="Arial" w:cs="Arial" w:eastAsia="Arial" w:hAnsi="Arial"/>
                <w:sz w:val="14"/>
                <w:szCs w:val="14"/>
                <w:color w:val="auto"/>
                <w:w w:val="76"/>
              </w:rPr>
              <w:t>$</w:t>
            </w:r>
          </w:p>
        </w:tc>
        <w:tc>
          <w:tcPr>
            <w:tcW w:w="1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7"/>
              </w:rPr>
              <w:t>18,337</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23,536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280" w:type="dxa"/>
            <w:vAlign w:val="bottom"/>
            <w:vMerge w:val="restart"/>
          </w:tcPr>
          <w:p>
            <w:pPr>
              <w:jc w:val="right"/>
              <w:ind w:right="671"/>
              <w:spacing w:after="0"/>
              <w:rPr>
                <w:sz w:val="20"/>
                <w:szCs w:val="20"/>
                <w:color w:val="auto"/>
              </w:rPr>
            </w:pPr>
            <w:r>
              <w:rPr>
                <w:rFonts w:ascii="Arial" w:cs="Arial" w:eastAsia="Arial" w:hAnsi="Arial"/>
                <w:sz w:val="18"/>
                <w:szCs w:val="18"/>
                <w:color w:val="auto"/>
              </w:rPr>
              <w:t>- 8 -</w:t>
            </w: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42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r>
              <w:rPr>
                <w:rFonts w:ascii="Arial" w:cs="Arial" w:eastAsia="Arial" w:hAnsi="Arial"/>
                <w:sz w:val="18"/>
                <w:szCs w:val="18"/>
                <w:b w:val="1"/>
                <w:bCs w:val="1"/>
                <w:color w:val="auto"/>
              </w:rPr>
              <w:t>Note 5 – Accounts payable and accrued liabilities: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8"/>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b w:val="1"/>
                <w:bCs w:val="1"/>
                <w:color w:val="auto"/>
                <w:w w:val="90"/>
              </w:rPr>
              <w:t>December 31,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r>
      <w:tr>
        <w:trPr>
          <w:trHeight w:val="232"/>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21"/>
        </w:trPr>
        <w:tc>
          <w:tcPr>
            <w:tcW w:w="8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4"/>
          </w:tcPr>
          <w:p>
            <w:pPr>
              <w:jc w:val="right"/>
              <w:ind w:right="951"/>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r>
      <w:tr>
        <w:trPr>
          <w:trHeight w:val="227"/>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80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1,859</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3,136</w:t>
            </w:r>
          </w:p>
        </w:tc>
        <w:tc>
          <w:tcPr>
            <w:tcW w:w="100" w:type="dxa"/>
            <w:vAlign w:val="bottom"/>
          </w:tcPr>
          <w:p>
            <w:pPr>
              <w:spacing w:after="0"/>
              <w:rPr>
                <w:sz w:val="19"/>
                <w:szCs w:val="19"/>
                <w:color w:val="auto"/>
              </w:rPr>
            </w:pPr>
          </w:p>
        </w:tc>
      </w:tr>
      <w:tr>
        <w:trPr>
          <w:trHeight w:val="227"/>
        </w:trPr>
        <w:tc>
          <w:tcPr>
            <w:tcW w:w="8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1,366</w:t>
            </w:r>
          </w:p>
        </w:tc>
        <w:tc>
          <w:tcPr>
            <w:tcW w:w="100" w:type="dxa"/>
            <w:vAlign w:val="bottom"/>
            <w:shd w:val="clear" w:color="auto" w:fill="CFF0FC"/>
          </w:tcPr>
          <w:p>
            <w:pPr>
              <w:spacing w:after="0"/>
              <w:rPr>
                <w:sz w:val="19"/>
                <w:szCs w:val="19"/>
                <w:color w:val="auto"/>
              </w:rPr>
            </w:pPr>
          </w:p>
        </w:tc>
      </w:tr>
      <w:tr>
        <w:trPr>
          <w:trHeight w:val="227"/>
        </w:trPr>
        <w:tc>
          <w:tcPr>
            <w:tcW w:w="8000" w:type="dxa"/>
            <w:vAlign w:val="bottom"/>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8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Employee benefits</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8,137</w:t>
            </w:r>
          </w:p>
        </w:tc>
        <w:tc>
          <w:tcPr>
            <w:tcW w:w="100" w:type="dxa"/>
            <w:vAlign w:val="bottom"/>
            <w:shd w:val="clear" w:color="auto" w:fill="CFF0FC"/>
          </w:tcPr>
          <w:p>
            <w:pPr>
              <w:spacing w:after="0"/>
              <w:rPr>
                <w:sz w:val="19"/>
                <w:szCs w:val="19"/>
                <w:color w:val="auto"/>
              </w:rPr>
            </w:pPr>
          </w:p>
        </w:tc>
      </w:tr>
      <w:tr>
        <w:trPr>
          <w:trHeight w:val="227"/>
        </w:trPr>
        <w:tc>
          <w:tcPr>
            <w:tcW w:w="8000" w:type="dxa"/>
            <w:vAlign w:val="bottom"/>
          </w:tcPr>
          <w:p>
            <w:pPr>
              <w:ind w:left="500"/>
              <w:spacing w:after="0"/>
              <w:rPr>
                <w:sz w:val="20"/>
                <w:szCs w:val="20"/>
                <w:color w:val="auto"/>
              </w:rPr>
            </w:pPr>
            <w:r>
              <w:rPr>
                <w:rFonts w:ascii="Arial" w:cs="Arial" w:eastAsia="Arial" w:hAnsi="Arial"/>
                <w:sz w:val="18"/>
                <w:szCs w:val="18"/>
                <w:color w:val="auto"/>
              </w:rPr>
              <w:t>Taxes other than on income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588</w:t>
            </w:r>
          </w:p>
        </w:tc>
        <w:tc>
          <w:tcPr>
            <w:tcW w:w="100" w:type="dxa"/>
            <w:vAlign w:val="bottom"/>
          </w:tcPr>
          <w:p>
            <w:pPr>
              <w:spacing w:after="0"/>
              <w:rPr>
                <w:sz w:val="19"/>
                <w:szCs w:val="19"/>
                <w:color w:val="auto"/>
              </w:rPr>
            </w:pPr>
          </w:p>
        </w:tc>
      </w:tr>
      <w:tr>
        <w:trPr>
          <w:trHeight w:val="227"/>
        </w:trPr>
        <w:tc>
          <w:tcPr>
            <w:tcW w:w="8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Customer tooling</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527</w:t>
            </w:r>
          </w:p>
        </w:tc>
        <w:tc>
          <w:tcPr>
            <w:tcW w:w="100" w:type="dxa"/>
            <w:vAlign w:val="bottom"/>
            <w:shd w:val="clear" w:color="auto" w:fill="CFF0FC"/>
          </w:tcPr>
          <w:p>
            <w:pPr>
              <w:spacing w:after="0"/>
              <w:rPr>
                <w:sz w:val="19"/>
                <w:szCs w:val="19"/>
                <w:color w:val="auto"/>
              </w:rPr>
            </w:pPr>
          </w:p>
        </w:tc>
      </w:tr>
      <w:tr>
        <w:trPr>
          <w:trHeight w:val="227"/>
        </w:trPr>
        <w:tc>
          <w:tcPr>
            <w:tcW w:w="80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540</w:t>
            </w:r>
          </w:p>
        </w:tc>
        <w:tc>
          <w:tcPr>
            <w:tcW w:w="100" w:type="dxa"/>
            <w:vAlign w:val="bottom"/>
            <w:tcBorders>
              <w:bottom w:val="single" w:sz="8" w:color="CFF0FC"/>
            </w:tcBorders>
          </w:tcPr>
          <w:p>
            <w:pPr>
              <w:spacing w:after="0"/>
              <w:rPr>
                <w:sz w:val="19"/>
                <w:szCs w:val="19"/>
                <w:color w:val="auto"/>
              </w:rPr>
            </w:pPr>
          </w:p>
        </w:tc>
      </w:tr>
      <w:tr>
        <w:trPr>
          <w:trHeight w:val="221"/>
        </w:trPr>
        <w:tc>
          <w:tcPr>
            <w:tcW w:w="8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accounts payable and accrued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12,198</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14,294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620" w:type="dxa"/>
            <w:vAlign w:val="bottom"/>
          </w:tcPr>
          <w:p>
            <w:pPr>
              <w:spacing w:after="0"/>
              <w:rPr>
                <w:sz w:val="20"/>
                <w:szCs w:val="20"/>
                <w:color w:val="auto"/>
              </w:rPr>
            </w:pPr>
            <w:r>
              <w:rPr>
                <w:rFonts w:ascii="Arial" w:cs="Arial" w:eastAsia="Arial" w:hAnsi="Arial"/>
                <w:sz w:val="18"/>
                <w:szCs w:val="18"/>
                <w:b w:val="1"/>
                <w:bCs w:val="1"/>
                <w:color w:val="auto"/>
              </w:rPr>
              <w:t>Note 6 – Provision for income taxes:</w:t>
            </w: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620" w:type="dxa"/>
            <w:vAlign w:val="bottom"/>
          </w:tcPr>
          <w:p>
            <w:pPr>
              <w:spacing w:after="0"/>
              <w:rPr>
                <w:sz w:val="24"/>
                <w:szCs w:val="24"/>
                <w:color w:val="auto"/>
              </w:rPr>
            </w:pPr>
          </w:p>
        </w:tc>
        <w:tc>
          <w:tcPr>
            <w:tcW w:w="278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2"/>
        </w:trPr>
        <w:tc>
          <w:tcPr>
            <w:tcW w:w="56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September 30,</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6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w w:val="84"/>
              </w:rPr>
              <w:t>2021</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w w:val="84"/>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6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Expected tax expense, at the U.S. federal statutory</w:t>
            </w: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vMerge w:val="restart"/>
            <w:shd w:val="clear" w:color="auto" w:fill="CFF0FC"/>
          </w:tcPr>
          <w:p>
            <w:pPr>
              <w:jc w:val="right"/>
              <w:ind w:right="231"/>
              <w:spacing w:after="0"/>
              <w:rPr>
                <w:sz w:val="20"/>
                <w:szCs w:val="20"/>
                <w:color w:val="auto"/>
              </w:rPr>
            </w:pPr>
            <w:r>
              <w:rPr>
                <w:rFonts w:ascii="Arial" w:cs="Arial" w:eastAsia="Arial" w:hAnsi="Arial"/>
                <w:sz w:val="18"/>
                <w:szCs w:val="18"/>
                <w:b w:val="1"/>
                <w:bCs w:val="1"/>
                <w:color w:val="auto"/>
                <w:w w:val="7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1,138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vMerge w:val="restart"/>
            <w:shd w:val="clear" w:color="auto" w:fill="CFF0FC"/>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3,707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rate of 21%</w:t>
            </w:r>
          </w:p>
        </w:tc>
        <w:tc>
          <w:tcPr>
            <w:tcW w:w="760" w:type="dxa"/>
            <w:vAlign w:val="bottom"/>
            <w:shd w:val="clear" w:color="auto" w:fill="CFF0FC"/>
          </w:tcPr>
          <w:p>
            <w:pPr>
              <w:jc w:val="right"/>
              <w:ind w:right="57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260" w:type="dxa"/>
            <w:vAlign w:val="bottom"/>
            <w:shd w:val="clear" w:color="auto" w:fill="CFF0FC"/>
          </w:tcPr>
          <w:p>
            <w:pPr>
              <w:spacing w:after="0"/>
              <w:rPr>
                <w:sz w:val="19"/>
                <w:szCs w:val="19"/>
                <w:color w:val="auto"/>
              </w:rPr>
            </w:pPr>
          </w:p>
        </w:tc>
        <w:tc>
          <w:tcPr>
            <w:tcW w:w="420" w:type="dxa"/>
            <w:vAlign w:val="bottom"/>
            <w:vMerge w:val="continue"/>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w:t>
            </w:r>
          </w:p>
        </w:tc>
        <w:tc>
          <w:tcPr>
            <w:tcW w:w="280" w:type="dxa"/>
            <w:vAlign w:val="bottom"/>
            <w:shd w:val="clear" w:color="auto" w:fill="CFF0FC"/>
          </w:tcPr>
          <w:p>
            <w:pPr>
              <w:spacing w:after="0"/>
              <w:rPr>
                <w:sz w:val="19"/>
                <w:szCs w:val="19"/>
                <w:color w:val="auto"/>
              </w:rPr>
            </w:pPr>
          </w:p>
        </w:tc>
        <w:tc>
          <w:tcPr>
            <w:tcW w:w="400" w:type="dxa"/>
            <w:vAlign w:val="bottom"/>
            <w:vMerge w:val="continue"/>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20" w:type="dxa"/>
            <w:vAlign w:val="bottom"/>
          </w:tcPr>
          <w:p>
            <w:pPr>
              <w:spacing w:after="0"/>
              <w:rPr>
                <w:sz w:val="20"/>
                <w:szCs w:val="20"/>
                <w:color w:val="auto"/>
              </w:rPr>
            </w:pPr>
            <w:r>
              <w:rPr>
                <w:rFonts w:ascii="Arial" w:cs="Arial" w:eastAsia="Arial" w:hAnsi="Arial"/>
                <w:sz w:val="18"/>
                <w:szCs w:val="18"/>
                <w:color w:val="auto"/>
              </w:rPr>
              <w:t>State income taxes</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FDII benefit</w:t>
            </w: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w:t>
            </w:r>
          </w:p>
        </w:tc>
        <w:tc>
          <w:tcPr>
            <w:tcW w:w="4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27"/>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provision for income taxes</w:t>
            </w:r>
          </w:p>
        </w:tc>
        <w:tc>
          <w:tcPr>
            <w:tcW w:w="760" w:type="dxa"/>
            <w:vAlign w:val="bottom"/>
            <w:tcBorders>
              <w:bottom w:val="single" w:sz="8" w:color="auto"/>
            </w:tcBorders>
            <w:shd w:val="clear" w:color="auto" w:fill="CFF0FC"/>
          </w:tcPr>
          <w:p>
            <w:pPr>
              <w:jc w:val="right"/>
              <w:ind w:right="57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1"/>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2,640</w:t>
            </w: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4,214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118"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Our board of directors has previously authorized the repurchase of our Class A common stock in open market transactions, including block purchases, or in privately-negotiated transactions at unspecified prices and over an unspecified period of time. We may repurchase our common stock from time to time as market conditions permit. The stock repurchase program does not include specific price targets or timetables and may be suspended at any time. Depending on market conditions, we may terminate the program prior to its completion. We will use cash on hand to acquire the shares. Repurchased shares will be added to our treasury and cancelled.</w:t>
      </w:r>
    </w:p>
    <w:p>
      <w:pPr>
        <w:spacing w:after="0" w:line="193"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During the first quarter of 2021, we purchased 50,000 shares of our Class A common stock in a market transaction for approximately $755,000. We cancelled these treasury shares and allocated their cost to common stock at par value and additional paid-in capital. At September 30, 2021, 627,547 shares were available for purchase under prior repurchase authorizations.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Financial instruments: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center"/>
              <w:ind w:left="571"/>
              <w:spacing w:after="0"/>
              <w:rPr>
                <w:sz w:val="20"/>
                <w:szCs w:val="20"/>
                <w:color w:val="auto"/>
              </w:rPr>
            </w:pPr>
            <w:r>
              <w:rPr>
                <w:rFonts w:ascii="Arial" w:cs="Arial" w:eastAsia="Arial" w:hAnsi="Arial"/>
                <w:sz w:val="18"/>
                <w:szCs w:val="18"/>
                <w:b w:val="1"/>
                <w:bCs w:val="1"/>
                <w:color w:val="auto"/>
                <w:w w:val="88"/>
              </w:rPr>
              <w:t>December 31,</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center"/>
              <w:ind w:left="551"/>
              <w:spacing w:after="0"/>
              <w:rPr>
                <w:sz w:val="20"/>
                <w:szCs w:val="20"/>
                <w:color w:val="auto"/>
              </w:rPr>
            </w:pPr>
            <w:r>
              <w:rPr>
                <w:rFonts w:ascii="Arial" w:cs="Arial" w:eastAsia="Arial" w:hAnsi="Arial"/>
                <w:sz w:val="18"/>
                <w:szCs w:val="18"/>
                <w:b w:val="1"/>
                <w:bCs w:val="1"/>
                <w:color w:val="auto"/>
                <w:w w:val="87"/>
              </w:rPr>
              <w:t>September 30,</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5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251"/>
              <w:spacing w:after="0"/>
              <w:rPr>
                <w:sz w:val="20"/>
                <w:szCs w:val="20"/>
                <w:color w:val="auto"/>
              </w:rPr>
            </w:pPr>
            <w:r>
              <w:rPr>
                <w:rFonts w:ascii="Arial" w:cs="Arial" w:eastAsia="Arial" w:hAnsi="Arial"/>
                <w:sz w:val="18"/>
                <w:szCs w:val="18"/>
                <w:b w:val="1"/>
                <w:bCs w:val="1"/>
                <w:color w:val="auto"/>
              </w:rPr>
              <w:t>2020</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91"/>
              <w:spacing w:after="0"/>
              <w:rPr>
                <w:sz w:val="20"/>
                <w:szCs w:val="20"/>
                <w:color w:val="auto"/>
              </w:rPr>
            </w:pPr>
            <w:r>
              <w:rPr>
                <w:rFonts w:ascii="Arial" w:cs="Arial" w:eastAsia="Arial" w:hAnsi="Arial"/>
                <w:sz w:val="18"/>
                <w:szCs w:val="18"/>
                <w:b w:val="1"/>
                <w:bCs w:val="1"/>
                <w:color w:val="auto"/>
              </w:rPr>
              <w:t>Carrying</w:t>
            </w:r>
          </w:p>
        </w:tc>
        <w:tc>
          <w:tcPr>
            <w:tcW w:w="540" w:type="dxa"/>
            <w:vAlign w:val="bottom"/>
          </w:tcPr>
          <w:p>
            <w:pPr>
              <w:spacing w:after="0"/>
              <w:rPr>
                <w:sz w:val="18"/>
                <w:szCs w:val="18"/>
                <w:color w:val="auto"/>
              </w:rPr>
            </w:pPr>
          </w:p>
        </w:tc>
        <w:tc>
          <w:tcPr>
            <w:tcW w:w="840" w:type="dxa"/>
            <w:vAlign w:val="bottom"/>
          </w:tcPr>
          <w:p>
            <w:pPr>
              <w:jc w:val="center"/>
              <w:ind w:right="311"/>
              <w:spacing w:after="0"/>
              <w:rPr>
                <w:sz w:val="20"/>
                <w:szCs w:val="20"/>
                <w:color w:val="auto"/>
              </w:rPr>
            </w:pPr>
            <w:r>
              <w:rPr>
                <w:rFonts w:ascii="Arial" w:cs="Arial" w:eastAsia="Arial" w:hAnsi="Arial"/>
                <w:sz w:val="18"/>
                <w:szCs w:val="18"/>
                <w:b w:val="1"/>
                <w:bCs w:val="1"/>
                <w:color w:val="auto"/>
                <w:w w:val="96"/>
              </w:rPr>
              <w:t>Fair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11"/>
              <w:spacing w:after="0"/>
              <w:rPr>
                <w:sz w:val="20"/>
                <w:szCs w:val="20"/>
                <w:color w:val="auto"/>
              </w:rPr>
            </w:pPr>
            <w:r>
              <w:rPr>
                <w:rFonts w:ascii="Arial" w:cs="Arial" w:eastAsia="Arial" w:hAnsi="Arial"/>
                <w:sz w:val="18"/>
                <w:szCs w:val="18"/>
                <w:b w:val="1"/>
                <w:bCs w:val="1"/>
                <w:color w:val="auto"/>
              </w:rPr>
              <w:t>Carrying</w:t>
            </w:r>
          </w:p>
        </w:tc>
        <w:tc>
          <w:tcPr>
            <w:tcW w:w="540" w:type="dxa"/>
            <w:vAlign w:val="bottom"/>
          </w:tcPr>
          <w:p>
            <w:pPr>
              <w:spacing w:after="0"/>
              <w:rPr>
                <w:sz w:val="18"/>
                <w:szCs w:val="18"/>
                <w:color w:val="auto"/>
              </w:rPr>
            </w:pPr>
          </w:p>
        </w:tc>
        <w:tc>
          <w:tcPr>
            <w:tcW w:w="840" w:type="dxa"/>
            <w:vAlign w:val="bottom"/>
          </w:tcPr>
          <w:p>
            <w:pPr>
              <w:jc w:val="center"/>
              <w:ind w:right="331"/>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r>
      <w:tr>
        <w:trPr>
          <w:trHeight w:val="232"/>
        </w:trPr>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51"/>
              <w:spacing w:after="0"/>
              <w:rPr>
                <w:sz w:val="20"/>
                <w:szCs w:val="20"/>
                <w:color w:val="auto"/>
              </w:rPr>
            </w:pPr>
            <w:r>
              <w:rPr>
                <w:rFonts w:ascii="Arial" w:cs="Arial" w:eastAsia="Arial" w:hAnsi="Arial"/>
                <w:sz w:val="18"/>
                <w:szCs w:val="18"/>
                <w:b w:val="1"/>
                <w:bCs w:val="1"/>
                <w:color w:val="auto"/>
              </w:rPr>
              <w:t>amount</w:t>
            </w:r>
          </w:p>
        </w:tc>
        <w:tc>
          <w:tcPr>
            <w:tcW w:w="540" w:type="dxa"/>
            <w:vAlign w:val="bottom"/>
          </w:tcPr>
          <w:p>
            <w:pPr>
              <w:spacing w:after="0"/>
              <w:rPr>
                <w:sz w:val="20"/>
                <w:szCs w:val="20"/>
                <w:color w:val="auto"/>
              </w:rPr>
            </w:pPr>
          </w:p>
        </w:tc>
        <w:tc>
          <w:tcPr>
            <w:tcW w:w="110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6"/>
              </w:rPr>
              <w:t>value</w:t>
            </w:r>
          </w:p>
        </w:tc>
        <w:tc>
          <w:tcPr>
            <w:tcW w:w="180" w:type="dxa"/>
            <w:vAlign w:val="bottom"/>
          </w:tcPr>
          <w:p>
            <w:pPr>
              <w:spacing w:after="0"/>
              <w:rPr>
                <w:sz w:val="20"/>
                <w:szCs w:val="20"/>
                <w:color w:val="auto"/>
              </w:rPr>
            </w:pPr>
          </w:p>
        </w:tc>
        <w:tc>
          <w:tcPr>
            <w:tcW w:w="1180" w:type="dxa"/>
            <w:vAlign w:val="bottom"/>
          </w:tcPr>
          <w:p>
            <w:pPr>
              <w:jc w:val="right"/>
              <w:ind w:right="371"/>
              <w:spacing w:after="0"/>
              <w:rPr>
                <w:sz w:val="20"/>
                <w:szCs w:val="20"/>
                <w:color w:val="auto"/>
              </w:rPr>
            </w:pPr>
            <w:r>
              <w:rPr>
                <w:rFonts w:ascii="Arial" w:cs="Arial" w:eastAsia="Arial" w:hAnsi="Arial"/>
                <w:sz w:val="18"/>
                <w:szCs w:val="18"/>
                <w:b w:val="1"/>
                <w:bCs w:val="1"/>
                <w:color w:val="auto"/>
              </w:rPr>
              <w:t>amount</w:t>
            </w:r>
          </w:p>
        </w:tc>
        <w:tc>
          <w:tcPr>
            <w:tcW w:w="540" w:type="dxa"/>
            <w:vAlign w:val="bottom"/>
          </w:tcPr>
          <w:p>
            <w:pPr>
              <w:spacing w:after="0"/>
              <w:rPr>
                <w:sz w:val="20"/>
                <w:szCs w:val="20"/>
                <w:color w:val="auto"/>
              </w:rPr>
            </w:pPr>
          </w:p>
        </w:tc>
        <w:tc>
          <w:tcPr>
            <w:tcW w:w="9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value</w:t>
            </w:r>
          </w:p>
        </w:tc>
      </w:tr>
      <w:tr>
        <w:trPr>
          <w:trHeight w:val="221"/>
        </w:trPr>
        <w:tc>
          <w:tcPr>
            <w:tcW w:w="5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60" w:type="dxa"/>
            <w:vAlign w:val="bottom"/>
            <w:tcBorders>
              <w:top w:val="single" w:sz="8" w:color="auto"/>
            </w:tcBorders>
            <w:gridSpan w:val="4"/>
          </w:tcPr>
          <w:p>
            <w:pPr>
              <w:jc w:val="right"/>
              <w:ind w:right="851"/>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70,637</w:t>
            </w:r>
          </w:p>
        </w:tc>
        <w:tc>
          <w:tcPr>
            <w:tcW w:w="540" w:type="dxa"/>
            <w:vAlign w:val="bottom"/>
            <w:shd w:val="clear" w:color="auto" w:fill="CFF0FC"/>
          </w:tcPr>
          <w:p>
            <w:pPr>
              <w:jc w:val="right"/>
              <w:ind w:right="211"/>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70,637</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75,959</w:t>
            </w:r>
          </w:p>
        </w:tc>
        <w:tc>
          <w:tcPr>
            <w:tcW w:w="540" w:type="dxa"/>
            <w:vAlign w:val="bottom"/>
            <w:shd w:val="clear" w:color="auto" w:fill="CFF0FC"/>
          </w:tcPr>
          <w:p>
            <w:pPr>
              <w:jc w:val="right"/>
              <w:ind w:right="211"/>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75,959</w:t>
            </w:r>
          </w:p>
        </w:tc>
        <w:tc>
          <w:tcPr>
            <w:tcW w:w="100" w:type="dxa"/>
            <w:vAlign w:val="bottom"/>
            <w:shd w:val="clear" w:color="auto" w:fill="CFF0FC"/>
          </w:tcPr>
          <w:p>
            <w:pPr>
              <w:spacing w:after="0"/>
              <w:rPr>
                <w:sz w:val="20"/>
                <w:szCs w:val="20"/>
                <w:color w:val="auto"/>
              </w:rPr>
            </w:pPr>
          </w:p>
        </w:tc>
      </w:tr>
      <w:tr>
        <w:trPr>
          <w:trHeight w:val="240"/>
        </w:trPr>
        <w:tc>
          <w:tcPr>
            <w:tcW w:w="54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10,731</w:t>
            </w: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10,731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15,106</w:t>
            </w: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15,106</w:t>
            </w:r>
          </w:p>
        </w:tc>
        <w:tc>
          <w:tcPr>
            <w:tcW w:w="100" w:type="dxa"/>
            <w:vAlign w:val="bottom"/>
          </w:tcPr>
          <w:p>
            <w:pPr>
              <w:spacing w:after="0"/>
              <w:rPr>
                <w:sz w:val="20"/>
                <w:szCs w:val="20"/>
                <w:color w:val="auto"/>
              </w:rPr>
            </w:pPr>
          </w:p>
        </w:tc>
      </w:tr>
      <w:tr>
        <w:trPr>
          <w:trHeight w:val="241"/>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2,632</w:t>
            </w:r>
          </w:p>
        </w:tc>
        <w:tc>
          <w:tcPr>
            <w:tcW w:w="5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4,502</w:t>
            </w:r>
          </w:p>
        </w:tc>
        <w:tc>
          <w:tcPr>
            <w:tcW w:w="5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4,502</w:t>
            </w:r>
          </w:p>
        </w:tc>
        <w:tc>
          <w:tcPr>
            <w:tcW w:w="100" w:type="dxa"/>
            <w:vAlign w:val="bottom"/>
            <w:shd w:val="clear" w:color="auto" w:fill="CFF0FC"/>
          </w:tcPr>
          <w:p>
            <w:pPr>
              <w:spacing w:after="0"/>
              <w:rPr>
                <w:sz w:val="20"/>
                <w:szCs w:val="20"/>
                <w:color w:val="auto"/>
              </w:rPr>
            </w:pPr>
          </w:p>
        </w:tc>
      </w:tr>
    </w:tbl>
    <w:p>
      <w:pPr>
        <w:spacing w:after="0" w:line="2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Due to their near-term maturities, the carrying amounts of accounts receivable and accounts payable are considered equivalent to fair value.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118"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whereby we agreed to loan Valhi up to $40 million. Our loan to Valhi, as amended, bears interest at prime plus 1.00%, payable quarterly, with all principal due on demand, but in any event no earlier than December 31, 2022. Loans made to Valhi at any time under the agreement are at our discretion. At September 30, 2021, the outstanding principal balance receivable from Valhi under the promissory note was $21.8 million. Interest income (including unused commitment fees) on our loan to Valhi was $1.1 million and $0.9 million for the nine months ended September 30, 2020 and 2021, respectively.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0" w:name="page11"/>
    <w:bookmarkEnd w:id="10"/>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8"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We are a leading manufacturer of engineered components utilized in a variety of applications and industries. Through our Security Products segment we manufacture mechanical and electrical cabinet locks and other locking mechanisms used in recreational transportation, postal, office and institutional furniture, cabinetry, tool storage and healthcare applications. We also manufacture stainless steel exhaust systems, gauges, throttle controls, wake enhancement systems, trim tabs and related hardware and accessories for the recreational marine and other industries through our Marine Components segment.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59" w:lineRule="exact"/>
        <w:rPr>
          <w:sz w:val="20"/>
          <w:szCs w:val="20"/>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13" w:lineRule="exact"/>
        <w:rPr>
          <w:rFonts w:ascii="Arial" w:cs="Arial" w:eastAsia="Arial" w:hAnsi="Arial"/>
          <w:sz w:val="18"/>
          <w:szCs w:val="18"/>
          <w:color w:val="auto"/>
        </w:rPr>
      </w:pPr>
    </w:p>
    <w:p>
      <w:pPr>
        <w:ind w:left="1020" w:hanging="505"/>
        <w:spacing w:after="0" w:line="27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aluminum, steel and energy costs) and our ability to pass those costs on to our customers or offset them with reductions in other operating costs,</w:t>
      </w:r>
    </w:p>
    <w:p>
      <w:pPr>
        <w:spacing w:after="0" w:line="67"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products and product features,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or defend our intellectual property rights,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future tax reform,</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113" w:lineRule="exact"/>
        <w:rPr>
          <w:rFonts w:ascii="Arial" w:cs="Arial" w:eastAsia="Arial" w:hAnsi="Arial"/>
          <w:sz w:val="18"/>
          <w:szCs w:val="18"/>
          <w:color w:val="auto"/>
        </w:rPr>
      </w:pPr>
    </w:p>
    <w:p>
      <w:pPr>
        <w:jc w:val="both"/>
        <w:ind w:left="1020" w:hanging="505"/>
        <w:spacing w:after="0" w:line="307"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global economic and political conditions that disrupt or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42" w:lineRule="exact"/>
        <w:rPr>
          <w:rFonts w:ascii="Arial" w:cs="Arial" w:eastAsia="Arial" w:hAnsi="Arial"/>
          <w:sz w:val="16"/>
          <w:szCs w:val="16"/>
          <w:color w:val="auto"/>
        </w:rPr>
      </w:pPr>
    </w:p>
    <w:p>
      <w:pPr>
        <w:ind w:left="1020" w:hanging="505"/>
        <w:spacing w:after="0" w:line="30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44" w:lineRule="exact"/>
        <w:rPr>
          <w:rFonts w:ascii="Arial" w:cs="Arial" w:eastAsia="Arial" w:hAnsi="Arial"/>
          <w:sz w:val="17"/>
          <w:szCs w:val="17"/>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2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Operating Income Overview</w:t>
      </w:r>
    </w:p>
    <w:p>
      <w:pPr>
        <w:spacing w:after="0" w:line="225" w:lineRule="exact"/>
        <w:rPr>
          <w:sz w:val="20"/>
          <w:szCs w:val="20"/>
          <w:color w:val="auto"/>
        </w:rPr>
      </w:pPr>
    </w:p>
    <w:p>
      <w:pPr>
        <w:jc w:val="both"/>
        <w:ind w:firstLine="510"/>
        <w:spacing w:after="0" w:line="250" w:lineRule="auto"/>
        <w:rPr>
          <w:sz w:val="20"/>
          <w:szCs w:val="20"/>
          <w:color w:val="auto"/>
        </w:rPr>
      </w:pPr>
      <w:r>
        <w:rPr>
          <w:rFonts w:ascii="Arial" w:cs="Arial" w:eastAsia="Arial" w:hAnsi="Arial"/>
          <w:sz w:val="18"/>
          <w:szCs w:val="18"/>
          <w:color w:val="auto"/>
        </w:rPr>
        <w:t>In the third quarter of 2021 operating income increased to $5.1 million compared to $2.1 million in the third quarter of 2020. Operating income for the first nine months of 2021 was $16.7 million compared to $9.5 million in the first nine months of 2020. The increase in operating income in the third quarter and first nine months of 2021 compared to the same periods in 2020 primarily resulted from higher sales volumes at both of our business segments. Our operating income was negatively impacted by the COVID-19 pandemic in the second and third quarters of 2020, which significantly impacts operating income comparisons for the third quarter and nine-month comparative periods. We sustained the greatest negative sales impact from COVID-19 in the second quarter of 2020. Beginning in the third quarter of 2020 and continuing through the third quarter of 2021, Marine Components sales exceeded pre-pandemic levels. Security Products sales generally improved since the third quarter of 2020, but did not recover to pre-pandemic levels until the second quarter of 2021 when sales improved in markets that had been slower to recover from the COVID-19 pandemic, particularly sales to distributors and the office furniture market.</w:t>
      </w:r>
    </w:p>
    <w:p>
      <w:pPr>
        <w:spacing w:after="0" w:line="199" w:lineRule="exact"/>
        <w:rPr>
          <w:sz w:val="20"/>
          <w:szCs w:val="20"/>
          <w:color w:val="auto"/>
        </w:rPr>
      </w:pPr>
    </w:p>
    <w:p>
      <w:pPr>
        <w:jc w:val="both"/>
        <w:ind w:firstLine="510"/>
        <w:spacing w:after="0" w:line="307" w:lineRule="auto"/>
        <w:rPr>
          <w:sz w:val="20"/>
          <w:szCs w:val="20"/>
          <w:color w:val="auto"/>
        </w:rPr>
      </w:pPr>
      <w:r>
        <w:rPr>
          <w:rFonts w:ascii="Arial" w:cs="Arial" w:eastAsia="Arial" w:hAnsi="Arial"/>
          <w:sz w:val="16"/>
          <w:szCs w:val="16"/>
          <w:color w:val="auto"/>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3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5"/>
            <w:vMerge w:val="restart"/>
          </w:tcPr>
          <w:p>
            <w:pPr>
              <w:jc w:val="center"/>
              <w:ind w:right="660"/>
              <w:spacing w:after="0"/>
              <w:rPr>
                <w:sz w:val="20"/>
                <w:szCs w:val="20"/>
                <w:color w:val="auto"/>
              </w:rPr>
            </w:pPr>
            <w:r>
              <w:rPr>
                <w:rFonts w:ascii="Arial" w:cs="Arial" w:eastAsia="Arial" w:hAnsi="Arial"/>
                <w:sz w:val="18"/>
                <w:szCs w:val="18"/>
                <w:b w:val="1"/>
                <w:bCs w:val="1"/>
                <w:color w:val="auto"/>
                <w:w w:val="88"/>
              </w:rPr>
              <w:t>Three months ended</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5"/>
            <w:vMerge w:val="continue"/>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center"/>
              <w:ind w:right="640"/>
              <w:spacing w:after="0"/>
              <w:rPr>
                <w:sz w:val="20"/>
                <w:szCs w:val="20"/>
                <w:color w:val="auto"/>
              </w:rPr>
            </w:pPr>
            <w:r>
              <w:rPr>
                <w:rFonts w:ascii="Arial" w:cs="Arial" w:eastAsia="Arial" w:hAnsi="Arial"/>
                <w:sz w:val="18"/>
                <w:szCs w:val="18"/>
                <w:b w:val="1"/>
                <w:bCs w:val="1"/>
                <w:color w:val="auto"/>
                <w:w w:val="89"/>
              </w:rPr>
              <w:t>September 30,</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88"/>
              </w:rPr>
              <w:t>(Dollars in thousands)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4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28,426</w:t>
            </w:r>
          </w:p>
        </w:tc>
        <w:tc>
          <w:tcPr>
            <w:tcW w:w="2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34,556</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4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21,098</w:t>
            </w:r>
          </w:p>
        </w:tc>
        <w:tc>
          <w:tcPr>
            <w:tcW w:w="28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r>
              <w:rPr>
                <w:rFonts w:ascii="Arial" w:cs="Arial" w:eastAsia="Arial" w:hAnsi="Arial"/>
                <w:sz w:val="18"/>
                <w:szCs w:val="18"/>
                <w:u w:val="single" w:color="auto"/>
                <w:color w:val="auto"/>
              </w:rPr>
              <w:t>2</w:t>
            </w:r>
          </w:p>
        </w:tc>
        <w:tc>
          <w:tcPr>
            <w:tcW w:w="3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23,634</w:t>
            </w:r>
          </w:p>
        </w:tc>
        <w:tc>
          <w:tcPr>
            <w:tcW w:w="28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68.4</w:t>
            </w:r>
          </w:p>
        </w:tc>
        <w:tc>
          <w:tcPr>
            <w:tcW w:w="2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2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7,328</w:t>
            </w: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10,922</w:t>
            </w: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31.6</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costs and expenses</w:t>
            </w:r>
          </w:p>
        </w:tc>
        <w:tc>
          <w:tcPr>
            <w:tcW w:w="2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w:t>
            </w:r>
          </w:p>
        </w:tc>
        <w:tc>
          <w:tcPr>
            <w:tcW w:w="28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3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5,791</w:t>
            </w:r>
          </w:p>
        </w:tc>
        <w:tc>
          <w:tcPr>
            <w:tcW w:w="28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w:t>
            </w:r>
          </w:p>
        </w:tc>
        <w:tc>
          <w:tcPr>
            <w:tcW w:w="2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2,082</w:t>
            </w:r>
          </w:p>
        </w:tc>
        <w:tc>
          <w:tcPr>
            <w:tcW w:w="2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5,131</w:t>
            </w:r>
          </w:p>
        </w:tc>
        <w:tc>
          <w:tcPr>
            <w:tcW w:w="28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14.8</w:t>
            </w:r>
          </w:p>
        </w:tc>
        <w:tc>
          <w:tcPr>
            <w:tcW w:w="2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87"/>
              </w:rPr>
              <w:t>Nine months ended</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center"/>
              <w:ind w:right="640"/>
              <w:spacing w:after="0"/>
              <w:rPr>
                <w:sz w:val="20"/>
                <w:szCs w:val="20"/>
                <w:color w:val="auto"/>
              </w:rPr>
            </w:pPr>
            <w:r>
              <w:rPr>
                <w:rFonts w:ascii="Arial" w:cs="Arial" w:eastAsia="Arial" w:hAnsi="Arial"/>
                <w:sz w:val="18"/>
                <w:szCs w:val="18"/>
                <w:b w:val="1"/>
                <w:bCs w:val="1"/>
                <w:color w:val="auto"/>
                <w:w w:val="89"/>
              </w:rPr>
              <w:t>September 30,</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88"/>
              </w:rPr>
              <w:t>(Dollars in thousands)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300" w:type="dxa"/>
            <w:vAlign w:val="bottom"/>
          </w:tcPr>
          <w:p>
            <w:pPr>
              <w:spacing w:after="0"/>
              <w:rPr>
                <w:sz w:val="20"/>
                <w:szCs w:val="20"/>
                <w:color w:val="auto"/>
              </w:rPr>
            </w:pPr>
            <w:r>
              <w:rPr>
                <w:rFonts w:ascii="Arial" w:cs="Arial" w:eastAsia="Arial" w:hAnsi="Arial"/>
                <w:sz w:val="18"/>
                <w:szCs w:val="18"/>
                <w:color w:val="auto"/>
              </w:rPr>
              <w:t>Net sales</w:t>
            </w:r>
          </w:p>
        </w:tc>
        <w:tc>
          <w:tcPr>
            <w:tcW w:w="24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84,537</w:t>
            </w:r>
          </w:p>
        </w:tc>
        <w:tc>
          <w:tcPr>
            <w:tcW w:w="2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106,733</w:t>
            </w:r>
          </w:p>
        </w:tc>
        <w:tc>
          <w:tcPr>
            <w:tcW w:w="2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41"/>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2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59,412</w:t>
            </w:r>
          </w:p>
        </w:tc>
        <w:tc>
          <w:tcPr>
            <w:tcW w:w="280" w:type="dxa"/>
            <w:vAlign w:val="bottom"/>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r>
              <w:rPr>
                <w:rFonts w:ascii="Arial" w:cs="Arial" w:eastAsia="Arial" w:hAnsi="Arial"/>
                <w:sz w:val="18"/>
                <w:szCs w:val="18"/>
                <w:u w:val="single" w:color="auto"/>
                <w:color w:val="auto"/>
              </w:rPr>
              <w:t>3</w:t>
            </w:r>
          </w:p>
        </w:tc>
        <w:tc>
          <w:tcPr>
            <w:tcW w:w="36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73,470</w:t>
            </w:r>
          </w:p>
        </w:tc>
        <w:tc>
          <w:tcPr>
            <w:tcW w:w="280" w:type="dxa"/>
            <w:vAlign w:val="bottom"/>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68.8</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260"/>
              <w:spacing w:after="0"/>
              <w:rPr>
                <w:sz w:val="20"/>
                <w:szCs w:val="20"/>
                <w:color w:val="auto"/>
              </w:rPr>
            </w:pPr>
            <w:r>
              <w:rPr>
                <w:rFonts w:ascii="Arial" w:cs="Arial" w:eastAsia="Arial" w:hAnsi="Arial"/>
                <w:sz w:val="18"/>
                <w:szCs w:val="18"/>
                <w:color w:val="auto"/>
              </w:rPr>
              <w:t>Gross margin</w:t>
            </w: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25,125</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33,263</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31.2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22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15,654</w:t>
            </w:r>
          </w:p>
        </w:tc>
        <w:tc>
          <w:tcPr>
            <w:tcW w:w="280" w:type="dxa"/>
            <w:vAlign w:val="bottom"/>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36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16,557</w:t>
            </w:r>
          </w:p>
        </w:tc>
        <w:tc>
          <w:tcPr>
            <w:tcW w:w="280" w:type="dxa"/>
            <w:vAlign w:val="bottom"/>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15.5</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24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9,471</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16,706</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increased $6.1 million in the third quarter of 2021 compared to the same period in 2020 primarily due to higher Security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sales across a variety of markets and to a lesser extent higher Marine Components sales primarily to the towboat market. Net sales increased $22.2 million for the first nine months of 2021 compared to the same period in 2020 primarily due to higher sales volumes at both of our segments, particularly in the second quarter of 2021, as many of our customers were temporarily closed or reduced production during the second quarter of 2020 due to government ordered closures or reduced demand resulting from the COVID-19 pandemic.</w:t>
      </w:r>
    </w:p>
    <w:p>
      <w:pPr>
        <w:spacing w:after="0" w:line="17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i w:val="1"/>
          <w:iCs w:val="1"/>
          <w:color w:val="auto"/>
        </w:rPr>
        <w:t xml:space="preserve">Cost of sales and gross margin. </w:t>
      </w:r>
      <w:r>
        <w:rPr>
          <w:rFonts w:ascii="Arial" w:cs="Arial" w:eastAsia="Arial" w:hAnsi="Arial"/>
          <w:sz w:val="18"/>
          <w:szCs w:val="18"/>
          <w:color w:val="auto"/>
        </w:rPr>
        <w:t>Cost of sales as a percentage of sales for the third quarter and for the first nine months of 2021 was lower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periods in 2020. As a result, gross margin as a percentage of sales increased over the same periods. The increase in gross margin percentage in the third quarter and for the first nine months of 2021 is primarily due to the increase in the Security Products gross margin percentage. See segment discussion below.</w:t>
      </w:r>
    </w:p>
    <w:p>
      <w:pPr>
        <w:spacing w:after="0" w:line="190"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Operating costs and expenses consist primarily of sales and administrative-related personnel costs, sales commissions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advertising expenses directly related to product sales and administrative costs relating to business unit and corporate management activities, as well as gains and losses on property and equipment. Operating costs and expenses for the third quarter and first nine months of 2021 were higher than the same periods last year. The increase was predominantly due to higher salary and benefit costs which increased by $0.4 million and $0.9 million for the third quarter and first nine months,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compared to the same prior year periods. Operating costs and expenses as a percentage of net sales decreased in both periods as a result of higher sales.</w:t>
      </w:r>
    </w:p>
    <w:p>
      <w:pPr>
        <w:spacing w:after="0" w:line="244" w:lineRule="exact"/>
        <w:rPr>
          <w:sz w:val="20"/>
          <w:szCs w:val="20"/>
          <w:color w:val="auto"/>
        </w:rPr>
      </w:pPr>
    </w:p>
    <w:p>
      <w:pPr>
        <w:jc w:val="both"/>
        <w:ind w:firstLine="510"/>
        <w:spacing w:after="0" w:line="335"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As a percentage of net sales, operating income for the third quarter and first nine months of 2021 increased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of 2020 and was primarily impacted by the factors impacting cost of sales, gross margin and operating costs. See segment discussion below.</w:t>
      </w:r>
    </w:p>
    <w:p>
      <w:pPr>
        <w:spacing w:after="0" w:line="12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 tabular reconciliation of our actual tax provision to the U.S. federal statutory income tax rate is included in Note 6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Condensed Consolidated Financial Statements. Our operations are wholly within the U.S. and therefore our effective income tax rate is primarily reflective of the U.S. federal statutory rate and applicable state taxes.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performance indicator for our segments is operating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88"/>
              </w:rPr>
              <w:t>Three months ended</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87"/>
              </w:rPr>
              <w:t>Nine months ended</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1"/>
        </w:trPr>
        <w:tc>
          <w:tcPr>
            <w:tcW w:w="3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411"/>
              <w:spacing w:after="0"/>
              <w:rPr>
                <w:sz w:val="20"/>
                <w:szCs w:val="20"/>
                <w:color w:val="auto"/>
              </w:rPr>
            </w:pPr>
            <w:r>
              <w:rPr>
                <w:rFonts w:ascii="Arial" w:cs="Arial" w:eastAsia="Arial" w:hAnsi="Arial"/>
                <w:sz w:val="18"/>
                <w:szCs w:val="18"/>
                <w:b w:val="1"/>
                <w:bCs w:val="1"/>
                <w:color w:val="auto"/>
                <w:w w:val="89"/>
              </w:rPr>
              <w:t>September 30,</w:t>
            </w:r>
          </w:p>
        </w:tc>
        <w:tc>
          <w:tcPr>
            <w:tcW w:w="7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411"/>
              <w:spacing w:after="0"/>
              <w:rPr>
                <w:sz w:val="20"/>
                <w:szCs w:val="20"/>
                <w:color w:val="auto"/>
              </w:rPr>
            </w:pPr>
            <w:r>
              <w:rPr>
                <w:rFonts w:ascii="Arial" w:cs="Arial" w:eastAsia="Arial" w:hAnsi="Arial"/>
                <w:sz w:val="18"/>
                <w:szCs w:val="18"/>
                <w:b w:val="1"/>
                <w:bCs w:val="1"/>
                <w:color w:val="auto"/>
                <w:w w:val="89"/>
              </w:rPr>
              <w:t>September 30,</w:t>
            </w:r>
          </w:p>
        </w:tc>
        <w:tc>
          <w:tcPr>
            <w:tcW w:w="7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r>
      <w:tr>
        <w:trPr>
          <w:trHeight w:val="222"/>
        </w:trPr>
        <w:tc>
          <w:tcPr>
            <w:tcW w:w="3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ind w:right="331"/>
              <w:spacing w:after="0"/>
              <w:rPr>
                <w:sz w:val="20"/>
                <w:szCs w:val="20"/>
                <w:color w:val="auto"/>
              </w:rPr>
            </w:pPr>
            <w:r>
              <w:rPr>
                <w:rFonts w:ascii="Arial" w:cs="Arial" w:eastAsia="Arial" w:hAnsi="Arial"/>
                <w:sz w:val="18"/>
                <w:szCs w:val="18"/>
                <w:b w:val="1"/>
                <w:bCs w:val="1"/>
                <w:color w:val="auto"/>
                <w:w w:val="79"/>
              </w:rPr>
              <w:t>2021</w:t>
            </w:r>
          </w:p>
        </w:tc>
        <w:tc>
          <w:tcPr>
            <w:tcW w:w="32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Change</w:t>
            </w:r>
          </w:p>
        </w:tc>
        <w:tc>
          <w:tcPr>
            <w:tcW w:w="240" w:type="dxa"/>
            <w:vAlign w:val="bottom"/>
          </w:tcPr>
          <w:p>
            <w:pPr>
              <w:spacing w:after="0"/>
              <w:rPr>
                <w:sz w:val="19"/>
                <w:szCs w:val="19"/>
                <w:color w:val="auto"/>
              </w:rPr>
            </w:pPr>
          </w:p>
        </w:tc>
        <w:tc>
          <w:tcPr>
            <w:tcW w:w="920" w:type="dxa"/>
            <w:vAlign w:val="bottom"/>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ind w:right="311"/>
              <w:spacing w:after="0"/>
              <w:rPr>
                <w:sz w:val="20"/>
                <w:szCs w:val="20"/>
                <w:color w:val="auto"/>
              </w:rPr>
            </w:pPr>
            <w:r>
              <w:rPr>
                <w:rFonts w:ascii="Arial" w:cs="Arial" w:eastAsia="Arial" w:hAnsi="Arial"/>
                <w:sz w:val="18"/>
                <w:szCs w:val="18"/>
                <w:b w:val="1"/>
                <w:bCs w:val="1"/>
                <w:color w:val="auto"/>
                <w:w w:val="84"/>
              </w:rPr>
              <w:t>2021</w:t>
            </w:r>
          </w:p>
        </w:tc>
        <w:tc>
          <w:tcPr>
            <w:tcW w:w="3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Change</w:t>
            </w:r>
          </w:p>
        </w:tc>
      </w:tr>
      <w:tr>
        <w:trPr>
          <w:trHeight w:val="221"/>
        </w:trPr>
        <w:tc>
          <w:tcPr>
            <w:tcW w:w="3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4"/>
          </w:tcPr>
          <w:p>
            <w:pPr>
              <w:jc w:val="center"/>
              <w:ind w:right="191"/>
              <w:spacing w:after="0"/>
              <w:rPr>
                <w:sz w:val="20"/>
                <w:szCs w:val="20"/>
                <w:color w:val="auto"/>
              </w:rPr>
            </w:pPr>
            <w:r>
              <w:rPr>
                <w:rFonts w:ascii="Arial" w:cs="Arial" w:eastAsia="Arial" w:hAnsi="Arial"/>
                <w:sz w:val="18"/>
                <w:szCs w:val="18"/>
                <w:b w:val="1"/>
                <w:bCs w:val="1"/>
                <w:color w:val="auto"/>
                <w:w w:val="88"/>
              </w:rPr>
              <w:t>(Dollars in thousands)</w:t>
            </w: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4"/>
          </w:tcPr>
          <w:p>
            <w:pPr>
              <w:jc w:val="center"/>
              <w:ind w:right="151"/>
              <w:spacing w:after="0"/>
              <w:rPr>
                <w:sz w:val="20"/>
                <w:szCs w:val="20"/>
                <w:color w:val="auto"/>
              </w:rPr>
            </w:pPr>
            <w:r>
              <w:rPr>
                <w:rFonts w:ascii="Arial" w:cs="Arial" w:eastAsia="Arial" w:hAnsi="Arial"/>
                <w:sz w:val="18"/>
                <w:szCs w:val="18"/>
                <w:b w:val="1"/>
                <w:bCs w:val="1"/>
                <w:color w:val="auto"/>
                <w:w w:val="88"/>
              </w:rPr>
              <w:t>(Dollars in thousands)</w:t>
            </w: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41"/>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40"/>
        </w:trPr>
        <w:tc>
          <w:tcPr>
            <w:tcW w:w="338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21,209</w:t>
            </w:r>
          </w:p>
        </w:tc>
        <w:tc>
          <w:tcPr>
            <w:tcW w:w="300" w:type="dxa"/>
            <w:vAlign w:val="bottom"/>
          </w:tcPr>
          <w:p>
            <w:pPr>
              <w:spacing w:after="0"/>
              <w:rPr>
                <w:sz w:val="20"/>
                <w:szCs w:val="20"/>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25,829</w:t>
            </w:r>
          </w:p>
        </w:tc>
        <w:tc>
          <w:tcPr>
            <w:tcW w:w="3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65,251</w:t>
            </w:r>
          </w:p>
        </w:tc>
        <w:tc>
          <w:tcPr>
            <w:tcW w:w="280" w:type="dxa"/>
            <w:vAlign w:val="bottom"/>
          </w:tcPr>
          <w:p>
            <w:pPr>
              <w:spacing w:after="0"/>
              <w:rPr>
                <w:sz w:val="20"/>
                <w:szCs w:val="20"/>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79,301</w:t>
            </w:r>
          </w:p>
        </w:tc>
        <w:tc>
          <w:tcPr>
            <w:tcW w:w="3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w:t>
            </w:r>
          </w:p>
        </w:tc>
      </w:tr>
      <w:tr>
        <w:trPr>
          <w:trHeight w:val="241"/>
        </w:trPr>
        <w:tc>
          <w:tcPr>
            <w:tcW w:w="3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15,714</w:t>
            </w:r>
          </w:p>
        </w:tc>
        <w:tc>
          <w:tcPr>
            <w:tcW w:w="300" w:type="dxa"/>
            <w:vAlign w:val="bottom"/>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17,055</w:t>
            </w: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w:t>
            </w:r>
          </w:p>
        </w:tc>
        <w:tc>
          <w:tcPr>
            <w:tcW w:w="3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45,304</w:t>
            </w:r>
          </w:p>
        </w:tc>
        <w:tc>
          <w:tcPr>
            <w:tcW w:w="280" w:type="dxa"/>
            <w:vAlign w:val="bottom"/>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53,445</w:t>
            </w: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w:t>
            </w:r>
          </w:p>
        </w:tc>
        <w:tc>
          <w:tcPr>
            <w:tcW w:w="200" w:type="dxa"/>
            <w:vAlign w:val="bottom"/>
            <w:shd w:val="clear" w:color="auto" w:fill="CFF0FC"/>
          </w:tcPr>
          <w:p>
            <w:pPr>
              <w:spacing w:after="0"/>
              <w:rPr>
                <w:sz w:val="20"/>
                <w:szCs w:val="20"/>
                <w:color w:val="auto"/>
              </w:rPr>
            </w:pPr>
          </w:p>
        </w:tc>
      </w:tr>
      <w:tr>
        <w:trPr>
          <w:trHeight w:val="234"/>
        </w:trPr>
        <w:tc>
          <w:tcPr>
            <w:tcW w:w="3380" w:type="dxa"/>
            <w:vAlign w:val="bottom"/>
          </w:tcPr>
          <w:p>
            <w:pPr>
              <w:ind w:left="740"/>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5,495</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8,774</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19,947</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25,856</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20"/>
                <w:szCs w:val="20"/>
                <w:color w:val="auto"/>
              </w:rPr>
            </w:pPr>
          </w:p>
        </w:tc>
      </w:tr>
      <w:tr>
        <w:trPr>
          <w:trHeight w:val="241"/>
        </w:trPr>
        <w:tc>
          <w:tcPr>
            <w:tcW w:w="3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costs and expenses</w:t>
            </w: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2,698</w:t>
            </w:r>
          </w:p>
        </w:tc>
        <w:tc>
          <w:tcPr>
            <w:tcW w:w="300" w:type="dxa"/>
            <w:vAlign w:val="bottom"/>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3,245</w:t>
            </w: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w:t>
            </w:r>
          </w:p>
        </w:tc>
        <w:tc>
          <w:tcPr>
            <w:tcW w:w="3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8,076</w:t>
            </w:r>
          </w:p>
        </w:tc>
        <w:tc>
          <w:tcPr>
            <w:tcW w:w="280" w:type="dxa"/>
            <w:vAlign w:val="bottom"/>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8,992</w:t>
            </w: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shd w:val="clear" w:color="auto" w:fill="CFF0FC"/>
          </w:tcPr>
          <w:p>
            <w:pPr>
              <w:spacing w:after="0"/>
              <w:rPr>
                <w:sz w:val="20"/>
                <w:szCs w:val="20"/>
                <w:color w:val="auto"/>
              </w:rPr>
            </w:pPr>
          </w:p>
        </w:tc>
      </w:tr>
      <w:tr>
        <w:trPr>
          <w:trHeight w:val="274"/>
        </w:trPr>
        <w:tc>
          <w:tcPr>
            <w:tcW w:w="33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300" w:type="dxa"/>
            <w:vAlign w:val="bottom"/>
            <w:tcBorders>
              <w:bottom w:val="single" w:sz="8" w:color="CFF0FC"/>
            </w:tcBorders>
          </w:tcPr>
          <w:p>
            <w:pPr>
              <w:spacing w:after="0"/>
              <w:rPr>
                <w:sz w:val="23"/>
                <w:szCs w:val="23"/>
                <w:color w:val="auto"/>
              </w:rPr>
            </w:pPr>
          </w:p>
        </w:tc>
        <w:tc>
          <w:tcPr>
            <w:tcW w:w="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5,529</w:t>
            </w:r>
          </w:p>
        </w:tc>
        <w:tc>
          <w:tcPr>
            <w:tcW w:w="320" w:type="dxa"/>
            <w:vAlign w:val="bottom"/>
            <w:tcBorders>
              <w:bottom w:val="single" w:sz="8" w:color="CFF0FC"/>
            </w:tcBorders>
          </w:tcPr>
          <w:p>
            <w:pPr>
              <w:spacing w:after="0"/>
              <w:rPr>
                <w:sz w:val="23"/>
                <w:szCs w:val="23"/>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98</w:t>
            </w:r>
          </w:p>
        </w:tc>
        <w:tc>
          <w:tcPr>
            <w:tcW w:w="32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11,871</w:t>
            </w:r>
          </w:p>
        </w:tc>
        <w:tc>
          <w:tcPr>
            <w:tcW w:w="280" w:type="dxa"/>
            <w:vAlign w:val="bottom"/>
            <w:tcBorders>
              <w:bottom w:val="single" w:sz="8" w:color="CFF0FC"/>
            </w:tcBorders>
          </w:tcPr>
          <w:p>
            <w:pPr>
              <w:spacing w:after="0"/>
              <w:rPr>
                <w:sz w:val="23"/>
                <w:szCs w:val="23"/>
                <w:color w:val="auto"/>
              </w:rPr>
            </w:pPr>
          </w:p>
        </w:tc>
        <w:tc>
          <w:tcPr>
            <w:tcW w:w="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16,864</w:t>
            </w:r>
          </w:p>
        </w:tc>
        <w:tc>
          <w:tcPr>
            <w:tcW w:w="320" w:type="dxa"/>
            <w:vAlign w:val="bottom"/>
            <w:tcBorders>
              <w:bottom w:val="single" w:sz="8" w:color="CFF0FC"/>
            </w:tcBorders>
          </w:tcPr>
          <w:p>
            <w:pPr>
              <w:spacing w:after="0"/>
              <w:rPr>
                <w:sz w:val="23"/>
                <w:szCs w:val="23"/>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42</w:t>
            </w:r>
          </w:p>
        </w:tc>
        <w:tc>
          <w:tcPr>
            <w:tcW w:w="200" w:type="dxa"/>
            <w:vAlign w:val="bottom"/>
            <w:tcBorders>
              <w:bottom w:val="single" w:sz="8" w:color="CFF0FC"/>
            </w:tcBorders>
          </w:tcPr>
          <w:p>
            <w:pPr>
              <w:spacing w:after="0"/>
              <w:rPr>
                <w:sz w:val="23"/>
                <w:szCs w:val="23"/>
                <w:color w:val="auto"/>
              </w:rPr>
            </w:pPr>
          </w:p>
        </w:tc>
      </w:tr>
      <w:tr>
        <w:trPr>
          <w:trHeight w:val="222"/>
        </w:trPr>
        <w:tc>
          <w:tcPr>
            <w:tcW w:w="3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41"/>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1"/>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25.9%</w:t>
            </w:r>
          </w:p>
        </w:tc>
        <w:tc>
          <w:tcPr>
            <w:tcW w:w="4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34.0%</w:t>
            </w:r>
          </w:p>
        </w:tc>
        <w:tc>
          <w:tcPr>
            <w:tcW w:w="7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30.6%</w:t>
            </w:r>
          </w:p>
        </w:tc>
        <w:tc>
          <w:tcPr>
            <w:tcW w:w="4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32.6%</w:t>
            </w: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53"/>
        </w:trPr>
        <w:tc>
          <w:tcPr>
            <w:tcW w:w="338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21.4</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268"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i w:val="1"/>
          <w:iCs w:val="1"/>
          <w:color w:val="auto"/>
        </w:rPr>
        <w:t>Security Products</w:t>
      </w:r>
      <w:r>
        <w:rPr>
          <w:rFonts w:ascii="Arial" w:cs="Arial" w:eastAsia="Arial" w:hAnsi="Arial"/>
          <w:sz w:val="17"/>
          <w:szCs w:val="17"/>
          <w:color w:val="auto"/>
        </w:rPr>
        <w:t>. Security Products net sales in the third quarter of 2021 increased 22% compared to the same period in 2020 when it experienced</w:t>
      </w:r>
      <w:r>
        <w:rPr>
          <w:rFonts w:ascii="Arial" w:cs="Arial" w:eastAsia="Arial" w:hAnsi="Arial"/>
          <w:sz w:val="17"/>
          <w:szCs w:val="17"/>
          <w:i w:val="1"/>
          <w:iCs w:val="1"/>
          <w:color w:val="auto"/>
        </w:rPr>
        <w:t xml:space="preserve"> </w:t>
      </w:r>
      <w:r>
        <w:rPr>
          <w:rFonts w:ascii="Arial" w:cs="Arial" w:eastAsia="Arial" w:hAnsi="Arial"/>
          <w:sz w:val="17"/>
          <w:szCs w:val="17"/>
          <w:color w:val="auto"/>
        </w:rPr>
        <w:t>reduced demand across a variety of markets attributed to COVID-19. Relative to prior year, third quarter sales were $2.1 million higher to the government security market, $1.3 million higher to the transportation market, and $0.6 million higher to distribution customers. Security Products net sales increased 22% in the first nine months of 2021 compared to the same period last year primarily due to the higher second and third quarter 2021 sales as compared to second and third quarter 2020 sales. Relative to prior year, sales for the first nine months of 2021 were $5.6 million higher to the government security market, $4.5 million higher to the transportation market, and $2.0 million higher to distribution customers.</w:t>
      </w:r>
    </w:p>
    <w:p>
      <w:pPr>
        <w:spacing w:after="0" w:line="178"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Gross margin as a percentage of net sales for the third quarter and first nine months of 2021 increased as compared to the same periods last year due to increased coverage of fixed costs from higher production, partially offset by higher production costs including increased raw materials costs across a variety of commodities and component inputs, higher shipping costs, and increased labor costs primarily due to higher overtime costs and increased headcount. Operating income as a percentage of net sales for the third quarter and first nine months of 2021 increased compared to the same periods of 2020 due to increased coverage of operating costs and expenses on higher sales, partially offset by the factors impacting gross margin.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7"/>
        </w:trPr>
        <w:tc>
          <w:tcPr>
            <w:tcW w:w="3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6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88"/>
              </w:rPr>
              <w:t>Three months ended</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0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87"/>
              </w:rPr>
              <w:t>Nine months ended,</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1"/>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87"/>
              </w:rPr>
              <w:t>September 30,</w:t>
            </w:r>
          </w:p>
        </w:tc>
        <w:tc>
          <w:tcPr>
            <w:tcW w:w="74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3"/>
          </w:tcPr>
          <w:p>
            <w:pPr>
              <w:jc w:val="center"/>
              <w:ind w:left="431"/>
              <w:spacing w:after="0"/>
              <w:rPr>
                <w:sz w:val="20"/>
                <w:szCs w:val="20"/>
                <w:color w:val="auto"/>
              </w:rPr>
            </w:pPr>
            <w:r>
              <w:rPr>
                <w:rFonts w:ascii="Arial" w:cs="Arial" w:eastAsia="Arial" w:hAnsi="Arial"/>
                <w:sz w:val="18"/>
                <w:szCs w:val="18"/>
                <w:b w:val="1"/>
                <w:bCs w:val="1"/>
                <w:color w:val="auto"/>
                <w:w w:val="89"/>
              </w:rPr>
              <w:t>September 30,</w:t>
            </w: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r>
      <w:tr>
        <w:trPr>
          <w:trHeight w:val="222"/>
        </w:trPr>
        <w:tc>
          <w:tcPr>
            <w:tcW w:w="3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Change</w:t>
            </w: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31"/>
              <w:spacing w:after="0"/>
              <w:rPr>
                <w:sz w:val="20"/>
                <w:szCs w:val="20"/>
                <w:color w:val="auto"/>
              </w:rPr>
            </w:pPr>
            <w:r>
              <w:rPr>
                <w:rFonts w:ascii="Arial" w:cs="Arial" w:eastAsia="Arial" w:hAnsi="Arial"/>
                <w:sz w:val="18"/>
                <w:szCs w:val="18"/>
                <w:b w:val="1"/>
                <w:bCs w:val="1"/>
                <w:color w:val="auto"/>
                <w:w w:val="79"/>
              </w:rPr>
              <w:t>2021</w:t>
            </w:r>
          </w:p>
        </w:tc>
        <w:tc>
          <w:tcPr>
            <w:tcW w:w="320" w:type="dxa"/>
            <w:vAlign w:val="bottom"/>
          </w:tcPr>
          <w:p>
            <w:pPr>
              <w:spacing w:after="0"/>
              <w:rPr>
                <w:sz w:val="19"/>
                <w:szCs w:val="19"/>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Change</w:t>
            </w:r>
          </w:p>
        </w:tc>
      </w:tr>
      <w:tr>
        <w:trPr>
          <w:trHeight w:val="224"/>
        </w:trPr>
        <w:tc>
          <w:tcPr>
            <w:tcW w:w="3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gridSpan w:val="4"/>
          </w:tcPr>
          <w:p>
            <w:pPr>
              <w:jc w:val="center"/>
              <w:ind w:right="171"/>
              <w:spacing w:after="0"/>
              <w:rPr>
                <w:sz w:val="20"/>
                <w:szCs w:val="20"/>
                <w:color w:val="auto"/>
              </w:rPr>
            </w:pPr>
            <w:r>
              <w:rPr>
                <w:rFonts w:ascii="Arial" w:cs="Arial" w:eastAsia="Arial" w:hAnsi="Arial"/>
                <w:sz w:val="18"/>
                <w:szCs w:val="18"/>
                <w:b w:val="1"/>
                <w:bCs w:val="1"/>
                <w:color w:val="auto"/>
                <w:w w:val="88"/>
              </w:rPr>
              <w:t>(Dollars in thousands)</w:t>
            </w: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gridSpan w:val="4"/>
          </w:tcPr>
          <w:p>
            <w:pPr>
              <w:jc w:val="center"/>
              <w:ind w:right="171"/>
              <w:spacing w:after="0"/>
              <w:rPr>
                <w:sz w:val="20"/>
                <w:szCs w:val="20"/>
                <w:color w:val="auto"/>
              </w:rPr>
            </w:pPr>
            <w:r>
              <w:rPr>
                <w:rFonts w:ascii="Arial" w:cs="Arial" w:eastAsia="Arial" w:hAnsi="Arial"/>
                <w:sz w:val="18"/>
                <w:szCs w:val="18"/>
                <w:b w:val="1"/>
                <w:bCs w:val="1"/>
                <w:color w:val="auto"/>
                <w:w w:val="88"/>
              </w:rPr>
              <w:t>(Dollars in thousands)</w:t>
            </w: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37"/>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1"/>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Marine Components:</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40"/>
        </w:trPr>
        <w:tc>
          <w:tcPr>
            <w:tcW w:w="338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7,217</w:t>
            </w:r>
          </w:p>
        </w:tc>
        <w:tc>
          <w:tcPr>
            <w:tcW w:w="28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8,727</w:t>
            </w:r>
          </w:p>
        </w:tc>
        <w:tc>
          <w:tcPr>
            <w:tcW w:w="3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19,286</w:t>
            </w:r>
          </w:p>
        </w:tc>
        <w:tc>
          <w:tcPr>
            <w:tcW w:w="300" w:type="dxa"/>
            <w:vAlign w:val="bottom"/>
          </w:tcPr>
          <w:p>
            <w:pPr>
              <w:spacing w:after="0"/>
              <w:rPr>
                <w:sz w:val="20"/>
                <w:szCs w:val="20"/>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27,432</w:t>
            </w:r>
          </w:p>
        </w:tc>
        <w:tc>
          <w:tcPr>
            <w:tcW w:w="320" w:type="dxa"/>
            <w:vAlign w:val="bottom"/>
          </w:tcPr>
          <w:p>
            <w:pPr>
              <w:spacing w:after="0"/>
              <w:rPr>
                <w:sz w:val="20"/>
                <w:szCs w:val="20"/>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b w:val="1"/>
                <w:bCs w:val="1"/>
                <w:color w:val="auto"/>
              </w:rPr>
              <w:t>42%</w:t>
            </w:r>
          </w:p>
        </w:tc>
      </w:tr>
      <w:tr>
        <w:trPr>
          <w:trHeight w:val="241"/>
        </w:trPr>
        <w:tc>
          <w:tcPr>
            <w:tcW w:w="3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5,384</w:t>
            </w:r>
          </w:p>
        </w:tc>
        <w:tc>
          <w:tcPr>
            <w:tcW w:w="2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6,579</w:t>
            </w: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w:t>
            </w:r>
          </w:p>
        </w:tc>
        <w:tc>
          <w:tcPr>
            <w:tcW w:w="2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14,108</w:t>
            </w:r>
          </w:p>
        </w:tc>
        <w:tc>
          <w:tcPr>
            <w:tcW w:w="300" w:type="dxa"/>
            <w:vAlign w:val="bottom"/>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20,025</w:t>
            </w: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ind w:left="560"/>
              <w:spacing w:after="0"/>
              <w:rPr>
                <w:sz w:val="20"/>
                <w:szCs w:val="20"/>
                <w:color w:val="auto"/>
              </w:rPr>
            </w:pPr>
            <w:r>
              <w:rPr>
                <w:rFonts w:ascii="Arial" w:cs="Arial" w:eastAsia="Arial" w:hAnsi="Arial"/>
                <w:sz w:val="18"/>
                <w:szCs w:val="18"/>
                <w:b w:val="1"/>
                <w:bCs w:val="1"/>
                <w:color w:val="auto"/>
                <w:w w:val="89"/>
              </w:rPr>
              <w:t>42</w:t>
            </w:r>
          </w:p>
        </w:tc>
        <w:tc>
          <w:tcPr>
            <w:tcW w:w="200" w:type="dxa"/>
            <w:vAlign w:val="bottom"/>
            <w:shd w:val="clear" w:color="auto" w:fill="CFF0FC"/>
          </w:tcPr>
          <w:p>
            <w:pPr>
              <w:spacing w:after="0"/>
              <w:rPr>
                <w:sz w:val="20"/>
                <w:szCs w:val="20"/>
                <w:color w:val="auto"/>
              </w:rPr>
            </w:pPr>
          </w:p>
        </w:tc>
      </w:tr>
      <w:tr>
        <w:trPr>
          <w:trHeight w:val="234"/>
        </w:trPr>
        <w:tc>
          <w:tcPr>
            <w:tcW w:w="3380" w:type="dxa"/>
            <w:vAlign w:val="bottom"/>
          </w:tcPr>
          <w:p>
            <w:pPr>
              <w:ind w:left="740"/>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2,148</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5,178</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7,407</w:t>
            </w:r>
          </w:p>
        </w:tc>
        <w:tc>
          <w:tcPr>
            <w:tcW w:w="320" w:type="dxa"/>
            <w:vAlign w:val="bottom"/>
          </w:tcPr>
          <w:p>
            <w:pPr>
              <w:spacing w:after="0"/>
              <w:rPr>
                <w:sz w:val="20"/>
                <w:szCs w:val="20"/>
                <w:color w:val="auto"/>
              </w:rPr>
            </w:pPr>
          </w:p>
        </w:tc>
        <w:tc>
          <w:tcPr>
            <w:tcW w:w="760" w:type="dxa"/>
            <w:vAlign w:val="bottom"/>
          </w:tcPr>
          <w:p>
            <w:pPr>
              <w:ind w:left="560"/>
              <w:spacing w:after="0"/>
              <w:rPr>
                <w:sz w:val="20"/>
                <w:szCs w:val="20"/>
                <w:color w:val="auto"/>
              </w:rPr>
            </w:pPr>
            <w:r>
              <w:rPr>
                <w:rFonts w:ascii="Arial" w:cs="Arial" w:eastAsia="Arial" w:hAnsi="Arial"/>
                <w:sz w:val="18"/>
                <w:szCs w:val="18"/>
                <w:b w:val="1"/>
                <w:bCs w:val="1"/>
                <w:color w:val="auto"/>
                <w:w w:val="89"/>
              </w:rPr>
              <w:t>43</w:t>
            </w:r>
          </w:p>
        </w:tc>
        <w:tc>
          <w:tcPr>
            <w:tcW w:w="200" w:type="dxa"/>
            <w:vAlign w:val="bottom"/>
          </w:tcPr>
          <w:p>
            <w:pPr>
              <w:spacing w:after="0"/>
              <w:rPr>
                <w:sz w:val="20"/>
                <w:szCs w:val="20"/>
                <w:color w:val="auto"/>
              </w:rPr>
            </w:pPr>
          </w:p>
        </w:tc>
      </w:tr>
      <w:tr>
        <w:trPr>
          <w:trHeight w:val="241"/>
        </w:trPr>
        <w:tc>
          <w:tcPr>
            <w:tcW w:w="3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costs and expenses</w:t>
            </w: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2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893</w:t>
            </w: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w:t>
            </w:r>
          </w:p>
        </w:tc>
        <w:tc>
          <w:tcPr>
            <w:tcW w:w="2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2,168</w:t>
            </w:r>
          </w:p>
        </w:tc>
        <w:tc>
          <w:tcPr>
            <w:tcW w:w="300" w:type="dxa"/>
            <w:vAlign w:val="bottom"/>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2,611</w:t>
            </w: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ind w:left="560"/>
              <w:spacing w:after="0"/>
              <w:rPr>
                <w:sz w:val="20"/>
                <w:szCs w:val="20"/>
                <w:color w:val="auto"/>
              </w:rPr>
            </w:pPr>
            <w:r>
              <w:rPr>
                <w:rFonts w:ascii="Arial" w:cs="Arial" w:eastAsia="Arial" w:hAnsi="Arial"/>
                <w:sz w:val="18"/>
                <w:szCs w:val="18"/>
                <w:b w:val="1"/>
                <w:bCs w:val="1"/>
                <w:color w:val="auto"/>
                <w:w w:val="89"/>
              </w:rPr>
              <w:t>20</w:t>
            </w:r>
          </w:p>
        </w:tc>
        <w:tc>
          <w:tcPr>
            <w:tcW w:w="200" w:type="dxa"/>
            <w:vAlign w:val="bottom"/>
            <w:shd w:val="clear" w:color="auto" w:fill="CFF0FC"/>
          </w:tcPr>
          <w:p>
            <w:pPr>
              <w:spacing w:after="0"/>
              <w:rPr>
                <w:sz w:val="20"/>
                <w:szCs w:val="20"/>
                <w:color w:val="auto"/>
              </w:rPr>
            </w:pPr>
          </w:p>
        </w:tc>
      </w:tr>
      <w:tr>
        <w:trPr>
          <w:trHeight w:val="274"/>
        </w:trPr>
        <w:tc>
          <w:tcPr>
            <w:tcW w:w="3380" w:type="dxa"/>
            <w:vAlign w:val="bottom"/>
          </w:tcPr>
          <w:p>
            <w:pPr>
              <w:ind w:left="7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1,129</w:t>
            </w:r>
          </w:p>
        </w:tc>
        <w:tc>
          <w:tcPr>
            <w:tcW w:w="280" w:type="dxa"/>
            <w:vAlign w:val="bottom"/>
          </w:tcPr>
          <w:p>
            <w:pPr>
              <w:spacing w:after="0"/>
              <w:rPr>
                <w:sz w:val="23"/>
                <w:szCs w:val="23"/>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1,255</w:t>
            </w: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60" w:type="dxa"/>
            <w:vAlign w:val="bottom"/>
          </w:tcPr>
          <w:p>
            <w:pPr>
              <w:spacing w:after="0"/>
              <w:rPr>
                <w:sz w:val="23"/>
                <w:szCs w:val="2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3,010</w:t>
            </w:r>
          </w:p>
        </w:tc>
        <w:tc>
          <w:tcPr>
            <w:tcW w:w="300" w:type="dxa"/>
            <w:vAlign w:val="bottom"/>
          </w:tcPr>
          <w:p>
            <w:pPr>
              <w:spacing w:after="0"/>
              <w:rPr>
                <w:sz w:val="23"/>
                <w:szCs w:val="23"/>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4,796</w:t>
            </w:r>
          </w:p>
        </w:tc>
        <w:tc>
          <w:tcPr>
            <w:tcW w:w="320" w:type="dxa"/>
            <w:vAlign w:val="bottom"/>
          </w:tcPr>
          <w:p>
            <w:pPr>
              <w:spacing w:after="0"/>
              <w:rPr>
                <w:sz w:val="23"/>
                <w:szCs w:val="23"/>
                <w:color w:val="auto"/>
              </w:rPr>
            </w:pPr>
          </w:p>
        </w:tc>
        <w:tc>
          <w:tcPr>
            <w:tcW w:w="760" w:type="dxa"/>
            <w:vAlign w:val="bottom"/>
          </w:tcPr>
          <w:p>
            <w:pPr>
              <w:ind w:left="560"/>
              <w:spacing w:after="0"/>
              <w:rPr>
                <w:sz w:val="20"/>
                <w:szCs w:val="20"/>
                <w:color w:val="auto"/>
              </w:rPr>
            </w:pPr>
            <w:r>
              <w:rPr>
                <w:rFonts w:ascii="Arial" w:cs="Arial" w:eastAsia="Arial" w:hAnsi="Arial"/>
                <w:sz w:val="18"/>
                <w:szCs w:val="18"/>
                <w:b w:val="1"/>
                <w:bCs w:val="1"/>
                <w:color w:val="auto"/>
                <w:w w:val="89"/>
              </w:rPr>
              <w:t>59</w:t>
            </w:r>
          </w:p>
        </w:tc>
        <w:tc>
          <w:tcPr>
            <w:tcW w:w="200" w:type="dxa"/>
            <w:vAlign w:val="bottom"/>
          </w:tcPr>
          <w:p>
            <w:pPr>
              <w:spacing w:after="0"/>
              <w:rPr>
                <w:sz w:val="23"/>
                <w:szCs w:val="23"/>
                <w:color w:val="auto"/>
              </w:rPr>
            </w:pPr>
          </w:p>
        </w:tc>
      </w:tr>
      <w:tr>
        <w:trPr>
          <w:trHeight w:val="235"/>
        </w:trPr>
        <w:tc>
          <w:tcPr>
            <w:tcW w:w="338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74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76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r>
      <w:tr>
        <w:trPr>
          <w:trHeight w:val="241"/>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1"/>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24.6%</w:t>
            </w:r>
          </w:p>
        </w:tc>
        <w:tc>
          <w:tcPr>
            <w:tcW w:w="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26.8%</w:t>
            </w:r>
          </w:p>
        </w:tc>
        <w:tc>
          <w:tcPr>
            <w:tcW w:w="4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27.0%</w:t>
            </w: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39"/>
        </w:trPr>
        <w:tc>
          <w:tcPr>
            <w:tcW w:w="338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1"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i w:val="1"/>
          <w:iCs w:val="1"/>
          <w:color w:val="auto"/>
        </w:rPr>
        <w:t>Marine Components</w:t>
      </w:r>
      <w:r>
        <w:rPr>
          <w:rFonts w:ascii="Arial" w:cs="Arial" w:eastAsia="Arial" w:hAnsi="Arial"/>
          <w:sz w:val="16"/>
          <w:szCs w:val="16"/>
          <w:color w:val="auto"/>
        </w:rPr>
        <w:t>. Marine Components net sales in the third quarter and first nine months of 2021 increased 21% and 42%, respectively,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same periods in 2020 primarily due to increased sales to the towboat market. Sales to the towboat market were $1.4 million higher for the third quarter and $6.5 million higher for the first nine months of 2021 compared to the same periods in 2020. As a percentage of net sales, gross margin and operating income for the third quarter of 2021 decreased compared to the same period in 2020 as increased coverage of fixed costs from higher production were more than offset by higher production costs including increased raw materials costs, primarily stainless steel, higher shipping costs, and increased labor costs resulting from higher overtime costs and increased headcount. For the first nine months of 2021, gross margin as a percentage of net sales was comparable to the same period in 2020 as the favorable impact from the increased coverage of fixed costs due to higher production volumes was offset by increased production costs. Operating income as a percentage of net sales for the first nine months of 2021 increased compared to the same period in 2020 due to increased coverage of operating costs and expenses from higher sales and the factors impacting gross margin.</w:t>
      </w:r>
    </w:p>
    <w:p>
      <w:pPr>
        <w:spacing w:after="0" w:line="167" w:lineRule="exact"/>
        <w:rPr>
          <w:sz w:val="20"/>
          <w:szCs w:val="20"/>
          <w:color w:val="auto"/>
        </w:rPr>
      </w:pPr>
    </w:p>
    <w:p>
      <w:pPr>
        <w:jc w:val="both"/>
        <w:ind w:firstLine="510"/>
        <w:spacing w:after="0" w:line="251" w:lineRule="auto"/>
        <w:rPr>
          <w:sz w:val="20"/>
          <w:szCs w:val="20"/>
          <w:color w:val="auto"/>
        </w:rPr>
      </w:pPr>
      <w:r>
        <w:rPr>
          <w:rFonts w:ascii="Arial" w:cs="Arial" w:eastAsia="Arial" w:hAnsi="Arial"/>
          <w:sz w:val="18"/>
          <w:szCs w:val="18"/>
          <w:i w:val="1"/>
          <w:iCs w:val="1"/>
          <w:color w:val="auto"/>
        </w:rPr>
        <w:t xml:space="preserve">Outlook. </w:t>
      </w:r>
      <w:r>
        <w:rPr>
          <w:rFonts w:ascii="Arial" w:cs="Arial" w:eastAsia="Arial" w:hAnsi="Arial"/>
          <w:sz w:val="18"/>
          <w:szCs w:val="18"/>
          <w:color w:val="auto"/>
        </w:rPr>
        <w:t>Beginning in the second half of 2020, our sales began to recover from the historically low levels we experienced during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2020, with sales steadily improving for the remainder of last year. Throughout the first nine months of 2021, we have experienced strong demand, particularly at our Marine Components segment. During the second and third quarters of 2021, our Security Products segment has seen improved demand from distributors and the office furniture market that had been slower to recover. In the first nine months of 2021, our manufacturing facilities operated at elevated production rates in line with improved demand, although labor markets are tight in each of the regions in which we operate and, as a result, we have experienced and continue to have challenges maintaining staffing levels aligned with current and forecasted demand, particularly at our Marine Components segment.</w:t>
      </w:r>
    </w:p>
    <w:p>
      <w:pPr>
        <w:spacing w:after="0" w:line="19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Based on current market conditions, we expect demand levels to remain strong for the remainder of 2021 and we expect to report increased sales and operating income in 2021 compared to 2020. Our supply chains remain intact, although the current global and domestic supply chain disruptions continue to present challenges in sourcing certain raw materials due to increased lead times, availability shortages and transportation and logistics delays. Thus far we have been able to manage through these disruptions with minimal impact on our operations. In addition, we are experiencing increased production costs including higher labor, shipping, and increasing costs of many of the raw materials we use. In response, we implemented price increases and surcharges in the second and third quarters of 2021; however, the extent to which the price increases and surcharges will mitigate the rising costs is uncertain and we expect increasing production costs will negatively impact gross margins in the fourth quarter as higher cost inventories are sold. Our operations teams meet frequently to ensure we are taking appropriate actions to maintain a safe working environment for all our employees, minimize material or supply related operational disruptions, manage inventory levels and improve operating margins.</w:t>
      </w:r>
    </w:p>
    <w:p>
      <w:pPr>
        <w:spacing w:after="0" w:line="167" w:lineRule="exact"/>
        <w:rPr>
          <w:sz w:val="20"/>
          <w:szCs w:val="20"/>
          <w:color w:val="auto"/>
        </w:rPr>
      </w:pPr>
    </w:p>
    <w:p>
      <w:pPr>
        <w:jc w:val="both"/>
        <w:ind w:right="20" w:firstLine="510"/>
        <w:spacing w:after="0" w:line="255" w:lineRule="auto"/>
        <w:rPr>
          <w:sz w:val="20"/>
          <w:szCs w:val="20"/>
          <w:color w:val="auto"/>
        </w:rPr>
      </w:pPr>
      <w:r>
        <w:rPr>
          <w:rFonts w:ascii="Arial" w:cs="Arial" w:eastAsia="Arial" w:hAnsi="Arial"/>
          <w:sz w:val="18"/>
          <w:szCs w:val="18"/>
          <w:color w:val="auto"/>
        </w:rPr>
        <w:t>Our expectations for our operations and the markets we serve are based on a number of factors outside our control. As noted above, there are global and domestic supply chain challenges and any future impacts of COVID-19 on our operations will depend on, among other things, any future disruption in our operations or our suppliers’ operations, demand for our products and the timing and effectiveness of the global measures deployed to fight COVID-19, all of which remain uncertain and cannot be predicted.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Consolidated cash flows </w:t>
      </w:r>
      <w:r>
        <w:rPr>
          <w:rFonts w:ascii="Arial" w:cs="Arial" w:eastAsia="Arial" w:hAnsi="Arial"/>
          <w:sz w:val="18"/>
          <w:szCs w:val="18"/>
          <w:b w:val="1"/>
          <w:bCs w:val="1"/>
          <w:color w:val="auto"/>
        </w:rPr>
        <w:t>–</w:t>
      </w:r>
    </w:p>
    <w:p>
      <w:pPr>
        <w:spacing w:after="0" w:line="11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Trends in cash flows from operating activities, excluding changes in assets and liabilities, have generally been similar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190" w:lineRule="exact"/>
        <w:rPr>
          <w:sz w:val="20"/>
          <w:szCs w:val="20"/>
          <w:color w:val="auto"/>
        </w:rPr>
      </w:pPr>
    </w:p>
    <w:p>
      <w:pPr>
        <w:ind w:firstLine="510"/>
        <w:spacing w:after="0" w:line="271" w:lineRule="auto"/>
        <w:rPr>
          <w:sz w:val="20"/>
          <w:szCs w:val="20"/>
          <w:color w:val="auto"/>
        </w:rPr>
      </w:pPr>
      <w:r>
        <w:rPr>
          <w:rFonts w:ascii="Arial" w:cs="Arial" w:eastAsia="Arial" w:hAnsi="Arial"/>
          <w:sz w:val="18"/>
          <w:szCs w:val="18"/>
          <w:color w:val="auto"/>
        </w:rPr>
        <w:t>Our net cash provided by operating activities for the first nine months of 2021 decreased by $1.2 million as compared to the first nine months of 2020. The decrease is primarily due to the net effects of:</w:t>
      </w:r>
    </w:p>
    <w:p>
      <w:pPr>
        <w:spacing w:after="0" w:line="134" w:lineRule="exact"/>
        <w:rPr>
          <w:sz w:val="20"/>
          <w:szCs w:val="20"/>
          <w:color w:val="auto"/>
        </w:rPr>
      </w:pPr>
    </w:p>
    <w:p>
      <w:pPr>
        <w:ind w:left="720" w:hanging="35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$7.2 million increase in operating income in 2021,</w:t>
      </w:r>
    </w:p>
    <w:p>
      <w:pPr>
        <w:spacing w:after="0" w:line="301" w:lineRule="exact"/>
        <w:rPr>
          <w:rFonts w:ascii="Arial" w:cs="Arial" w:eastAsia="Arial" w:hAnsi="Arial"/>
          <w:sz w:val="18"/>
          <w:szCs w:val="18"/>
          <w:color w:val="auto"/>
        </w:rPr>
      </w:pPr>
    </w:p>
    <w:p>
      <w:pPr>
        <w:ind w:left="720" w:right="20" w:hanging="352"/>
        <w:spacing w:after="0" w:line="271"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higher amount of net cash used by relative changes in our inventories, receivables, prepaids, payables and non-tax related accruals of approximately $7.0 million in 2021,</w:t>
      </w:r>
    </w:p>
    <w:p>
      <w:pPr>
        <w:spacing w:after="0" w:line="228" w:lineRule="exact"/>
        <w:rPr>
          <w:rFonts w:ascii="Arial" w:cs="Arial" w:eastAsia="Arial" w:hAnsi="Arial"/>
          <w:sz w:val="18"/>
          <w:szCs w:val="18"/>
          <w:color w:val="auto"/>
        </w:rPr>
      </w:pPr>
    </w:p>
    <w:p>
      <w:pPr>
        <w:ind w:left="720" w:hanging="352"/>
        <w:spacing w:after="0" w:line="271"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$1.0 million decrease in interest received in 2021 due to the relative timing of interest received and to a lesser extent a lower average affiliate receivable balance, and</w:t>
      </w:r>
    </w:p>
    <w:p>
      <w:pPr>
        <w:spacing w:after="0" w:line="228" w:lineRule="exact"/>
        <w:rPr>
          <w:rFonts w:ascii="Arial" w:cs="Arial" w:eastAsia="Arial" w:hAnsi="Arial"/>
          <w:sz w:val="18"/>
          <w:szCs w:val="18"/>
          <w:color w:val="auto"/>
        </w:rPr>
      </w:pPr>
    </w:p>
    <w:p>
      <w:pPr>
        <w:ind w:left="720" w:hanging="35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$0.6 million increase in cash paid for taxes in 2021 due to higher operating income and the relative timing of payments.</w:t>
      </w:r>
    </w:p>
    <w:p>
      <w:pPr>
        <w:spacing w:after="0" w:line="30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Relative changes in working capital can have a significant effect on cash flows from operating activities. As shown below, the change in our average days sales outstanding from December 31, 2020 to September 30, 2021 varied by segment, primarily as a result of relative changes in the timing of collections but is in line with prior year on a consolidated basis. For comparative purposes, we have provided December 31, 2019 and September 30, 2020 numbers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20" w:type="dxa"/>
            <w:vAlign w:val="bottom"/>
            <w:gridSpan w:val="2"/>
          </w:tcPr>
          <w:p>
            <w:pPr>
              <w:ind w:left="520"/>
              <w:spacing w:after="0"/>
              <w:rPr>
                <w:sz w:val="20"/>
                <w:szCs w:val="20"/>
                <w:color w:val="auto"/>
              </w:rPr>
            </w:pPr>
            <w:r>
              <w:rPr>
                <w:rFonts w:ascii="Arial" w:cs="Arial" w:eastAsia="Arial" w:hAnsi="Arial"/>
                <w:sz w:val="18"/>
                <w:szCs w:val="18"/>
                <w:b w:val="1"/>
                <w:bCs w:val="1"/>
                <w:color w:val="auto"/>
              </w:rPr>
              <w:t>Days Sales Outstanding:</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 2019</w:t>
            </w:r>
          </w:p>
        </w:tc>
        <w:tc>
          <w:tcPr>
            <w:tcW w:w="1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September 30, 2020</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 2020</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 2021</w:t>
            </w:r>
          </w:p>
        </w:tc>
      </w:tr>
      <w:tr>
        <w:trPr>
          <w:trHeight w:val="208"/>
        </w:trPr>
        <w:tc>
          <w:tcPr>
            <w:tcW w:w="2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20" w:type="dxa"/>
            <w:vAlign w:val="bottom"/>
            <w:tcBorders>
              <w:top w:val="single" w:sz="8" w:color="CFF0FC"/>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38 Days</w:t>
            </w:r>
          </w:p>
        </w:tc>
        <w:tc>
          <w:tcPr>
            <w:tcW w:w="10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41 Days</w:t>
            </w:r>
          </w:p>
        </w:tc>
        <w:tc>
          <w:tcPr>
            <w:tcW w:w="80" w:type="dxa"/>
            <w:vAlign w:val="bottom"/>
            <w:tcBorders>
              <w:top w:val="single" w:sz="8" w:color="CFF0FC"/>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35 Days</w:t>
            </w:r>
          </w:p>
        </w:tc>
        <w:tc>
          <w:tcPr>
            <w:tcW w:w="100" w:type="dxa"/>
            <w:vAlign w:val="bottom"/>
            <w:tcBorders>
              <w:top w:val="single" w:sz="8" w:color="CFF0FC"/>
            </w:tcBorders>
            <w:shd w:val="clear" w:color="auto" w:fill="CFF0FC"/>
          </w:tcPr>
          <w:p>
            <w:pPr>
              <w:spacing w:after="0"/>
              <w:rPr>
                <w:sz w:val="18"/>
                <w:szCs w:val="18"/>
                <w:color w:val="auto"/>
              </w:rPr>
            </w:pPr>
          </w:p>
        </w:tc>
        <w:tc>
          <w:tcPr>
            <w:tcW w:w="2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42 Days</w:t>
            </w:r>
          </w:p>
        </w:tc>
      </w:tr>
      <w:tr>
        <w:trPr>
          <w:trHeight w:val="214"/>
        </w:trPr>
        <w:tc>
          <w:tcPr>
            <w:tcW w:w="302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9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27 Days</w:t>
            </w:r>
          </w:p>
        </w:tc>
        <w:tc>
          <w:tcPr>
            <w:tcW w:w="19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35 Days</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24 Days</w:t>
            </w:r>
          </w:p>
        </w:tc>
        <w:tc>
          <w:tcPr>
            <w:tcW w:w="2460" w:type="dxa"/>
            <w:vAlign w:val="bottom"/>
          </w:tcPr>
          <w:p>
            <w:pPr>
              <w:jc w:val="center"/>
              <w:spacing w:after="0"/>
              <w:rPr>
                <w:sz w:val="20"/>
                <w:szCs w:val="20"/>
                <w:color w:val="auto"/>
              </w:rPr>
            </w:pPr>
            <w:r>
              <w:rPr>
                <w:rFonts w:ascii="Arial" w:cs="Arial" w:eastAsia="Arial" w:hAnsi="Arial"/>
                <w:sz w:val="18"/>
                <w:szCs w:val="18"/>
                <w:color w:val="auto"/>
                <w:w w:val="87"/>
              </w:rPr>
              <w:t>33 Days</w:t>
            </w:r>
          </w:p>
        </w:tc>
      </w:tr>
      <w:tr>
        <w:trPr>
          <w:trHeight w:val="214"/>
        </w:trPr>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90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7"/>
              </w:rPr>
              <w:t>36 Days</w:t>
            </w:r>
          </w:p>
        </w:tc>
        <w:tc>
          <w:tcPr>
            <w:tcW w:w="190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7"/>
              </w:rPr>
              <w:t>39 Days</w:t>
            </w:r>
          </w:p>
        </w:tc>
        <w:tc>
          <w:tcPr>
            <w:tcW w:w="19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33 Days</w:t>
            </w:r>
          </w:p>
        </w:tc>
        <w:tc>
          <w:tcPr>
            <w:tcW w:w="2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40 Days</w:t>
            </w:r>
          </w:p>
        </w:tc>
      </w:tr>
    </w:tbl>
    <w:p>
      <w:pPr>
        <w:spacing w:after="0" w:line="173" w:lineRule="exact"/>
        <w:rPr>
          <w:sz w:val="20"/>
          <w:szCs w:val="20"/>
          <w:color w:val="auto"/>
        </w:rPr>
      </w:pPr>
    </w:p>
    <w:p>
      <w:pPr>
        <w:jc w:val="both"/>
        <w:ind w:firstLine="510"/>
        <w:spacing w:after="0" w:line="281" w:lineRule="auto"/>
        <w:rPr>
          <w:sz w:val="20"/>
          <w:szCs w:val="20"/>
          <w:color w:val="auto"/>
        </w:rPr>
      </w:pPr>
      <w:r>
        <w:rPr>
          <w:rFonts w:ascii="Arial" w:cs="Arial" w:eastAsia="Arial" w:hAnsi="Arial"/>
          <w:sz w:val="17"/>
          <w:szCs w:val="17"/>
          <w:color w:val="auto"/>
        </w:rPr>
        <w:t>Our average number of days in inventory increased from December 31, 2020 to September 30, 2021 due to increased raw material and production costs as well as increased purchases of certain components and raw materials that have longer lead times or for which we have experienced availability issues. For comparative purposes, we have provided December 31, 2019 and September 30, 2020 numbers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40" w:type="dxa"/>
            <w:vAlign w:val="bottom"/>
            <w:gridSpan w:val="2"/>
          </w:tcPr>
          <w:p>
            <w:pPr>
              <w:ind w:left="740"/>
              <w:spacing w:after="0"/>
              <w:rPr>
                <w:sz w:val="20"/>
                <w:szCs w:val="20"/>
                <w:color w:val="auto"/>
              </w:rPr>
            </w:pPr>
            <w:r>
              <w:rPr>
                <w:rFonts w:ascii="Arial" w:cs="Arial" w:eastAsia="Arial" w:hAnsi="Arial"/>
                <w:sz w:val="18"/>
                <w:szCs w:val="18"/>
                <w:b w:val="1"/>
                <w:bCs w:val="1"/>
                <w:color w:val="auto"/>
              </w:rPr>
              <w:t>Days in Inventory:</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 2019</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September 30, 2020</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 2020</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8"/>
              </w:rPr>
              <w:t>September 30, 2021</w:t>
            </w:r>
          </w:p>
        </w:tc>
      </w:tr>
      <w:tr>
        <w:trPr>
          <w:trHeight w:val="208"/>
        </w:trPr>
        <w:tc>
          <w:tcPr>
            <w:tcW w:w="2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76 Days</w:t>
            </w:r>
          </w:p>
        </w:tc>
        <w:tc>
          <w:tcPr>
            <w:tcW w:w="120" w:type="dxa"/>
            <w:vAlign w:val="bottom"/>
            <w:tcBorders>
              <w:top w:val="single" w:sz="8" w:color="CFF0FC"/>
            </w:tcBorders>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85 Days</w:t>
            </w:r>
          </w:p>
        </w:tc>
        <w:tc>
          <w:tcPr>
            <w:tcW w:w="100" w:type="dxa"/>
            <w:vAlign w:val="bottom"/>
            <w:tcBorders>
              <w:top w:val="single" w:sz="8" w:color="CFF0FC"/>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75 Days</w:t>
            </w:r>
          </w:p>
        </w:tc>
        <w:tc>
          <w:tcPr>
            <w:tcW w:w="100" w:type="dxa"/>
            <w:vAlign w:val="bottom"/>
            <w:tcBorders>
              <w:top w:val="single" w:sz="8" w:color="CFF0FC"/>
            </w:tcBorders>
            <w:shd w:val="clear" w:color="auto" w:fill="CFF0FC"/>
          </w:tcPr>
          <w:p>
            <w:pPr>
              <w:spacing w:after="0"/>
              <w:rPr>
                <w:sz w:val="18"/>
                <w:szCs w:val="18"/>
                <w:color w:val="auto"/>
              </w:rPr>
            </w:pPr>
          </w:p>
        </w:tc>
        <w:tc>
          <w:tcPr>
            <w:tcW w:w="2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91 Days</w:t>
            </w:r>
          </w:p>
        </w:tc>
      </w:tr>
      <w:tr>
        <w:trPr>
          <w:trHeight w:val="214"/>
        </w:trPr>
        <w:tc>
          <w:tcPr>
            <w:tcW w:w="304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100 Days</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77 Days</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75 Days</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90 Days</w:t>
            </w:r>
          </w:p>
        </w:tc>
      </w:tr>
      <w:tr>
        <w:trPr>
          <w:trHeight w:val="214"/>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9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81 Days</w:t>
            </w:r>
          </w:p>
        </w:tc>
        <w:tc>
          <w:tcPr>
            <w:tcW w:w="19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83 Days</w:t>
            </w:r>
          </w:p>
        </w:tc>
        <w:tc>
          <w:tcPr>
            <w:tcW w:w="19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75 Days</w:t>
            </w:r>
          </w:p>
        </w:tc>
        <w:tc>
          <w:tcPr>
            <w:tcW w:w="2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91 Days</w:t>
            </w:r>
          </w:p>
        </w:tc>
      </w:tr>
    </w:tbl>
    <w:p>
      <w:pPr>
        <w:spacing w:after="0" w:line="226"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Our capital expenditures were $2.3 million in the first nine months of 2021 compared to $1.3 million in the first nine months of</w:t>
      </w:r>
      <w:r>
        <w:rPr>
          <w:rFonts w:ascii="Arial" w:cs="Arial" w:eastAsia="Arial" w:hAnsi="Arial"/>
          <w:sz w:val="17"/>
          <w:szCs w:val="17"/>
          <w:i w:val="1"/>
          <w:iCs w:val="1"/>
          <w:color w:val="auto"/>
        </w:rPr>
        <w:t xml:space="preserve"> </w:t>
      </w:r>
      <w:r>
        <w:rPr>
          <w:rFonts w:ascii="Arial" w:cs="Arial" w:eastAsia="Arial" w:hAnsi="Arial"/>
          <w:sz w:val="17"/>
          <w:szCs w:val="17"/>
          <w:color w:val="auto"/>
        </w:rPr>
        <w:t>2020. We limited expenditures in 2020 to those required to meet our expected customer demand and those required to properly maintain our facilities and technology infrastructure as a result of the COVID-19 pandemic. Our capital expenditures in the first nine months of 2021 are in line with pre-pandemic levels. During the first nine months of 2021, Valhi repaid a net $7.7 million under the promissory note ($25.4 million of gross borrowings and $33.1 million of gross repayments). During the first nine months of 2020, Valhi borrowed a net $2.4 million under the promissory note ($25.2 million of gross borrowings and $22.8 million of gross repayments). See Note 9 to the Condensed Consolidated Financial Statements.</w:t>
      </w:r>
    </w:p>
    <w:p>
      <w:pPr>
        <w:spacing w:after="0" w:line="178"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In March 2021, our board of directors increased our regular quarterly dividend from $.10 per share to $.20 per share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quarter of 2021.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during the first quarter of 2021, we acquired 50,000 shares of our Class A common stock in a market transaction for $0.8 million.</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Future cash requirements </w:t>
      </w:r>
      <w:r>
        <w:rPr>
          <w:rFonts w:ascii="Arial" w:cs="Arial" w:eastAsia="Arial" w:hAnsi="Arial"/>
          <w:sz w:val="18"/>
          <w:szCs w:val="18"/>
          <w:b w:val="1"/>
          <w:bCs w:val="1"/>
          <w:color w:val="auto"/>
        </w:rPr>
        <w:t>–</w:t>
      </w:r>
    </w:p>
    <w:p>
      <w:pPr>
        <w:spacing w:after="0" w:line="11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Our primary source of liquidity on an ongoing basis is our cash flow from operating activities, which is generally used to (i) fund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(ii) repay short-term or long-term indebtedness incurred primarily for capital expenditures, investment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 w:name="page16"/>
    <w:bookmarkEnd w:id="15"/>
    <w:p>
      <w:pPr>
        <w:jc w:val="both"/>
        <w:spacing w:after="0" w:line="271" w:lineRule="auto"/>
        <w:rPr>
          <w:sz w:val="20"/>
          <w:szCs w:val="20"/>
          <w:color w:val="auto"/>
        </w:rPr>
      </w:pPr>
      <w:r>
        <w:rPr>
          <w:rFonts w:ascii="Arial" w:cs="Arial" w:eastAsia="Arial" w:hAnsi="Arial"/>
          <w:sz w:val="18"/>
          <w:szCs w:val="18"/>
          <w:color w:val="auto"/>
        </w:rPr>
        <w:t>activities or reducing our outstanding stock, (iii) provide for the payment of dividends (if declared), and (iv) lend to affiliates. From time-to-time, we will incur indebtedness, primarily to fund capital expenditures or business combinations.</w:t>
      </w:r>
    </w:p>
    <w:p>
      <w:pPr>
        <w:spacing w:after="0" w:line="175"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78"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9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our $76.0 million aggregate cash and cash equivalents at September 30, 2021 were held in the U.S.</w:t>
      </w:r>
    </w:p>
    <w:p>
      <w:pPr>
        <w:spacing w:after="0" w:line="2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Firm purchase commitments for capital projects in process at September 30, 2021 totaled $2.1 million. Our 2021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primarily expenditures to meet our expected customer demand, improve capacity and efficiency and properly maintain our facilities and technology infrastructure.</w:t>
      </w:r>
    </w:p>
    <w:p>
      <w:pPr>
        <w:spacing w:after="0" w:line="18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 xml:space="preserve">Stock repurchase program. </w:t>
      </w:r>
      <w:r>
        <w:rPr>
          <w:rFonts w:ascii="Arial" w:cs="Arial" w:eastAsia="Arial" w:hAnsi="Arial"/>
          <w:sz w:val="18"/>
          <w:szCs w:val="18"/>
          <w:color w:val="auto"/>
        </w:rPr>
        <w:t>During the first quarter of 2021, we purchased 50,000 shares of our Class A common stock in a market transaction. At</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we have 627,547 shares available for repurchase under a stock repurchase program authorized by our board of directors. See Note 7 to our Condensed Consolidated Financial Statements.</w:t>
      </w:r>
    </w:p>
    <w:p>
      <w:pPr>
        <w:spacing w:after="0" w:line="186"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There have been no material changes in our contractual obligations since we filed our 2020 Annual Report and we</w:t>
      </w:r>
      <w:r>
        <w:rPr>
          <w:rFonts w:ascii="Arial" w:cs="Arial" w:eastAsia="Arial" w:hAnsi="Arial"/>
          <w:sz w:val="18"/>
          <w:szCs w:val="18"/>
          <w:i w:val="1"/>
          <w:iCs w:val="1"/>
          <w:color w:val="auto"/>
        </w:rPr>
        <w:t xml:space="preserve"> </w:t>
      </w:r>
      <w:r>
        <w:rPr>
          <w:rFonts w:ascii="Arial" w:cs="Arial" w:eastAsia="Arial" w:hAnsi="Arial"/>
          <w:sz w:val="18"/>
          <w:szCs w:val="18"/>
          <w:color w:val="auto"/>
        </w:rPr>
        <w:t>refer you to that report for a complete description of these commitments.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Off-balance sheet financing arrangements </w:t>
      </w:r>
      <w:r>
        <w:rPr>
          <w:rFonts w:ascii="Arial" w:cs="Arial" w:eastAsia="Arial" w:hAnsi="Arial"/>
          <w:sz w:val="18"/>
          <w:szCs w:val="18"/>
          <w:b w:val="1"/>
          <w:bCs w:val="1"/>
          <w:color w:val="auto"/>
        </w:rPr>
        <w:t>–</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financing agreements.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w:t>
      </w:r>
    </w:p>
    <w:p>
      <w:pPr>
        <w:spacing w:after="0" w:line="114"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color w:val="auto"/>
        </w:rPr>
        <w:t>There have been no changes in the first nine months of 2021 with respect to our critical accounting policies presented in Management’s Discussion and Analysis of Financial Condition and Results of Operations in our 2020 Annual Report.</w:t>
      </w: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are exposed to market risk from changes in interest rates and raw material prices. There have been no material changes in these market risks since we filed our 2020 Annual Report, and we refer you to Part I, Item 7A – “Quantitative and Qualitative Disclosure About Market Risk” in our 2020 Annual Report. See also Note 8 to the Condensed Consolidated Financial Statements.</w:t>
      </w:r>
    </w:p>
    <w:p>
      <w:pPr>
        <w:spacing w:after="0" w:line="3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4"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Executive Officer, and Michael S. Simmons, our Senior Vice President and Chief Financial Officer, has evaluated the design and operating effectiveness of our disclosure controls and procedures as of September 30, 2021. Based upon their evaluation, these executive officers have concluded that our disclosure controls and procedures are effective as of the date of such evaluation.</w:t>
      </w:r>
    </w:p>
    <w:p>
      <w:pPr>
        <w:spacing w:after="0" w:line="7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b w:val="1"/>
          <w:bCs w:val="1"/>
          <w:color w:val="auto"/>
        </w:rPr>
        <w:t>Internal Control Over Financial Reporting</w:t>
      </w:r>
      <w:r>
        <w:rPr>
          <w:rFonts w:ascii="Arial" w:cs="Arial" w:eastAsia="Arial" w:hAnsi="Arial"/>
          <w:sz w:val="17"/>
          <w:szCs w:val="17"/>
          <w:color w:val="auto"/>
        </w:rPr>
        <w:t>. Our management is responsible for establishing and maintaining adequate internal control over</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9" w:lineRule="exact"/>
        <w:rPr>
          <w:sz w:val="20"/>
          <w:szCs w:val="20"/>
          <w:color w:val="auto"/>
        </w:rPr>
      </w:pPr>
    </w:p>
    <w:p>
      <w:pPr>
        <w:ind w:left="1020" w:hanging="505"/>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36" w:lineRule="exact"/>
        <w:rPr>
          <w:rFonts w:ascii="Arial" w:cs="Arial" w:eastAsia="Arial" w:hAnsi="Arial"/>
          <w:sz w:val="16"/>
          <w:szCs w:val="16"/>
          <w:color w:val="auto"/>
        </w:rPr>
      </w:pPr>
    </w:p>
    <w:p>
      <w:pPr>
        <w:ind w:left="1020" w:right="20" w:hanging="505"/>
        <w:spacing w:after="0" w:line="335"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21" w:lineRule="exact"/>
        <w:rPr>
          <w:rFonts w:ascii="Arial" w:cs="Arial" w:eastAsia="Arial" w:hAnsi="Arial"/>
          <w:sz w:val="16"/>
          <w:szCs w:val="16"/>
          <w:color w:val="auto"/>
        </w:rPr>
      </w:pPr>
    </w:p>
    <w:p>
      <w:pPr>
        <w:ind w:left="1020" w:hanging="505"/>
        <w:spacing w:after="0" w:line="27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71" w:lineRule="exact"/>
        <w:rPr>
          <w:sz w:val="20"/>
          <w:szCs w:val="20"/>
          <w:color w:val="auto"/>
        </w:rPr>
      </w:pPr>
    </w:p>
    <w:p>
      <w:pPr>
        <w:ind w:firstLine="510"/>
        <w:spacing w:after="0" w:line="340" w:lineRule="auto"/>
        <w:rPr>
          <w:sz w:val="20"/>
          <w:szCs w:val="20"/>
          <w:color w:val="auto"/>
        </w:rPr>
      </w:pPr>
      <w:r>
        <w:rPr>
          <w:rFonts w:ascii="Arial" w:cs="Arial" w:eastAsia="Arial" w:hAnsi="Arial"/>
          <w:sz w:val="16"/>
          <w:szCs w:val="16"/>
          <w:b w:val="1"/>
          <w:bCs w:val="1"/>
          <w:color w:val="auto"/>
        </w:rPr>
        <w:t>Changes in Internal Control Over Financial Reporting</w:t>
      </w:r>
      <w:r>
        <w:rPr>
          <w:rFonts w:ascii="Arial" w:cs="Arial" w:eastAsia="Arial" w:hAnsi="Arial"/>
          <w:sz w:val="16"/>
          <w:szCs w:val="16"/>
          <w:color w:val="auto"/>
        </w:rPr>
        <w:t>. There have been no changes in our internal control over financial reporting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ended September 30, 2021 that have materially affected, or are reasonably likely to materially affect, our internal control over financial reporting.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Part II. OTHER INFORMATION</w:t>
      </w:r>
    </w:p>
    <w:p>
      <w:pPr>
        <w:spacing w:after="0" w:line="1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Reference is made to the 2020 Annual Report for a discussion of risk factors related to our businesses.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60" w:type="dxa"/>
            <w:vAlign w:val="bottom"/>
            <w:gridSpan w:val="3"/>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 No.</w:t>
            </w:r>
          </w:p>
        </w:tc>
        <w:tc>
          <w:tcPr>
            <w:tcW w:w="200" w:type="dxa"/>
            <w:vAlign w:val="bottom"/>
          </w:tcPr>
          <w:p>
            <w:pPr>
              <w:spacing w:after="0"/>
              <w:rPr>
                <w:sz w:val="24"/>
                <w:szCs w:val="24"/>
                <w:color w:val="auto"/>
              </w:rPr>
            </w:pPr>
          </w:p>
        </w:tc>
        <w:tc>
          <w:tcPr>
            <w:tcW w:w="9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Index</w:t>
            </w:r>
          </w:p>
        </w:tc>
      </w:tr>
      <w:tr>
        <w:trPr>
          <w:trHeight w:val="294"/>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900" w:type="dxa"/>
            <w:vAlign w:val="bottom"/>
            <w:tcBorders>
              <w:bottom w:val="single" w:sz="8" w:color="0000EE"/>
            </w:tcBorders>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Certification</w:t>
              </w:r>
            </w:hyperlink>
          </w:p>
        </w:tc>
        <w:tc>
          <w:tcPr>
            <w:tcW w:w="906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0"/>
                <w:szCs w:val="20"/>
                <w:color w:val="auto"/>
              </w:rPr>
            </w:pPr>
          </w:p>
        </w:tc>
        <w:tc>
          <w:tcPr>
            <w:tcW w:w="900" w:type="dxa"/>
            <w:vAlign w:val="bottom"/>
            <w:tcBorders>
              <w:bottom w:val="single" w:sz="8" w:color="0000EE"/>
            </w:tcBorders>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Certification</w:t>
              </w:r>
            </w:hyperlink>
          </w:p>
        </w:tc>
        <w:tc>
          <w:tcPr>
            <w:tcW w:w="9060" w:type="dxa"/>
            <w:vAlign w:val="bottom"/>
          </w:tcPr>
          <w:p>
            <w:pPr>
              <w:spacing w:after="0"/>
              <w:rPr>
                <w:sz w:val="20"/>
                <w:szCs w:val="20"/>
                <w:color w:val="auto"/>
              </w:rPr>
            </w:pPr>
          </w:p>
        </w:tc>
      </w:tr>
      <w:tr>
        <w:trPr>
          <w:trHeight w:val="234"/>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0"/>
                <w:szCs w:val="20"/>
                <w:color w:val="auto"/>
              </w:rPr>
            </w:pPr>
          </w:p>
        </w:tc>
        <w:tc>
          <w:tcPr>
            <w:tcW w:w="900" w:type="dxa"/>
            <w:vAlign w:val="bottom"/>
            <w:tcBorders>
              <w:bottom w:val="single" w:sz="8" w:color="0000EE"/>
            </w:tcBorders>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Certification</w:t>
              </w:r>
            </w:hyperlink>
          </w:p>
        </w:tc>
        <w:tc>
          <w:tcPr>
            <w:tcW w:w="9060" w:type="dxa"/>
            <w:vAlign w:val="bottom"/>
          </w:tcPr>
          <w:p>
            <w:pPr>
              <w:spacing w:after="0"/>
              <w:rPr>
                <w:sz w:val="20"/>
                <w:szCs w:val="20"/>
                <w:color w:val="auto"/>
              </w:rPr>
            </w:pPr>
          </w:p>
        </w:tc>
      </w:tr>
      <w:tr>
        <w:trPr>
          <w:trHeight w:val="260"/>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2"/>
                <w:szCs w:val="22"/>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9"/>
              </w:rPr>
              <w:t>Inline XBRL Instance Document – the instance document does not appear in the Interactive Data File because its XBRL tags are embedded</w:t>
            </w:r>
          </w:p>
        </w:tc>
      </w:tr>
      <w:tr>
        <w:trPr>
          <w:trHeight w:val="227"/>
        </w:trPr>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within the Inline XBRL document.</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2"/>
                <w:szCs w:val="22"/>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2"/>
                <w:szCs w:val="22"/>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2"/>
                <w:szCs w:val="22"/>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22"/>
                <w:szCs w:val="22"/>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22"/>
                <w:szCs w:val="22"/>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ind w:left="1260" w:hanging="1253"/>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ind w:left="5540" w:hanging="109"/>
        <w:spacing w:after="0"/>
        <w:tabs>
          <w:tab w:leader="none" w:pos="5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SIGNATURES</w:t>
      </w:r>
    </w:p>
    <w:p>
      <w:pPr>
        <w:spacing w:after="0" w:line="11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COMPX INTERNATIONAL INC.</w:t>
            </w:r>
          </w:p>
        </w:tc>
        <w:tc>
          <w:tcPr>
            <w:tcW w:w="2360" w:type="dxa"/>
            <w:vAlign w:val="bottom"/>
          </w:tcPr>
          <w:p>
            <w:pPr>
              <w:spacing w:after="0"/>
              <w:rPr>
                <w:sz w:val="17"/>
                <w:szCs w:val="17"/>
                <w:color w:val="auto"/>
              </w:rPr>
            </w:pPr>
          </w:p>
        </w:tc>
      </w:tr>
      <w:tr>
        <w:trPr>
          <w:trHeight w:val="233"/>
        </w:trPr>
        <w:tc>
          <w:tcPr>
            <w:tcW w:w="4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20" w:type="dxa"/>
            <w:vAlign w:val="bottom"/>
            <w:gridSpan w:val="2"/>
          </w:tcPr>
          <w:p>
            <w:pPr>
              <w:ind w:left="460"/>
              <w:spacing w:after="0"/>
              <w:rPr>
                <w:sz w:val="20"/>
                <w:szCs w:val="20"/>
                <w:color w:val="auto"/>
              </w:rPr>
            </w:pPr>
            <w:r>
              <w:rPr>
                <w:rFonts w:ascii="Arial" w:cs="Arial" w:eastAsia="Arial" w:hAnsi="Arial"/>
                <w:sz w:val="18"/>
                <w:szCs w:val="18"/>
                <w:b w:val="1"/>
                <w:bCs w:val="1"/>
                <w:color w:val="auto"/>
              </w:rPr>
              <w:t>(Registrant)</w:t>
            </w:r>
          </w:p>
        </w:tc>
      </w:tr>
      <w:tr>
        <w:trPr>
          <w:trHeight w:val="455"/>
        </w:trPr>
        <w:tc>
          <w:tcPr>
            <w:tcW w:w="4020" w:type="dxa"/>
            <w:vAlign w:val="bottom"/>
          </w:tcPr>
          <w:p>
            <w:pPr>
              <w:spacing w:after="0"/>
              <w:rPr>
                <w:sz w:val="20"/>
                <w:szCs w:val="20"/>
                <w:color w:val="auto"/>
              </w:rPr>
            </w:pPr>
            <w:r>
              <w:rPr>
                <w:rFonts w:ascii="Arial" w:cs="Arial" w:eastAsia="Arial" w:hAnsi="Arial"/>
                <w:sz w:val="18"/>
                <w:szCs w:val="18"/>
                <w:color w:val="auto"/>
              </w:rPr>
              <w:t>Date: November 3, 2021</w:t>
            </w:r>
          </w:p>
        </w:tc>
        <w:tc>
          <w:tcPr>
            <w:tcW w:w="7220" w:type="dxa"/>
            <w:vAlign w:val="bottom"/>
            <w:gridSpan w:val="4"/>
          </w:tcPr>
          <w:p>
            <w:pPr>
              <w:ind w:left="2200"/>
              <w:spacing w:after="0"/>
              <w:rPr>
                <w:sz w:val="20"/>
                <w:szCs w:val="20"/>
                <w:color w:val="auto"/>
              </w:rPr>
            </w:pPr>
            <w:r>
              <w:rPr>
                <w:rFonts w:ascii="Arial" w:cs="Arial" w:eastAsia="Arial" w:hAnsi="Arial"/>
                <w:sz w:val="18"/>
                <w:szCs w:val="18"/>
                <w:color w:val="auto"/>
              </w:rPr>
              <w:t>By:  /s/ Michael S. Simmons</w:t>
            </w:r>
          </w:p>
        </w:tc>
      </w:tr>
      <w:tr>
        <w:trPr>
          <w:trHeight w:val="194"/>
        </w:trPr>
        <w:tc>
          <w:tcPr>
            <w:tcW w:w="40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Michael S. Simmons</w:t>
            </w:r>
          </w:p>
        </w:tc>
      </w:tr>
      <w:tr>
        <w:trPr>
          <w:trHeight w:val="227"/>
        </w:trPr>
        <w:tc>
          <w:tcPr>
            <w:tcW w:w="40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43"/>
        </w:trPr>
        <w:tc>
          <w:tcPr>
            <w:tcW w:w="4020" w:type="dxa"/>
            <w:vAlign w:val="bottom"/>
          </w:tcPr>
          <w:p>
            <w:pPr>
              <w:spacing w:after="0"/>
              <w:rPr>
                <w:sz w:val="24"/>
                <w:szCs w:val="24"/>
                <w:color w:val="auto"/>
              </w:rPr>
            </w:pPr>
          </w:p>
        </w:tc>
        <w:tc>
          <w:tcPr>
            <w:tcW w:w="7220" w:type="dxa"/>
            <w:vAlign w:val="bottom"/>
            <w:gridSpan w:val="4"/>
          </w:tcPr>
          <w:p>
            <w:pPr>
              <w:ind w:left="2200"/>
              <w:spacing w:after="0"/>
              <w:rPr>
                <w:sz w:val="20"/>
                <w:szCs w:val="20"/>
                <w:color w:val="auto"/>
              </w:rPr>
            </w:pPr>
            <w:r>
              <w:rPr>
                <w:rFonts w:ascii="Arial" w:cs="Arial" w:eastAsia="Arial" w:hAnsi="Arial"/>
                <w:sz w:val="18"/>
                <w:szCs w:val="18"/>
                <w:color w:val="auto"/>
              </w:rPr>
              <w:t>By:  /s/ Amy E. Ruf</w:t>
            </w:r>
          </w:p>
        </w:tc>
      </w:tr>
      <w:tr>
        <w:trPr>
          <w:trHeight w:val="194"/>
        </w:trPr>
        <w:tc>
          <w:tcPr>
            <w:tcW w:w="40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Amy E. Ruf</w:t>
            </w:r>
          </w:p>
        </w:tc>
      </w:tr>
      <w:tr>
        <w:trPr>
          <w:trHeight w:val="227"/>
        </w:trPr>
        <w:tc>
          <w:tcPr>
            <w:tcW w:w="40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Vice President and Controller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240"/>
          </w:cols>
          <w:pgMar w:left="320" w:top="335"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114" w:lineRule="exact"/>
        <w:rPr>
          <w:sz w:val="20"/>
          <w:szCs w:val="20"/>
          <w:color w:val="auto"/>
        </w:rPr>
      </w:pPr>
    </w:p>
    <w:p>
      <w:pPr>
        <w:ind w:left="520" w:hanging="513"/>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3" w:lineRule="exact"/>
        <w:rPr>
          <w:rFonts w:ascii="Arial" w:cs="Arial" w:eastAsia="Arial" w:hAnsi="Arial"/>
          <w:sz w:val="18"/>
          <w:szCs w:val="18"/>
          <w:color w:val="auto"/>
        </w:rPr>
      </w:pPr>
    </w:p>
    <w:p>
      <w:pPr>
        <w:jc w:val="both"/>
        <w:ind w:left="520" w:hanging="513"/>
        <w:spacing w:after="0" w:line="259"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jc w:val="both"/>
        <w:ind w:left="520" w:hanging="513"/>
        <w:spacing w:after="0" w:line="259"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ind w:left="1020" w:hanging="505"/>
        <w:spacing w:after="0" w:line="335" w:lineRule="auto"/>
        <w:tabs>
          <w:tab w:leader="none" w:pos="102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jc w:val="both"/>
        <w:ind w:left="1020" w:hanging="505"/>
        <w:spacing w:after="0" w:line="259"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4" w:lineRule="exact"/>
        <w:rPr>
          <w:rFonts w:ascii="Arial" w:cs="Arial" w:eastAsia="Arial" w:hAnsi="Arial"/>
          <w:sz w:val="17"/>
          <w:szCs w:val="17"/>
          <w:color w:val="auto"/>
        </w:rPr>
      </w:pPr>
    </w:p>
    <w:p>
      <w:pPr>
        <w:ind w:left="1020" w:hanging="505"/>
        <w:spacing w:after="0" w:line="301" w:lineRule="auto"/>
        <w:tabs>
          <w:tab w:leader="none" w:pos="102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1020" w:right="20" w:hanging="505"/>
        <w:spacing w:after="0" w:line="271"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2021</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Scott C. James</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-130175</wp:posOffset>
            </wp:positionV>
            <wp:extent cx="25901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0165"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35"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S. Simmons, certify that:</w:t>
      </w:r>
    </w:p>
    <w:p>
      <w:pPr>
        <w:spacing w:after="0" w:line="114" w:lineRule="exact"/>
        <w:rPr>
          <w:sz w:val="20"/>
          <w:szCs w:val="20"/>
          <w:color w:val="auto"/>
        </w:rPr>
      </w:pPr>
    </w:p>
    <w:p>
      <w:pPr>
        <w:ind w:left="520" w:hanging="513"/>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3" w:lineRule="exact"/>
        <w:rPr>
          <w:rFonts w:ascii="Arial" w:cs="Arial" w:eastAsia="Arial" w:hAnsi="Arial"/>
          <w:sz w:val="18"/>
          <w:szCs w:val="18"/>
          <w:color w:val="auto"/>
        </w:rPr>
      </w:pPr>
    </w:p>
    <w:p>
      <w:pPr>
        <w:jc w:val="both"/>
        <w:ind w:left="520" w:hanging="513"/>
        <w:spacing w:after="0" w:line="259"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jc w:val="both"/>
        <w:ind w:left="520" w:hanging="513"/>
        <w:spacing w:after="0" w:line="259"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ind w:left="1020" w:hanging="505"/>
        <w:spacing w:after="0" w:line="335" w:lineRule="auto"/>
        <w:tabs>
          <w:tab w:leader="none" w:pos="102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jc w:val="both"/>
        <w:ind w:left="1020" w:hanging="505"/>
        <w:spacing w:after="0" w:line="259"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4" w:lineRule="exact"/>
        <w:rPr>
          <w:rFonts w:ascii="Arial" w:cs="Arial" w:eastAsia="Arial" w:hAnsi="Arial"/>
          <w:sz w:val="17"/>
          <w:szCs w:val="17"/>
          <w:color w:val="auto"/>
        </w:rPr>
      </w:pPr>
    </w:p>
    <w:p>
      <w:pPr>
        <w:ind w:left="1020" w:hanging="505"/>
        <w:spacing w:after="0" w:line="301" w:lineRule="auto"/>
        <w:tabs>
          <w:tab w:leader="none" w:pos="102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1020" w:right="20" w:hanging="505"/>
        <w:spacing w:after="0" w:line="271"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 Michael S. Simmons</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Michael S.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-130175</wp:posOffset>
            </wp:positionV>
            <wp:extent cx="33883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Senior Vice President and Chief Financial Officer</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35"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Quarterly Report of CompX International Inc. (the Company) on Form 10-Q for the period ending September 30, 2021, as filed with the Securities and Exchange Commission on the date hereof (the Report), I, Scott C. James, President and Chief Executive Officer of the Company and I, Michael S. Simmons, Senior Vice President and Chief Financial Officer of the Company, certify, pursuant to 18 U.S.C. §1350, as adopted pursuant to §906 of the Sarbanes-Oxley Act of 2002, that:</w:t>
      </w:r>
    </w:p>
    <w:p>
      <w:pPr>
        <w:spacing w:after="0" w:line="83" w:lineRule="exact"/>
        <w:rPr>
          <w:sz w:val="20"/>
          <w:szCs w:val="20"/>
          <w:color w:val="auto"/>
        </w:rPr>
      </w:pPr>
    </w:p>
    <w:p>
      <w:pPr>
        <w:ind w:left="1020" w:hanging="50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0" w:lineRule="exact"/>
        <w:rPr>
          <w:rFonts w:ascii="Arial" w:cs="Arial" w:eastAsia="Arial" w:hAnsi="Arial"/>
          <w:sz w:val="18"/>
          <w:szCs w:val="18"/>
          <w:color w:val="auto"/>
        </w:rPr>
      </w:pPr>
    </w:p>
    <w:p>
      <w:pPr>
        <w:ind w:left="1020" w:hanging="505"/>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By:  /s/ Scott C. James</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-130175</wp:posOffset>
            </wp:positionV>
            <wp:extent cx="29044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04490" cy="8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President and Chief Executive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  /s/ Michael S. Simmons</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Michael S.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-130175</wp:posOffset>
            </wp:positionV>
            <wp:extent cx="29044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04490" cy="8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Senior Vice President and Chief Financial Officer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2021</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04"/>
    </w:lvl>
    <w:lvl w:ilvl="1">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2021-11-03T15:30:37Z</dcterms:created>
  <dcterms:modified xsi:type="dcterms:W3CDTF">2021-11-03T15:30:37Z</dcterms:modified>
</cp:coreProperties>
</file>