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167640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199390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QUARTERLY REPORT UNDER SECTION 13 OR 15(d) OF THE SECURITIES</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EXCHANGE ACT OF 1934</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 ended June 30, 2017</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1-13905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182880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COMPX INTERNATIONAL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8" w:lineRule="exact"/>
        <w:rPr>
          <w:sz w:val="24"/>
          <w:szCs w:val="24"/>
          <w:color w:val="auto"/>
        </w:rPr>
      </w:pPr>
    </w:p>
    <w:tbl>
      <w:tblPr>
        <w:tblLayout w:type="fixed"/>
        <w:tblInd w:w="1440" w:type="dxa"/>
        <w:tblCellMar>
          <w:top w:w="0" w:type="dxa"/>
          <w:left w:w="0" w:type="dxa"/>
          <w:bottom w:w="0" w:type="dxa"/>
          <w:right w:w="0" w:type="dxa"/>
        </w:tblCellMar>
      </w:tblPr>
      <w:tr>
        <w:trPr>
          <w:trHeight w:val="216"/>
        </w:trPr>
        <w:tc>
          <w:tcPr>
            <w:tcW w:w="4700" w:type="dxa"/>
            <w:vAlign w:val="bottom"/>
          </w:tcPr>
          <w:p>
            <w:pPr>
              <w:jc w:val="center"/>
              <w:ind w:right="187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tcPr>
          <w:p>
            <w:pPr>
              <w:jc w:val="center"/>
              <w:ind w:left="1861"/>
              <w:spacing w:after="0"/>
              <w:rPr>
                <w:sz w:val="20"/>
                <w:szCs w:val="20"/>
                <w:color w:val="auto"/>
              </w:rPr>
            </w:pPr>
            <w:r>
              <w:rPr>
                <w:rFonts w:ascii="Times New Roman" w:cs="Times New Roman" w:eastAsia="Times New Roman" w:hAnsi="Times New Roman"/>
                <w:sz w:val="18"/>
                <w:szCs w:val="18"/>
                <w:b w:val="1"/>
                <w:bCs w:val="1"/>
                <w:color w:val="auto"/>
              </w:rPr>
              <w:t>57-0981653</w:t>
            </w:r>
          </w:p>
        </w:tc>
      </w:tr>
      <w:tr>
        <w:trPr>
          <w:trHeight w:val="149"/>
        </w:trPr>
        <w:tc>
          <w:tcPr>
            <w:tcW w:w="4700" w:type="dxa"/>
            <w:vAlign w:val="bottom"/>
          </w:tcPr>
          <w:p>
            <w:pPr>
              <w:jc w:val="center"/>
              <w:ind w:right="1879"/>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3020" w:type="dxa"/>
            <w:vAlign w:val="bottom"/>
          </w:tcPr>
          <w:p>
            <w:pPr>
              <w:jc w:val="center"/>
              <w:ind w:left="1861"/>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4700" w:type="dxa"/>
            <w:vAlign w:val="bottom"/>
          </w:tcPr>
          <w:p>
            <w:pPr>
              <w:jc w:val="center"/>
              <w:ind w:right="187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3020" w:type="dxa"/>
            <w:vAlign w:val="bottom"/>
          </w:tcPr>
          <w:p>
            <w:pPr>
              <w:jc w:val="center"/>
              <w:ind w:left="1861"/>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433"/>
        </w:trPr>
        <w:tc>
          <w:tcPr>
            <w:tcW w:w="4700" w:type="dxa"/>
            <w:vAlign w:val="bottom"/>
          </w:tcPr>
          <w:p>
            <w:pPr>
              <w:jc w:val="center"/>
              <w:ind w:right="1879"/>
              <w:spacing w:after="0"/>
              <w:rPr>
                <w:sz w:val="20"/>
                <w:szCs w:val="20"/>
                <w:color w:val="auto"/>
              </w:rPr>
            </w:pPr>
            <w:r>
              <w:rPr>
                <w:rFonts w:ascii="Times New Roman" w:cs="Times New Roman" w:eastAsia="Times New Roman" w:hAnsi="Times New Roman"/>
                <w:sz w:val="18"/>
                <w:szCs w:val="18"/>
                <w:b w:val="1"/>
                <w:bCs w:val="1"/>
                <w:color w:val="auto"/>
                <w:w w:val="98"/>
              </w:rPr>
              <w:t>5430 LBJ Freeway, Suite 1700,</w:t>
            </w:r>
          </w:p>
        </w:tc>
        <w:tc>
          <w:tcPr>
            <w:tcW w:w="3020" w:type="dxa"/>
            <w:vAlign w:val="bottom"/>
          </w:tcPr>
          <w:p>
            <w:pPr>
              <w:spacing w:after="0"/>
              <w:rPr>
                <w:sz w:val="24"/>
                <w:szCs w:val="24"/>
                <w:color w:val="auto"/>
              </w:rPr>
            </w:pPr>
          </w:p>
        </w:tc>
      </w:tr>
      <w:tr>
        <w:trPr>
          <w:trHeight w:val="229"/>
        </w:trPr>
        <w:tc>
          <w:tcPr>
            <w:tcW w:w="4700" w:type="dxa"/>
            <w:vAlign w:val="bottom"/>
          </w:tcPr>
          <w:p>
            <w:pPr>
              <w:jc w:val="center"/>
              <w:ind w:right="1879"/>
              <w:spacing w:after="0"/>
              <w:rPr>
                <w:sz w:val="20"/>
                <w:szCs w:val="20"/>
                <w:color w:val="auto"/>
              </w:rPr>
            </w:pPr>
            <w:r>
              <w:rPr>
                <w:rFonts w:ascii="Times New Roman" w:cs="Times New Roman" w:eastAsia="Times New Roman" w:hAnsi="Times New Roman"/>
                <w:sz w:val="18"/>
                <w:szCs w:val="18"/>
                <w:b w:val="1"/>
                <w:bCs w:val="1"/>
                <w:color w:val="auto"/>
                <w:w w:val="98"/>
              </w:rPr>
              <w:t>Three Lincoln Centre, Dallas, Texas</w:t>
            </w:r>
          </w:p>
        </w:tc>
        <w:tc>
          <w:tcPr>
            <w:tcW w:w="3020" w:type="dxa"/>
            <w:vAlign w:val="bottom"/>
          </w:tcPr>
          <w:p>
            <w:pPr>
              <w:jc w:val="center"/>
              <w:ind w:left="1861"/>
              <w:spacing w:after="0"/>
              <w:rPr>
                <w:sz w:val="20"/>
                <w:szCs w:val="20"/>
                <w:color w:val="auto"/>
              </w:rPr>
            </w:pPr>
            <w:r>
              <w:rPr>
                <w:rFonts w:ascii="Times New Roman" w:cs="Times New Roman" w:eastAsia="Times New Roman" w:hAnsi="Times New Roman"/>
                <w:sz w:val="18"/>
                <w:szCs w:val="18"/>
                <w:b w:val="1"/>
                <w:bCs w:val="1"/>
                <w:color w:val="auto"/>
              </w:rPr>
              <w:t>75240-2697</w:t>
            </w:r>
          </w:p>
        </w:tc>
      </w:tr>
      <w:tr>
        <w:trPr>
          <w:trHeight w:val="188"/>
        </w:trPr>
        <w:tc>
          <w:tcPr>
            <w:tcW w:w="4700" w:type="dxa"/>
            <w:vAlign w:val="bottom"/>
          </w:tcPr>
          <w:p>
            <w:pPr>
              <w:jc w:val="center"/>
              <w:ind w:right="187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020" w:type="dxa"/>
            <w:vAlign w:val="bottom"/>
          </w:tcPr>
          <w:p>
            <w:pPr>
              <w:jc w:val="center"/>
              <w:ind w:left="1861"/>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1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(972) 448-1400</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Indicate by checkmark:</w:t>
      </w:r>
    </w:p>
    <w:p>
      <w:pPr>
        <w:spacing w:after="0" w:line="225" w:lineRule="exact"/>
        <w:rPr>
          <w:sz w:val="24"/>
          <w:szCs w:val="24"/>
          <w:color w:val="auto"/>
        </w:rPr>
      </w:pPr>
    </w:p>
    <w:p>
      <w:pPr>
        <w:jc w:val="both"/>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Whether the Registrant (1) has filed all reports required to be filed by Section 13 or 15(d) of the Securities Exchange Act of 1934 during the preceding 12 months (or for such a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46" w:lineRule="exact"/>
        <w:rPr>
          <w:sz w:val="24"/>
          <w:szCs w:val="24"/>
          <w:color w:val="auto"/>
        </w:rPr>
      </w:pPr>
    </w:p>
    <w:p>
      <w:pPr>
        <w:spacing w:after="0" w:line="207" w:lineRule="exact"/>
        <w:tabs>
          <w:tab w:leader="none" w:pos="2100" w:val="left"/>
          <w:tab w:leader="none" w:pos="3760" w:val="left"/>
        </w:tabs>
        <w:rPr>
          <w:sz w:val="20"/>
          <w:szCs w:val="20"/>
          <w:color w:val="auto"/>
        </w:rPr>
      </w:pPr>
      <w:r>
        <w:rPr>
          <w:rFonts w:ascii="Times New Roman" w:cs="Times New Roman" w:eastAsia="Times New Roman" w:hAnsi="Times New Roman"/>
          <w:sz w:val="18"/>
          <w:szCs w:val="18"/>
          <w:b w:val="1"/>
          <w:bCs w:val="1"/>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ab/>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 xml:space="preserve">Non-accelerated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b w:val="1"/>
          <w:bCs w:val="1"/>
          <w:color w:val="auto"/>
        </w:rPr>
        <w:t xml:space="preserve"> (Do not check if a smaller reporting company)</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Emerging growth company </w:t>
      </w:r>
      <w:r>
        <w:rPr>
          <w:rFonts w:ascii="MS PGothic" w:cs="MS PGothic" w:eastAsia="MS PGothic" w:hAnsi="MS PGothic"/>
          <w:sz w:val="18"/>
          <w:szCs w:val="18"/>
          <w:color w:val="auto"/>
        </w:rPr>
        <w:t>☐</w:t>
      </w:r>
    </w:p>
    <w:p>
      <w:pPr>
        <w:spacing w:after="0" w:line="250" w:lineRule="exact"/>
        <w:rPr>
          <w:sz w:val="24"/>
          <w:szCs w:val="24"/>
          <w:color w:val="auto"/>
        </w:rPr>
      </w:pPr>
    </w:p>
    <w:p>
      <w:pPr>
        <w:jc w:val="both"/>
        <w:spacing w:after="0" w:line="244"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1" w:lineRule="exact"/>
        <w:rPr>
          <w:sz w:val="24"/>
          <w:szCs w:val="24"/>
          <w:color w:val="auto"/>
        </w:rPr>
      </w:pPr>
    </w:p>
    <w:p>
      <w:pPr>
        <w:spacing w:after="0" w:line="207" w:lineRule="exact"/>
        <w:tabs>
          <w:tab w:leader="none" w:pos="7080" w:val="left"/>
          <w:tab w:leader="none" w:pos="7760" w:val="left"/>
        </w:tabs>
        <w:rPr>
          <w:sz w:val="20"/>
          <w:szCs w:val="20"/>
          <w:color w:val="auto"/>
        </w:rPr>
      </w:pPr>
      <w:r>
        <w:rPr>
          <w:rFonts w:ascii="Times New Roman" w:cs="Times New Roman" w:eastAsia="Times New Roman" w:hAnsi="Times New Roman"/>
          <w:sz w:val="18"/>
          <w:szCs w:val="18"/>
          <w:b w:val="1"/>
          <w:bCs w:val="1"/>
          <w:color w:val="auto"/>
        </w:rPr>
        <w:t>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ab/>
        <w:t xml:space="preserve">No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w:t>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shares of common stock outstanding on August 1, 2017:</w:t>
      </w:r>
    </w:p>
    <w:p>
      <w:pPr>
        <w:spacing w:after="0" w:line="36" w:lineRule="exact"/>
        <w:rPr>
          <w:sz w:val="24"/>
          <w:szCs w:val="24"/>
          <w:color w:val="auto"/>
        </w:rPr>
      </w:pPr>
    </w:p>
    <w:p>
      <w:pPr>
        <w:ind w:left="520"/>
        <w:spacing w:after="0"/>
        <w:tabs>
          <w:tab w:leader="none" w:pos="2180" w:val="left"/>
        </w:tabs>
        <w:rPr>
          <w:sz w:val="20"/>
          <w:szCs w:val="20"/>
          <w:color w:val="auto"/>
        </w:rPr>
      </w:pPr>
      <w:r>
        <w:rPr>
          <w:rFonts w:ascii="Times New Roman" w:cs="Times New Roman" w:eastAsia="Times New Roman" w:hAnsi="Times New Roman"/>
          <w:sz w:val="18"/>
          <w:szCs w:val="18"/>
          <w:b w:val="1"/>
          <w:bCs w:val="1"/>
          <w:color w:val="auto"/>
        </w:rPr>
        <w:t>Class A: 2,426,107</w:t>
      </w:r>
      <w:r>
        <w:rPr>
          <w:sz w:val="20"/>
          <w:szCs w:val="20"/>
          <w:color w:val="auto"/>
        </w:rPr>
        <w:tab/>
      </w:r>
      <w:r>
        <w:rPr>
          <w:rFonts w:ascii="Times New Roman" w:cs="Times New Roman" w:eastAsia="Times New Roman" w:hAnsi="Times New Roman"/>
          <w:sz w:val="17"/>
          <w:szCs w:val="17"/>
          <w:b w:val="1"/>
          <w:bCs w:val="1"/>
          <w:color w:val="auto"/>
        </w:rPr>
        <w:t>Class B: 10,000,000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255905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30"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540" w:type="dxa"/>
            <w:vAlign w:val="bottom"/>
            <w:gridSpan w:val="8"/>
          </w:tcPr>
          <w:p>
            <w:pPr>
              <w:jc w:val="center"/>
              <w:ind w:right="1680"/>
              <w:spacing w:after="0"/>
              <w:rPr>
                <w:sz w:val="20"/>
                <w:szCs w:val="20"/>
                <w:color w:val="auto"/>
              </w:rPr>
            </w:pPr>
            <w:r>
              <w:rPr>
                <w:rFonts w:ascii="Times New Roman" w:cs="Times New Roman" w:eastAsia="Times New Roman" w:hAnsi="Times New Roman"/>
                <w:sz w:val="18"/>
                <w:szCs w:val="18"/>
                <w:b w:val="1"/>
                <w:bCs w:val="1"/>
                <w:color w:val="auto"/>
                <w:w w:val="99"/>
              </w:rPr>
              <w:t>COMPX INTERNATIONAL INC.</w:t>
            </w:r>
          </w:p>
        </w:tc>
        <w:tc>
          <w:tcPr>
            <w:tcW w:w="110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280" w:type="dxa"/>
            <w:vAlign w:val="bottom"/>
            <w:gridSpan w:val="7"/>
          </w:tcPr>
          <w:p>
            <w:pPr>
              <w:jc w:val="center"/>
              <w:ind w:right="392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100" w:type="dxa"/>
            <w:vAlign w:val="bottom"/>
          </w:tcPr>
          <w:p>
            <w:pPr>
              <w:spacing w:after="0"/>
              <w:rPr>
                <w:sz w:val="24"/>
                <w:szCs w:val="24"/>
                <w:color w:val="auto"/>
              </w:rPr>
            </w:pPr>
          </w:p>
        </w:tc>
      </w:tr>
      <w:tr>
        <w:trPr>
          <w:trHeight w:val="446"/>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56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1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5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100" w:type="dxa"/>
            <w:vAlign w:val="bottom"/>
          </w:tcPr>
          <w:p>
            <w:pPr>
              <w:spacing w:after="0"/>
              <w:rPr>
                <w:sz w:val="18"/>
                <w:szCs w:val="18"/>
                <w:color w:val="auto"/>
              </w:rPr>
            </w:pPr>
          </w:p>
        </w:tc>
      </w:tr>
      <w:tr>
        <w:trPr>
          <w:trHeight w:val="292"/>
        </w:trPr>
        <w:tc>
          <w:tcPr>
            <w:tcW w:w="760" w:type="dxa"/>
            <w:vAlign w:val="bottom"/>
          </w:tcPr>
          <w:p>
            <w:pPr>
              <w:spacing w:after="0"/>
              <w:rPr>
                <w:sz w:val="24"/>
                <w:szCs w:val="24"/>
                <w:color w:val="auto"/>
              </w:rPr>
            </w:pPr>
          </w:p>
        </w:tc>
        <w:tc>
          <w:tcPr>
            <w:tcW w:w="9560" w:type="dxa"/>
            <w:vAlign w:val="bottom"/>
            <w:gridSpan w:val="12"/>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 December 31, 2016 and June 30, 2017 (unaudited)</w:t>
              </w:r>
            </w:hyperlink>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- 3 -</w:t>
            </w:r>
          </w:p>
        </w:tc>
      </w:tr>
      <w:tr>
        <w:trPr>
          <w:trHeight w:val="20"/>
        </w:trPr>
        <w:tc>
          <w:tcPr>
            <w:tcW w:w="7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9560" w:type="dxa"/>
            <w:vAlign w:val="bottom"/>
            <w:gridSpan w:val="12"/>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Income (unaudited) – Three and six months ended June 30, 2016 and 2017</w:t>
              </w:r>
            </w:hyperlink>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- 4 -</w:t>
            </w:r>
          </w:p>
        </w:tc>
      </w:tr>
      <w:tr>
        <w:trPr>
          <w:trHeight w:val="318"/>
        </w:trPr>
        <w:tc>
          <w:tcPr>
            <w:tcW w:w="760" w:type="dxa"/>
            <w:vAlign w:val="bottom"/>
          </w:tcPr>
          <w:p>
            <w:pPr>
              <w:spacing w:after="0"/>
              <w:rPr>
                <w:sz w:val="24"/>
                <w:szCs w:val="24"/>
                <w:color w:val="auto"/>
              </w:rPr>
            </w:pPr>
          </w:p>
        </w:tc>
        <w:tc>
          <w:tcPr>
            <w:tcW w:w="778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Cash Flows (unaudited) - Six months ended June 30, 2016 and 2017</w:t>
              </w:r>
            </w:hyperlink>
          </w:p>
        </w:tc>
        <w:tc>
          <w:tcPr>
            <w:tcW w:w="460" w:type="dxa"/>
            <w:vAlign w:val="bottom"/>
            <w:tcBorders>
              <w:top w:val="single" w:sz="8" w:color="0000EE"/>
            </w:tcBorders>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- 5 -</w:t>
            </w:r>
          </w:p>
        </w:tc>
      </w:tr>
      <w:tr>
        <w:trPr>
          <w:trHeight w:val="318"/>
        </w:trPr>
        <w:tc>
          <w:tcPr>
            <w:tcW w:w="760" w:type="dxa"/>
            <w:vAlign w:val="bottom"/>
          </w:tcPr>
          <w:p>
            <w:pPr>
              <w:spacing w:after="0"/>
              <w:rPr>
                <w:sz w:val="24"/>
                <w:szCs w:val="24"/>
                <w:color w:val="auto"/>
              </w:rPr>
            </w:pPr>
          </w:p>
        </w:tc>
        <w:tc>
          <w:tcPr>
            <w:tcW w:w="9560" w:type="dxa"/>
            <w:vAlign w:val="bottom"/>
            <w:gridSpan w:val="12"/>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 of Stockholders’ Equity (unaudited) – Six months ended June 30, 2017</w:t>
              </w:r>
            </w:hyperlink>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- 6 -</w:t>
            </w:r>
          </w:p>
        </w:tc>
      </w:tr>
      <w:tr>
        <w:trPr>
          <w:trHeight w:val="318"/>
        </w:trPr>
        <w:tc>
          <w:tcPr>
            <w:tcW w:w="760" w:type="dxa"/>
            <w:vAlign w:val="bottom"/>
          </w:tcPr>
          <w:p>
            <w:pPr>
              <w:spacing w:after="0"/>
              <w:rPr>
                <w:sz w:val="24"/>
                <w:szCs w:val="24"/>
                <w:color w:val="auto"/>
              </w:rPr>
            </w:pPr>
          </w:p>
        </w:tc>
        <w:tc>
          <w:tcPr>
            <w:tcW w:w="486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Notes to Condensed Consolidated Financial Statements (unaudited)</w:t>
              </w:r>
            </w:hyperlink>
          </w:p>
        </w:tc>
        <w:tc>
          <w:tcPr>
            <w:tcW w:w="2840" w:type="dxa"/>
            <w:vAlign w:val="bottom"/>
            <w:tcBorders>
              <w:top w:val="single" w:sz="8" w:color="0000EE"/>
            </w:tcBorders>
            <w:gridSpan w:val="3"/>
          </w:tcPr>
          <w:p>
            <w:pPr>
              <w:spacing w:after="0"/>
              <w:rPr>
                <w:sz w:val="24"/>
                <w:szCs w:val="24"/>
                <w:color w:val="auto"/>
              </w:rPr>
            </w:pPr>
          </w:p>
        </w:tc>
        <w:tc>
          <w:tcPr>
            <w:tcW w:w="1860" w:type="dxa"/>
            <w:vAlign w:val="bottom"/>
            <w:gridSpan w:val="3"/>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- 7 -</w:t>
            </w:r>
          </w:p>
        </w:tc>
      </w:tr>
      <w:tr>
        <w:trPr>
          <w:trHeight w:val="3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560" w:type="dxa"/>
            <w:vAlign w:val="bottom"/>
            <w:gridSpan w:val="12"/>
          </w:tcPr>
          <w:p>
            <w:pPr>
              <w:spacing w:after="0"/>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10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rPr>
              <w:t>- 11 -</w:t>
            </w:r>
          </w:p>
        </w:tc>
      </w:tr>
      <w:tr>
        <w:trPr>
          <w:trHeight w:val="3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28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15">
              <w:r>
                <w:rPr>
                  <w:rFonts w:ascii="Times New Roman" w:cs="Times New Roman" w:eastAsia="Times New Roman" w:hAnsi="Times New Roman"/>
                  <w:sz w:val="18"/>
                  <w:szCs w:val="18"/>
                  <w:color w:val="0000EE"/>
                  <w:w w:val="99"/>
                </w:rPr>
                <w:t>Quantitative and Qualitative Disclosure About Market Risk</w:t>
              </w:r>
            </w:hyperlink>
          </w:p>
        </w:tc>
        <w:tc>
          <w:tcPr>
            <w:tcW w:w="2160" w:type="dxa"/>
            <w:vAlign w:val="bottom"/>
            <w:tcBorders>
              <w:top w:val="single" w:sz="8" w:color="0000EE"/>
            </w:tcBorders>
            <w:gridSpan w:val="2"/>
          </w:tcPr>
          <w:p>
            <w:pPr>
              <w:spacing w:after="0"/>
              <w:rPr>
                <w:sz w:val="24"/>
                <w:szCs w:val="24"/>
                <w:color w:val="auto"/>
              </w:rPr>
            </w:pPr>
          </w:p>
        </w:tc>
        <w:tc>
          <w:tcPr>
            <w:tcW w:w="3120" w:type="dxa"/>
            <w:vAlign w:val="bottom"/>
            <w:gridSpan w:val="5"/>
          </w:tcPr>
          <w:p>
            <w:pPr>
              <w:spacing w:after="0"/>
              <w:rPr>
                <w:sz w:val="24"/>
                <w:szCs w:val="24"/>
                <w:color w:val="auto"/>
              </w:rPr>
            </w:pPr>
          </w:p>
        </w:tc>
        <w:tc>
          <w:tcPr>
            <w:tcW w:w="110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rPr>
              <w:t>- 15 -</w:t>
            </w:r>
          </w:p>
        </w:tc>
      </w:tr>
      <w:tr>
        <w:trPr>
          <w:trHeight w:val="3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560" w:type="dxa"/>
            <w:vAlign w:val="bottom"/>
            <w:gridSpan w:val="12"/>
          </w:tcPr>
          <w:p>
            <w:pPr>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Controls and Procedures</w:t>
              </w:r>
            </w:hyperlink>
          </w:p>
        </w:tc>
        <w:tc>
          <w:tcPr>
            <w:tcW w:w="110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rPr>
              <w:t>- 15 -</w:t>
            </w:r>
          </w:p>
        </w:tc>
      </w:tr>
      <w:tr>
        <w:trPr>
          <w:trHeight w:val="20"/>
        </w:trPr>
        <w:tc>
          <w:tcPr>
            <w:tcW w:w="7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540" w:type="dxa"/>
            <w:vAlign w:val="bottom"/>
            <w:gridSpan w:val="8"/>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18"/>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20" w:type="dxa"/>
            <w:vAlign w:val="bottom"/>
            <w:tcBorders>
              <w:bottom w:val="single" w:sz="8" w:color="0000EE"/>
            </w:tcBorders>
            <w:gridSpan w:val="4"/>
          </w:tcPr>
          <w:p>
            <w:pPr>
              <w:spacing w:after="0"/>
              <w:rPr>
                <w:rFonts w:ascii="Times New Roman" w:cs="Times New Roman" w:eastAsia="Times New Roman" w:hAnsi="Times New Roman"/>
                <w:sz w:val="18"/>
                <w:szCs w:val="18"/>
                <w:b w:val="1"/>
                <w:bCs w:val="1"/>
                <w:color w:val="0000EE"/>
                <w:w w:val="98"/>
              </w:rPr>
            </w:pPr>
            <w:hyperlink w:anchor="page17">
              <w:r>
                <w:rPr>
                  <w:rFonts w:ascii="Times New Roman" w:cs="Times New Roman" w:eastAsia="Times New Roman" w:hAnsi="Times New Roman"/>
                  <w:sz w:val="18"/>
                  <w:szCs w:val="18"/>
                  <w:b w:val="1"/>
                  <w:bCs w:val="1"/>
                  <w:color w:val="0000EE"/>
                  <w:w w:val="98"/>
                </w:rPr>
                <w:t>OTHER INFORMATION</w:t>
              </w:r>
            </w:hyperlink>
          </w:p>
        </w:tc>
        <w:tc>
          <w:tcPr>
            <w:tcW w:w="7540" w:type="dxa"/>
            <w:vAlign w:val="bottom"/>
            <w:gridSpan w:val="8"/>
          </w:tcPr>
          <w:p>
            <w:pPr>
              <w:spacing w:after="0"/>
              <w:rPr>
                <w:sz w:val="24"/>
                <w:szCs w:val="24"/>
                <w:color w:val="auto"/>
              </w:rPr>
            </w:pPr>
          </w:p>
        </w:tc>
        <w:tc>
          <w:tcPr>
            <w:tcW w:w="1100" w:type="dxa"/>
            <w:vAlign w:val="bottom"/>
          </w:tcPr>
          <w:p>
            <w:pPr>
              <w:spacing w:after="0"/>
              <w:rPr>
                <w:sz w:val="24"/>
                <w:szCs w:val="24"/>
                <w:color w:val="auto"/>
              </w:rPr>
            </w:pPr>
          </w:p>
        </w:tc>
      </w:tr>
      <w:tr>
        <w:trPr>
          <w:trHeight w:val="3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7"/>
              </w:rPr>
            </w:pPr>
            <w:hyperlink w:anchor="page17">
              <w:r>
                <w:rPr>
                  <w:rFonts w:ascii="Times New Roman" w:cs="Times New Roman" w:eastAsia="Times New Roman" w:hAnsi="Times New Roman"/>
                  <w:sz w:val="18"/>
                  <w:szCs w:val="18"/>
                  <w:color w:val="0000EE"/>
                  <w:w w:val="97"/>
                </w:rPr>
                <w:t>Risk Factors</w:t>
              </w:r>
            </w:hyperlink>
          </w:p>
        </w:tc>
        <w:tc>
          <w:tcPr>
            <w:tcW w:w="8660" w:type="dxa"/>
            <w:vAlign w:val="bottom"/>
            <w:gridSpan w:val="10"/>
          </w:tcPr>
          <w:p>
            <w:pPr>
              <w:spacing w:after="0"/>
              <w:rPr>
                <w:sz w:val="24"/>
                <w:szCs w:val="24"/>
                <w:color w:val="auto"/>
              </w:rPr>
            </w:pPr>
          </w:p>
        </w:tc>
        <w:tc>
          <w:tcPr>
            <w:tcW w:w="110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rPr>
              <w:t>- 17 -</w:t>
            </w:r>
          </w:p>
        </w:tc>
      </w:tr>
      <w:tr>
        <w:trPr>
          <w:trHeight w:val="3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w:anchor="page17">
              <w:r>
                <w:rPr>
                  <w:rFonts w:ascii="Times New Roman" w:cs="Times New Roman" w:eastAsia="Times New Roman" w:hAnsi="Times New Roman"/>
                  <w:sz w:val="18"/>
                  <w:szCs w:val="18"/>
                  <w:color w:val="0000EE"/>
                  <w:w w:val="96"/>
                </w:rPr>
                <w:t>Exhibits</w:t>
              </w:r>
            </w:hyperlink>
          </w:p>
        </w:tc>
        <w:tc>
          <w:tcPr>
            <w:tcW w:w="8960" w:type="dxa"/>
            <w:vAlign w:val="bottom"/>
            <w:gridSpan w:val="11"/>
          </w:tcPr>
          <w:p>
            <w:pPr>
              <w:spacing w:after="0"/>
              <w:rPr>
                <w:sz w:val="24"/>
                <w:szCs w:val="24"/>
                <w:color w:val="auto"/>
              </w:rPr>
            </w:pPr>
          </w:p>
        </w:tc>
        <w:tc>
          <w:tcPr>
            <w:tcW w:w="110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rPr>
              <w:t>- 17 -</w:t>
            </w: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2, 3, 4 and 5 of Part II are omitted because there is no information to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COMPX INTERNATIONAL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85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858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60" w:type="dxa"/>
            <w:vAlign w:val="bottom"/>
            <w:shd w:val="clear" w:color="auto" w:fill="CFF0FC"/>
          </w:tcPr>
          <w:p>
            <w:pPr>
              <w:jc w:val="center"/>
              <w:ind w:right="92"/>
              <w:spacing w:after="0" w:line="155"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33,153</w:t>
            </w:r>
          </w:p>
        </w:tc>
        <w:tc>
          <w:tcPr>
            <w:tcW w:w="28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22,543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Inventories, net</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14,974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15,317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59,175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50,684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Note receivable from affiliate</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23,742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noncurrent</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other assets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51,732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63,832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Land</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Buildings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22,541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22,558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Equipment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65,570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65,690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94,144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94,721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61,071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61,921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32,800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143,980</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147,316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85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11,882</w:t>
            </w:r>
          </w:p>
        </w:tc>
        <w:tc>
          <w:tcPr>
            <w:tcW w:w="2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Income taxes payable to affiliates</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11,279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liabilities -</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4,958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Preferred stock</w:t>
            </w:r>
          </w:p>
        </w:tc>
        <w:tc>
          <w:tcPr>
            <w:tcW w:w="12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Class A common stock</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Class B common stock</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55,515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55,612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70,131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75,343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125,770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131,079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143,980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147,316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and contingencies (Note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COMPX INTERNATIONAL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20" w:type="dxa"/>
            <w:vAlign w:val="bottom"/>
            <w:gridSpan w:val="5"/>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4"/>
                <w:szCs w:val="14"/>
                <w:color w:val="auto"/>
              </w:rPr>
            </w:pPr>
          </w:p>
        </w:tc>
        <w:tc>
          <w:tcPr>
            <w:tcW w:w="1600" w:type="dxa"/>
            <w:vAlign w:val="bottom"/>
            <w:gridSpan w:val="3"/>
          </w:tcPr>
          <w:p>
            <w:pPr>
              <w:jc w:val="center"/>
              <w:ind w:left="39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49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center"/>
              <w:ind w:left="39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71"/>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3"/>
          </w:tcPr>
          <w:p>
            <w:pPr>
              <w:jc w:val="center"/>
              <w:ind w:left="494"/>
              <w:spacing w:after="0" w:line="155"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3"/>
          </w:tcPr>
          <w:p>
            <w:pPr>
              <w:jc w:val="center"/>
              <w:ind w:left="394"/>
              <w:spacing w:after="0" w:line="155"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27,107</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30,002</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54,182</w:t>
            </w:r>
          </w:p>
        </w:tc>
        <w:tc>
          <w:tcPr>
            <w:tcW w:w="68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59,950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18,621</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20,494</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37,491</w:t>
            </w:r>
          </w:p>
        </w:tc>
        <w:tc>
          <w:tcPr>
            <w:tcW w:w="2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40,756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8,486</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9,508</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16,691</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19,194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4,907</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9,621</w:t>
            </w:r>
          </w:p>
        </w:tc>
        <w:tc>
          <w:tcPr>
            <w:tcW w:w="2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10,068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4,601</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7,070</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482</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Income before taxes</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5,083</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7,143</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9,943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1,780</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2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3,489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3,303</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2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6,454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 net income per common share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80" w:type="dxa"/>
            <w:vAlign w:val="bottom"/>
          </w:tcPr>
          <w:p>
            <w:pPr>
              <w:spacing w:after="0"/>
              <w:rPr>
                <w:sz w:val="24"/>
                <w:szCs w:val="24"/>
                <w:color w:val="auto"/>
              </w:rPr>
            </w:pP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0.27</w:t>
            </w:r>
          </w:p>
        </w:tc>
        <w:tc>
          <w:tcPr>
            <w:tcW w:w="280" w:type="dxa"/>
            <w:vAlign w:val="bottom"/>
          </w:tcPr>
          <w:p>
            <w:pPr>
              <w:spacing w:after="0"/>
              <w:rPr>
                <w:sz w:val="24"/>
                <w:szCs w:val="24"/>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6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dividends per share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0.05</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0.10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12,415</w:t>
            </w:r>
          </w:p>
        </w:tc>
        <w:tc>
          <w:tcPr>
            <w:tcW w:w="2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12,422</w:t>
            </w:r>
          </w:p>
        </w:tc>
        <w:tc>
          <w:tcPr>
            <w:tcW w:w="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12,413</w:t>
            </w:r>
          </w:p>
        </w:tc>
        <w:tc>
          <w:tcPr>
            <w:tcW w:w="2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12,421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COMPX INTERNATIONAL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4"/>
          </w:tcPr>
          <w:p>
            <w:pPr>
              <w:jc w:val="center"/>
              <w:ind w:left="43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3"/>
        </w:trPr>
        <w:tc>
          <w:tcPr>
            <w:tcW w:w="8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jc w:val="center"/>
              <w:ind w:left="43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85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9"/>
                <w:szCs w:val="19"/>
                <w:color w:val="auto"/>
              </w:rPr>
            </w:pPr>
          </w:p>
        </w:tc>
      </w:tr>
      <w:tr>
        <w:trPr>
          <w:trHeight w:val="223"/>
        </w:trPr>
        <w:tc>
          <w:tcPr>
            <w:tcW w:w="8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gridSpan w:val="4"/>
          </w:tcPr>
          <w:p>
            <w:pPr>
              <w:jc w:val="center"/>
              <w:ind w:left="41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8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180" w:type="dxa"/>
            <w:vAlign w:val="bottom"/>
          </w:tcPr>
          <w:p>
            <w:pPr>
              <w:spacing w:after="0"/>
              <w:rPr>
                <w:sz w:val="19"/>
                <w:szCs w:val="19"/>
                <w:color w:val="auto"/>
              </w:rPr>
            </w:pPr>
          </w:p>
        </w:tc>
        <w:tc>
          <w:tcPr>
            <w:tcW w:w="5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6,454</w:t>
            </w:r>
          </w:p>
        </w:tc>
        <w:tc>
          <w:tcPr>
            <w:tcW w:w="120" w:type="dxa"/>
            <w:vAlign w:val="bottom"/>
          </w:tcPr>
          <w:p>
            <w:pPr>
              <w:spacing w:after="0"/>
              <w:rPr>
                <w:sz w:val="19"/>
                <w:szCs w:val="19"/>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1,828</w:t>
            </w:r>
          </w:p>
        </w:tc>
        <w:tc>
          <w:tcPr>
            <w:tcW w:w="120" w:type="dxa"/>
            <w:vAlign w:val="bottom"/>
            <w:shd w:val="clear" w:color="auto" w:fill="CFF0FC"/>
          </w:tcPr>
          <w:p>
            <w:pPr>
              <w:spacing w:after="0"/>
              <w:rPr>
                <w:sz w:val="19"/>
                <w:szCs w:val="19"/>
                <w:color w:val="auto"/>
              </w:rPr>
            </w:pPr>
          </w:p>
        </w:tc>
      </w:tr>
      <w:tr>
        <w:trPr>
          <w:trHeight w:val="230"/>
        </w:trPr>
        <w:tc>
          <w:tcPr>
            <w:tcW w:w="8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120" w:type="dxa"/>
            <w:vAlign w:val="bottom"/>
          </w:tcPr>
          <w:p>
            <w:pPr>
              <w:spacing w:after="0"/>
              <w:rPr>
                <w:sz w:val="19"/>
                <w:szCs w:val="19"/>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189</w:t>
            </w:r>
          </w:p>
        </w:tc>
        <w:tc>
          <w:tcPr>
            <w:tcW w:w="120" w:type="dxa"/>
            <w:vAlign w:val="bottom"/>
            <w:shd w:val="clear" w:color="auto" w:fill="CFF0FC"/>
          </w:tcPr>
          <w:p>
            <w:pPr>
              <w:spacing w:after="0"/>
              <w:rPr>
                <w:sz w:val="19"/>
                <w:szCs w:val="19"/>
                <w:color w:val="auto"/>
              </w:rPr>
            </w:pPr>
          </w:p>
        </w:tc>
      </w:tr>
      <w:tr>
        <w:trPr>
          <w:trHeight w:val="230"/>
        </w:trPr>
        <w:tc>
          <w:tcPr>
            <w:tcW w:w="8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85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(3,634)</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(1,823)</w:t>
            </w:r>
          </w:p>
        </w:tc>
      </w:tr>
      <w:tr>
        <w:trPr>
          <w:trHeight w:val="230"/>
        </w:trPr>
        <w:tc>
          <w:tcPr>
            <w:tcW w:w="8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Inventories, net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(417)</w:t>
            </w:r>
          </w:p>
        </w:tc>
      </w:tr>
      <w:tr>
        <w:trPr>
          <w:trHeight w:val="230"/>
        </w:trPr>
        <w:tc>
          <w:tcPr>
            <w:tcW w:w="85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(1,676)</w:t>
            </w:r>
          </w:p>
        </w:tc>
      </w:tr>
      <w:tr>
        <w:trPr>
          <w:trHeight w:val="230"/>
        </w:trPr>
        <w:tc>
          <w:tcPr>
            <w:tcW w:w="8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with affiliates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(327)</w:t>
            </w:r>
          </w:p>
        </w:tc>
      </w:tr>
      <w:tr>
        <w:trPr>
          <w:trHeight w:val="230"/>
        </w:trPr>
        <w:tc>
          <w:tcPr>
            <w:tcW w:w="85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Prepaids and other, net</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120" w:type="dxa"/>
            <w:vAlign w:val="bottom"/>
            <w:shd w:val="clear" w:color="auto" w:fill="CFF0FC"/>
          </w:tcPr>
          <w:p>
            <w:pPr>
              <w:spacing w:after="0"/>
              <w:rPr>
                <w:sz w:val="19"/>
                <w:szCs w:val="19"/>
                <w:color w:val="auto"/>
              </w:rPr>
            </w:pPr>
          </w:p>
        </w:tc>
      </w:tr>
      <w:tr>
        <w:trPr>
          <w:trHeight w:val="223"/>
        </w:trPr>
        <w:tc>
          <w:tcPr>
            <w:tcW w:w="858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4,331</w:t>
            </w:r>
          </w:p>
        </w:tc>
        <w:tc>
          <w:tcPr>
            <w:tcW w:w="120" w:type="dxa"/>
            <w:vAlign w:val="bottom"/>
            <w:tcBorders>
              <w:bottom w:val="single" w:sz="8" w:color="CFF0FC"/>
            </w:tcBorders>
          </w:tcPr>
          <w:p>
            <w:pPr>
              <w:spacing w:after="0"/>
              <w:rPr>
                <w:sz w:val="19"/>
                <w:szCs w:val="19"/>
                <w:color w:val="auto"/>
              </w:rPr>
            </w:pPr>
          </w:p>
        </w:tc>
      </w:tr>
      <w:tr>
        <w:trPr>
          <w:trHeight w:val="223"/>
        </w:trPr>
        <w:tc>
          <w:tcPr>
            <w:tcW w:w="8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(1,599)</w:t>
            </w:r>
          </w:p>
        </w:tc>
      </w:tr>
      <w:tr>
        <w:trPr>
          <w:trHeight w:val="230"/>
        </w:trPr>
        <w:tc>
          <w:tcPr>
            <w:tcW w:w="8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Note receivable from affiliate:</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Collections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27,200</w:t>
            </w:r>
          </w:p>
        </w:tc>
        <w:tc>
          <w:tcPr>
            <w:tcW w:w="120" w:type="dxa"/>
            <w:vAlign w:val="bottom"/>
          </w:tcPr>
          <w:p>
            <w:pPr>
              <w:spacing w:after="0"/>
              <w:rPr>
                <w:sz w:val="19"/>
                <w:szCs w:val="19"/>
                <w:color w:val="auto"/>
              </w:rPr>
            </w:pPr>
          </w:p>
        </w:tc>
      </w:tr>
      <w:tr>
        <w:trPr>
          <w:trHeight w:val="230"/>
        </w:trPr>
        <w:tc>
          <w:tcPr>
            <w:tcW w:w="85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Advances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(39,300)</w:t>
            </w:r>
          </w:p>
        </w:tc>
      </w:tr>
      <w:tr>
        <w:trPr>
          <w:trHeight w:val="223"/>
        </w:trPr>
        <w:tc>
          <w:tcPr>
            <w:tcW w:w="858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(13,699)</w:t>
            </w:r>
          </w:p>
        </w:tc>
        <w:tc>
          <w:tcPr>
            <w:tcW w:w="120" w:type="dxa"/>
            <w:vAlign w:val="bottom"/>
            <w:tcBorders>
              <w:bottom w:val="single" w:sz="8" w:color="CFF0FC"/>
            </w:tcBorders>
          </w:tcPr>
          <w:p>
            <w:pPr>
              <w:spacing w:after="0"/>
              <w:rPr>
                <w:sz w:val="19"/>
                <w:szCs w:val="19"/>
                <w:color w:val="auto"/>
              </w:rPr>
            </w:pPr>
          </w:p>
        </w:tc>
      </w:tr>
      <w:tr>
        <w:trPr>
          <w:trHeight w:val="223"/>
        </w:trPr>
        <w:tc>
          <w:tcPr>
            <w:tcW w:w="8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financing activities -</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Dividends paid</w:t>
            </w: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(1,242)</w:t>
            </w:r>
          </w:p>
        </w:tc>
      </w:tr>
      <w:tr>
        <w:trPr>
          <w:trHeight w:val="223"/>
        </w:trPr>
        <w:tc>
          <w:tcPr>
            <w:tcW w:w="85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 net change from:</w:t>
            </w: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investing and financing activities</w:t>
            </w: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(10,610)</w:t>
            </w:r>
          </w:p>
        </w:tc>
      </w:tr>
      <w:tr>
        <w:trPr>
          <w:trHeight w:val="230"/>
        </w:trPr>
        <w:tc>
          <w:tcPr>
            <w:tcW w:w="8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52,347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33,153</w:t>
            </w:r>
          </w:p>
        </w:tc>
        <w:tc>
          <w:tcPr>
            <w:tcW w:w="120" w:type="dxa"/>
            <w:vAlign w:val="bottom"/>
            <w:shd w:val="clear" w:color="auto" w:fill="CFF0FC"/>
          </w:tcPr>
          <w:p>
            <w:pPr>
              <w:spacing w:after="0"/>
              <w:rPr>
                <w:sz w:val="19"/>
                <w:szCs w:val="19"/>
                <w:color w:val="auto"/>
              </w:rPr>
            </w:pPr>
          </w:p>
        </w:tc>
      </w:tr>
      <w:tr>
        <w:trPr>
          <w:trHeight w:val="263"/>
        </w:trPr>
        <w:tc>
          <w:tcPr>
            <w:tcW w:w="85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51,300</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22,543</w:t>
            </w:r>
          </w:p>
        </w:tc>
        <w:tc>
          <w:tcPr>
            <w:tcW w:w="120" w:type="dxa"/>
            <w:vAlign w:val="bottom"/>
            <w:tcBorders>
              <w:bottom w:val="single" w:sz="8" w:color="CFF0FC"/>
            </w:tcBorders>
          </w:tcPr>
          <w:p>
            <w:pPr>
              <w:spacing w:after="0"/>
              <w:rPr>
                <w:sz w:val="22"/>
                <w:szCs w:val="22"/>
                <w:color w:val="auto"/>
              </w:rPr>
            </w:pPr>
          </w:p>
        </w:tc>
      </w:tr>
      <w:tr>
        <w:trPr>
          <w:trHeight w:val="210"/>
        </w:trPr>
        <w:tc>
          <w:tcPr>
            <w:tcW w:w="8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disclosures -</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8"/>
        </w:trPr>
        <w:tc>
          <w:tcPr>
            <w:tcW w:w="8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80" w:type="dxa"/>
            <w:vAlign w:val="bottom"/>
          </w:tcPr>
          <w:p>
            <w:pPr>
              <w:spacing w:after="0"/>
              <w:rPr>
                <w:sz w:val="20"/>
                <w:szCs w:val="20"/>
                <w:color w:val="auto"/>
              </w:rPr>
            </w:pPr>
          </w:p>
        </w:tc>
        <w:tc>
          <w:tcPr>
            <w:tcW w:w="5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3,747</w:t>
            </w:r>
          </w:p>
        </w:tc>
        <w:tc>
          <w:tcPr>
            <w:tcW w:w="1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COMPX INTERNATIONAL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STOCKHOLDERS’ EQUITY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June 30, 2017</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73"/>
        </w:trPr>
        <w:tc>
          <w:tcPr>
            <w:tcW w:w="4240" w:type="dxa"/>
            <w:vAlign w:val="bottom"/>
          </w:tcPr>
          <w:p>
            <w:pPr>
              <w:spacing w:after="0"/>
              <w:rPr>
                <w:sz w:val="15"/>
                <w:szCs w:val="15"/>
                <w:color w:val="auto"/>
              </w:rPr>
            </w:pPr>
          </w:p>
        </w:tc>
        <w:tc>
          <w:tcPr>
            <w:tcW w:w="2560" w:type="dxa"/>
            <w:vAlign w:val="bottom"/>
            <w:gridSpan w:val="6"/>
          </w:tcPr>
          <w:p>
            <w:pPr>
              <w:ind w:left="6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5"/>
                <w:szCs w:val="15"/>
                <w:color w:val="auto"/>
              </w:rPr>
            </w:pPr>
          </w:p>
        </w:tc>
        <w:tc>
          <w:tcPr>
            <w:tcW w:w="14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5"/>
                <w:szCs w:val="15"/>
                <w:color w:val="auto"/>
              </w:rPr>
            </w:pP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156"/>
        </w:trPr>
        <w:tc>
          <w:tcPr>
            <w:tcW w:w="4240" w:type="dxa"/>
            <w:vAlign w:val="bottom"/>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Class A</w:t>
            </w: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173"/>
              <w:spacing w:after="0" w:line="155" w:lineRule="exact"/>
              <w:rPr>
                <w:sz w:val="20"/>
                <w:szCs w:val="20"/>
                <w:color w:val="auto"/>
              </w:rPr>
            </w:pPr>
            <w:r>
              <w:rPr>
                <w:rFonts w:ascii="Times New Roman" w:cs="Times New Roman" w:eastAsia="Times New Roman" w:hAnsi="Times New Roman"/>
                <w:sz w:val="14"/>
                <w:szCs w:val="14"/>
                <w:b w:val="1"/>
                <w:bCs w:val="1"/>
                <w:color w:val="auto"/>
              </w:rPr>
              <w:t>Class B</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50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3"/>
                <w:szCs w:val="13"/>
                <w:color w:val="auto"/>
              </w:rPr>
            </w:pPr>
          </w:p>
        </w:tc>
        <w:tc>
          <w:tcPr>
            <w:tcW w:w="1380" w:type="dxa"/>
            <w:vAlign w:val="bottom"/>
            <w:gridSpan w:val="2"/>
          </w:tcPr>
          <w:p>
            <w:pPr>
              <w:jc w:val="right"/>
              <w:ind w:right="700"/>
              <w:spacing w:after="0" w:line="15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3"/>
                <w:szCs w:val="13"/>
                <w:color w:val="auto"/>
              </w:rPr>
            </w:pPr>
          </w:p>
        </w:tc>
        <w:tc>
          <w:tcPr>
            <w:tcW w:w="126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r>
      <w:tr>
        <w:trPr>
          <w:trHeight w:val="223"/>
        </w:trPr>
        <w:tc>
          <w:tcPr>
            <w:tcW w:w="4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760" w:type="dxa"/>
            <w:vAlign w:val="bottom"/>
            <w:tcBorders>
              <w:top w:val="single" w:sz="8" w:color="auto"/>
            </w:tcBorders>
            <w:shd w:val="clear" w:color="auto" w:fill="CFF0FC"/>
          </w:tcPr>
          <w:p>
            <w:pPr>
              <w:jc w:val="right"/>
              <w:ind w:right="602"/>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24</w:t>
            </w: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55,515</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70,131</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125,770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760" w:type="dxa"/>
            <w:vAlign w:val="bottom"/>
          </w:tcPr>
          <w:p>
            <w:pPr>
              <w:spacing w:after="0"/>
              <w:rPr>
                <w:sz w:val="19"/>
                <w:szCs w:val="19"/>
                <w:color w:val="auto"/>
              </w:rPr>
            </w:pP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6,454</w:t>
            </w:r>
          </w:p>
        </w:tc>
        <w:tc>
          <w:tcPr>
            <w:tcW w:w="100" w:type="dxa"/>
            <w:vAlign w:val="bottom"/>
          </w:tcPr>
          <w:p>
            <w:pPr>
              <w:spacing w:after="0"/>
              <w:rPr>
                <w:sz w:val="19"/>
                <w:szCs w:val="19"/>
                <w:color w:val="auto"/>
              </w:rPr>
            </w:pPr>
          </w:p>
        </w:tc>
      </w:tr>
      <w:tr>
        <w:trPr>
          <w:trHeight w:val="23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7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FF0FC"/>
          </w:tcPr>
          <w:p>
            <w:pPr>
              <w:spacing w:after="0"/>
              <w:rPr>
                <w:sz w:val="19"/>
                <w:szCs w:val="19"/>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760" w:type="dxa"/>
            <w:vAlign w:val="bottom"/>
          </w:tcPr>
          <w:p>
            <w:pPr>
              <w:spacing w:after="0"/>
              <w:rPr>
                <w:sz w:val="19"/>
                <w:szCs w:val="19"/>
                <w:color w:val="auto"/>
              </w:rPr>
            </w:pP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(1,242)</w:t>
            </w:r>
          </w:p>
        </w:tc>
        <w:tc>
          <w:tcPr>
            <w:tcW w:w="1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(1,242)</w:t>
            </w:r>
          </w:p>
        </w:tc>
      </w:tr>
      <w:tr>
        <w:trPr>
          <w:trHeight w:val="223"/>
        </w:trPr>
        <w:tc>
          <w:tcPr>
            <w:tcW w:w="42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June 30, 2017</w:t>
            </w:r>
          </w:p>
        </w:tc>
        <w:tc>
          <w:tcPr>
            <w:tcW w:w="760" w:type="dxa"/>
            <w:vAlign w:val="bottom"/>
            <w:tcBorders>
              <w:top w:val="single" w:sz="8" w:color="auto"/>
              <w:bottom w:val="single" w:sz="8" w:color="auto"/>
            </w:tcBorders>
            <w:shd w:val="clear" w:color="auto" w:fill="CFF0FC"/>
          </w:tcPr>
          <w:p>
            <w:pPr>
              <w:jc w:val="right"/>
              <w:ind w:right="60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55,612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75,343</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131,079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COMPX INTERNATIONAL INC.</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June 30, 2017</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basis of presentation:</w:t>
      </w:r>
    </w:p>
    <w:p>
      <w:pPr>
        <w:spacing w:after="0" w:line="119" w:lineRule="exact"/>
        <w:rPr>
          <w:sz w:val="20"/>
          <w:szCs w:val="20"/>
          <w:color w:val="auto"/>
        </w:rPr>
      </w:pPr>
    </w:p>
    <w:p>
      <w:pPr>
        <w:jc w:val="both"/>
        <w:ind w:right="20"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Organization</w:t>
      </w:r>
      <w:r>
        <w:rPr>
          <w:rFonts w:ascii="Times New Roman" w:cs="Times New Roman" w:eastAsia="Times New Roman" w:hAnsi="Times New Roman"/>
          <w:sz w:val="18"/>
          <w:szCs w:val="18"/>
          <w:color w:val="auto"/>
        </w:rPr>
        <w:t>. We (NYSE MKT: CIX) are 87% owned by NL Industries, Inc. (NYSE: NL) at June 30, 2017. We manufacture and sell component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(security products and recreational marine components). At June 30, 2017, Valhi, Inc. (NYSE: VHI) owns 83% of NL’s outstanding common stock and a wholly-owned subsidiary of Contran Corporation owns 93% of Valhi’s outstanding common stock. All of Contran’s outstanding voting stock is held by a family trust established for the benefit of Lisa K. Simmons and Serena Simmons Connelly and their children, for which Ms. Simmons and Ms. Connelly are co-trustees, or is held directly by Ms. Simmons and Ms. Connelly or entities related to them. Consequently, Ms. Simmons and Ms. Connelly may be deemed to control Contran, Valhi, NL and us.</w:t>
      </w:r>
    </w:p>
    <w:p>
      <w:pPr>
        <w:spacing w:after="0" w:line="183" w:lineRule="exact"/>
        <w:rPr>
          <w:sz w:val="20"/>
          <w:szCs w:val="20"/>
          <w:color w:val="auto"/>
        </w:rPr>
      </w:pPr>
    </w:p>
    <w:p>
      <w:pPr>
        <w:jc w:val="both"/>
        <w:ind w:right="20" w:firstLine="5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Consolidated in this Quarterly Report are the results of CompX International Inc. and its subsidiaries. The unaudited Condensed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Statements contained in this Quarterly Report have been prepared on the same basis as the audited Consolidated Financial Statements included in our Annual Report on Form 10-K for the year ended December 31, 2016 that we filed with the Securities and Exchange Commission (“SEC”) on March 1, 2017 (the “2016 Annual Report”). In our opinion, we have made all necessary adjustments (which include only normal recurring adjustments) in order to state fairly, in all material respects, our consolidated financial position, results of operations and cash flows as of the dates and for the periods presented. We have condensed the Consolidated Balance Sheet at December 31, 2016 contained in this Quarterly Report as compared to our audited Consolidated Financial Statements at that date, and we have omitted certain information and footnote disclosures (including those related to the Consolidated Balance Sheet at December 31, 2016) normally included in financial statements prepared in accordance with accounting principles generally accepted in the United States of America (“GAAP”). Our results of operations for the interim periods ended June 30, 2017 may not be indicative of our operating results for the full year. The Condensed Consolidated Financial Statements contained in this Quarterly Report should be read in conjunction with our 2016 Consolidated Financial Statements contained in our 2016 Annual Report.</w:t>
      </w:r>
    </w:p>
    <w:p>
      <w:pPr>
        <w:spacing w:after="0" w:line="195" w:lineRule="exact"/>
        <w:rPr>
          <w:sz w:val="20"/>
          <w:szCs w:val="20"/>
          <w:color w:val="auto"/>
        </w:rPr>
      </w:pPr>
    </w:p>
    <w:p>
      <w:pPr>
        <w:jc w:val="both"/>
        <w:ind w:right="20" w:firstLine="518"/>
        <w:spacing w:after="0" w:line="261" w:lineRule="auto"/>
        <w:rPr>
          <w:sz w:val="20"/>
          <w:szCs w:val="20"/>
          <w:color w:val="auto"/>
        </w:rPr>
      </w:pPr>
      <w:r>
        <w:rPr>
          <w:rFonts w:ascii="Times New Roman" w:cs="Times New Roman" w:eastAsia="Times New Roman" w:hAnsi="Times New Roman"/>
          <w:sz w:val="18"/>
          <w:szCs w:val="18"/>
          <w:color w:val="auto"/>
        </w:rPr>
        <w:t>Our operations are reported on a 52 or 53-week year. For presentation purposes, annual and quarterly information in the Condensed Consolidated Financial Statements and accompanying notes are presented as ended June 30, 2016, December 31, 2016 and June 30, 2017. The actual dates of our annual and quarterly periods are July 3, 2016, January 1, 2017 and July 2, 2017, respectively. Unless otherwise indicated, references in this report to “we”, “us” or “our” refer to CompX International Inc. and its subsidiaries, taken as a whole.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Business segment information:</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5"/>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1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center"/>
              <w:ind w:left="33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4"/>
          </w:tcPr>
          <w:p>
            <w:pPr>
              <w:jc w:val="center"/>
              <w:ind w:left="3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w w:val="92"/>
              </w:rPr>
              <w:t>2017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3"/>
          </w:tcPr>
          <w:p>
            <w:pPr>
              <w:jc w:val="center"/>
              <w:ind w:left="3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4"/>
          </w:tcPr>
          <w:p>
            <w:pPr>
              <w:jc w:val="center"/>
              <w:ind w:left="3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23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Security Products</w:t>
            </w:r>
          </w:p>
        </w:tc>
        <w:tc>
          <w:tcPr>
            <w:tcW w:w="2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23,195</w:t>
            </w:r>
          </w:p>
        </w:tc>
        <w:tc>
          <w:tcPr>
            <w:tcW w:w="24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26,039</w:t>
            </w:r>
          </w:p>
        </w:tc>
        <w:tc>
          <w:tcPr>
            <w:tcW w:w="280" w:type="dxa"/>
            <w:vAlign w:val="bottom"/>
          </w:tcPr>
          <w:p>
            <w:pPr>
              <w:spacing w:after="0"/>
              <w:rPr>
                <w:sz w:val="21"/>
                <w:szCs w:val="21"/>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46,609</w:t>
            </w:r>
          </w:p>
        </w:tc>
        <w:tc>
          <w:tcPr>
            <w:tcW w:w="160" w:type="dxa"/>
            <w:vAlign w:val="bottom"/>
          </w:tcPr>
          <w:p>
            <w:pPr>
              <w:spacing w:after="0"/>
              <w:rPr>
                <w:sz w:val="21"/>
                <w:szCs w:val="21"/>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52,049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Marine Components</w:t>
            </w:r>
          </w:p>
        </w:tc>
        <w:tc>
          <w:tcPr>
            <w:tcW w:w="238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24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3,963</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7,573</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7,901</w:t>
            </w: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net sales</w:t>
            </w:r>
          </w:p>
        </w:tc>
        <w:tc>
          <w:tcPr>
            <w:tcW w:w="2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27,107</w:t>
            </w:r>
          </w:p>
        </w:tc>
        <w:tc>
          <w:tcPr>
            <w:tcW w:w="24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30,002</w:t>
            </w:r>
          </w:p>
        </w:tc>
        <w:tc>
          <w:tcPr>
            <w:tcW w:w="280" w:type="dxa"/>
            <w:vAlign w:val="bottom"/>
          </w:tcPr>
          <w:p>
            <w:pPr>
              <w:spacing w:after="0"/>
              <w:rPr>
                <w:sz w:val="24"/>
                <w:szCs w:val="24"/>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54,182</w:t>
            </w:r>
          </w:p>
        </w:tc>
        <w:tc>
          <w:tcPr>
            <w:tcW w:w="160" w:type="dxa"/>
            <w:vAlign w:val="bottom"/>
          </w:tcPr>
          <w:p>
            <w:pPr>
              <w:spacing w:after="0"/>
              <w:rPr>
                <w:sz w:val="24"/>
                <w:szCs w:val="24"/>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59,950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100" w:type="dxa"/>
            <w:vAlign w:val="bottom"/>
            <w:tcBorders>
              <w:top w:val="single" w:sz="8" w:color="CFF0FC"/>
            </w:tcBorders>
            <w:shd w:val="clear" w:color="auto" w:fill="CFF0FC"/>
          </w:tcPr>
          <w:p>
            <w:pPr>
              <w:spacing w:after="0"/>
              <w:rPr>
                <w:sz w:val="19"/>
                <w:szCs w:val="19"/>
                <w:color w:val="auto"/>
              </w:rPr>
            </w:pPr>
          </w:p>
        </w:tc>
        <w:tc>
          <w:tcPr>
            <w:tcW w:w="23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Security Products</w:t>
            </w:r>
          </w:p>
        </w:tc>
        <w:tc>
          <w:tcPr>
            <w:tcW w:w="2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5,361</w:t>
            </w:r>
          </w:p>
        </w:tc>
        <w:tc>
          <w:tcPr>
            <w:tcW w:w="28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9,256</w:t>
            </w:r>
          </w:p>
        </w:tc>
        <w:tc>
          <w:tcPr>
            <w:tcW w:w="16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11,053</w:t>
            </w: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Marine Components</w:t>
            </w:r>
          </w:p>
        </w:tc>
        <w:tc>
          <w:tcPr>
            <w:tcW w:w="2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495</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Corporate operating expenses</w:t>
            </w:r>
          </w:p>
        </w:tc>
        <w:tc>
          <w:tcPr>
            <w:tcW w:w="23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(1,623)</w:t>
            </w:r>
          </w:p>
        </w:tc>
        <w:tc>
          <w:tcPr>
            <w:tcW w:w="3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(1,255)</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(3,075)</w:t>
            </w:r>
          </w:p>
        </w:tc>
        <w:tc>
          <w:tcPr>
            <w:tcW w:w="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(2,793)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operating income</w:t>
            </w:r>
          </w:p>
        </w:tc>
        <w:tc>
          <w:tcPr>
            <w:tcW w:w="23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2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4,601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9,126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Interest income</w:t>
            </w:r>
          </w:p>
        </w:tc>
        <w:tc>
          <w:tcPr>
            <w:tcW w:w="238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482</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817</w:t>
            </w: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2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5,083</w:t>
            </w:r>
          </w:p>
        </w:tc>
        <w:tc>
          <w:tcPr>
            <w:tcW w:w="28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7,143</w:t>
            </w:r>
          </w:p>
        </w:tc>
        <w:tc>
          <w:tcPr>
            <w:tcW w:w="160" w:type="dxa"/>
            <w:vAlign w:val="bottom"/>
          </w:tcPr>
          <w:p>
            <w:pPr>
              <w:spacing w:after="0"/>
              <w:rPr>
                <w:sz w:val="20"/>
                <w:szCs w:val="20"/>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9,943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38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rPr>
              <w:t>- 7 -</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10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0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7" w:name="page8"/>
    <w:bookmarkEnd w:id="7"/>
    <w:p>
      <w:pPr>
        <w:ind w:left="520"/>
        <w:spacing w:after="0"/>
        <w:rPr>
          <w:sz w:val="20"/>
          <w:szCs w:val="20"/>
          <w:color w:val="auto"/>
        </w:rPr>
      </w:pPr>
      <w:r>
        <w:rPr>
          <w:rFonts w:ascii="Times New Roman" w:cs="Times New Roman" w:eastAsia="Times New Roman" w:hAnsi="Times New Roman"/>
          <w:sz w:val="18"/>
          <w:szCs w:val="18"/>
          <w:color w:val="auto"/>
        </w:rPr>
        <w:t>Intersegment sales are not material.</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Accounts receivable, net:</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7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3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Security Products</w:t>
            </w:r>
          </w:p>
        </w:tc>
        <w:tc>
          <w:tcPr>
            <w:tcW w:w="3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9,329</w:t>
            </w:r>
          </w:p>
        </w:tc>
        <w:tc>
          <w:tcPr>
            <w:tcW w:w="180" w:type="dxa"/>
            <w:vAlign w:val="bottom"/>
          </w:tcPr>
          <w:p>
            <w:pPr>
              <w:spacing w:after="0"/>
              <w:rPr>
                <w:sz w:val="19"/>
                <w:szCs w:val="19"/>
                <w:color w:val="auto"/>
              </w:rPr>
            </w:pPr>
          </w:p>
        </w:tc>
        <w:tc>
          <w:tcPr>
            <w:tcW w:w="46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Marine Components</w:t>
            </w:r>
          </w:p>
        </w:tc>
        <w:tc>
          <w:tcPr>
            <w:tcW w:w="3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1,381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37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12,155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 – Inventories, net:</w:t>
            </w:r>
          </w:p>
        </w:tc>
        <w:tc>
          <w:tcPr>
            <w:tcW w:w="3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700" w:type="dxa"/>
            <w:vAlign w:val="bottom"/>
            <w:vMerge w:val="continue"/>
          </w:tcPr>
          <w:p>
            <w:pPr>
              <w:spacing w:after="0"/>
              <w:rPr>
                <w:sz w:val="24"/>
                <w:szCs w:val="24"/>
                <w:color w:val="auto"/>
              </w:rPr>
            </w:pPr>
          </w:p>
        </w:tc>
        <w:tc>
          <w:tcPr>
            <w:tcW w:w="3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47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7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4"/>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Security Products</w:t>
            </w:r>
          </w:p>
        </w:tc>
        <w:tc>
          <w:tcPr>
            <w:tcW w:w="3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80" w:type="dxa"/>
            <w:vAlign w:val="bottom"/>
          </w:tcPr>
          <w:p>
            <w:pPr>
              <w:spacing w:after="0"/>
              <w:rPr>
                <w:sz w:val="19"/>
                <w:szCs w:val="19"/>
                <w:color w:val="auto"/>
              </w:rPr>
            </w:pPr>
          </w:p>
        </w:tc>
        <w:tc>
          <w:tcPr>
            <w:tcW w:w="46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Marine Components</w:t>
            </w:r>
          </w:p>
        </w:tc>
        <w:tc>
          <w:tcPr>
            <w:tcW w:w="37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raw materials</w:t>
            </w:r>
          </w:p>
        </w:tc>
        <w:tc>
          <w:tcPr>
            <w:tcW w:w="37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2,891</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3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Security Products</w:t>
            </w:r>
          </w:p>
        </w:tc>
        <w:tc>
          <w:tcPr>
            <w:tcW w:w="3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8,253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Marine Components</w:t>
            </w:r>
          </w:p>
        </w:tc>
        <w:tc>
          <w:tcPr>
            <w:tcW w:w="37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1,533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work-in-process</w:t>
            </w:r>
          </w:p>
        </w:tc>
        <w:tc>
          <w:tcPr>
            <w:tcW w:w="37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9,786</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Security Products</w:t>
            </w:r>
          </w:p>
        </w:tc>
        <w:tc>
          <w:tcPr>
            <w:tcW w:w="3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Marine Components</w:t>
            </w:r>
          </w:p>
        </w:tc>
        <w:tc>
          <w:tcPr>
            <w:tcW w:w="37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711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finished goods</w:t>
            </w:r>
          </w:p>
        </w:tc>
        <w:tc>
          <w:tcPr>
            <w:tcW w:w="37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2,640</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inventories, net</w:t>
            </w:r>
          </w:p>
        </w:tc>
        <w:tc>
          <w:tcPr>
            <w:tcW w:w="37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14,974</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15,317</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 Accounts payable and accrued liabilities:</w:t>
            </w:r>
          </w:p>
        </w:tc>
        <w:tc>
          <w:tcPr>
            <w:tcW w:w="3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700" w:type="dxa"/>
            <w:vAlign w:val="bottom"/>
            <w:vMerge w:val="continue"/>
          </w:tcPr>
          <w:p>
            <w:pPr>
              <w:spacing w:after="0"/>
              <w:rPr>
                <w:sz w:val="24"/>
                <w:szCs w:val="24"/>
                <w:color w:val="auto"/>
              </w:rPr>
            </w:pPr>
          </w:p>
        </w:tc>
        <w:tc>
          <w:tcPr>
            <w:tcW w:w="3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47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7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4"/>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1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3,506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3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Employee benefits</w:t>
            </w:r>
          </w:p>
        </w:tc>
        <w:tc>
          <w:tcPr>
            <w:tcW w:w="3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5,195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Customer tooling</w:t>
            </w:r>
          </w:p>
        </w:tc>
        <w:tc>
          <w:tcPr>
            <w:tcW w:w="3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Taxes other than on income</w:t>
            </w:r>
          </w:p>
        </w:tc>
        <w:tc>
          <w:tcPr>
            <w:tcW w:w="3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Insurance</w:t>
            </w:r>
          </w:p>
        </w:tc>
        <w:tc>
          <w:tcPr>
            <w:tcW w:w="3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Professional</w:t>
            </w:r>
          </w:p>
        </w:tc>
        <w:tc>
          <w:tcPr>
            <w:tcW w:w="3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Sales rebates</w:t>
            </w:r>
          </w:p>
        </w:tc>
        <w:tc>
          <w:tcPr>
            <w:tcW w:w="3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37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accounts payable and accrued liabilities</w:t>
            </w:r>
          </w:p>
        </w:tc>
        <w:tc>
          <w:tcPr>
            <w:tcW w:w="37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740" w:type="dxa"/>
            <w:vAlign w:val="bottom"/>
            <w:vMerge w:val="restart"/>
          </w:tcPr>
          <w:p>
            <w:pPr>
              <w:jc w:val="right"/>
              <w:ind w:right="2490"/>
              <w:spacing w:after="0"/>
              <w:rPr>
                <w:sz w:val="20"/>
                <w:szCs w:val="20"/>
                <w:color w:val="auto"/>
              </w:rPr>
            </w:pPr>
            <w:r>
              <w:rPr>
                <w:rFonts w:ascii="Times New Roman" w:cs="Times New Roman" w:eastAsia="Times New Roman" w:hAnsi="Times New Roman"/>
                <w:sz w:val="18"/>
                <w:szCs w:val="18"/>
                <w:color w:val="auto"/>
              </w:rPr>
              <w:t>- 8 -</w:t>
            </w: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70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0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62" w:right="2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Note 6 – Provision for income taxes: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42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4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33"/>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8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8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tax expense, at the U.S. federal statutory</w:t>
            </w:r>
          </w:p>
        </w:tc>
        <w:tc>
          <w:tcPr>
            <w:tcW w:w="8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gridSpan w:val="2"/>
            <w:vMerge w:val="restart"/>
            <w:shd w:val="clear" w:color="auto" w:fill="CFF0FC"/>
          </w:tcPr>
          <w:p>
            <w:pPr>
              <w:jc w:val="right"/>
              <w:ind w:right="275"/>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rate of 35%</w:t>
            </w:r>
          </w:p>
        </w:tc>
        <w:tc>
          <w:tcPr>
            <w:tcW w:w="82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80" w:type="dxa"/>
            <w:vAlign w:val="bottom"/>
            <w:shd w:val="clear" w:color="auto" w:fill="CFF0FC"/>
          </w:tcPr>
          <w:p>
            <w:pPr>
              <w:spacing w:after="0"/>
              <w:rPr>
                <w:sz w:val="20"/>
                <w:szCs w:val="20"/>
                <w:color w:val="auto"/>
              </w:rPr>
            </w:pPr>
          </w:p>
        </w:tc>
        <w:tc>
          <w:tcPr>
            <w:tcW w:w="560" w:type="dxa"/>
            <w:vAlign w:val="bottom"/>
            <w:gridSpan w:val="2"/>
            <w:vMerge w:val="continue"/>
            <w:shd w:val="clear" w:color="auto" w:fill="CFF0FC"/>
          </w:tcPr>
          <w:p>
            <w:pPr>
              <w:spacing w:after="0"/>
              <w:rPr>
                <w:sz w:val="20"/>
                <w:szCs w:val="20"/>
                <w:color w:val="auto"/>
              </w:rPr>
            </w:pPr>
          </w:p>
        </w:tc>
        <w:tc>
          <w:tcPr>
            <w:tcW w:w="86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Domestic production activities deduction</w:t>
            </w:r>
          </w:p>
        </w:tc>
        <w:tc>
          <w:tcPr>
            <w:tcW w:w="82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income taxes</w:t>
            </w: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net</w:t>
            </w:r>
          </w:p>
        </w:tc>
        <w:tc>
          <w:tcPr>
            <w:tcW w:w="8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income tax expense</w:t>
            </w:r>
          </w:p>
        </w:tc>
        <w:tc>
          <w:tcPr>
            <w:tcW w:w="820" w:type="dxa"/>
            <w:vAlign w:val="bottom"/>
            <w:tcBorders>
              <w:bottom w:val="single" w:sz="8" w:color="auto"/>
            </w:tcBorders>
            <w:shd w:val="clear" w:color="auto" w:fill="CFF0FC"/>
          </w:tcPr>
          <w:p>
            <w:pPr>
              <w:jc w:val="right"/>
              <w:ind w:right="659"/>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3,489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Financial instruments: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financial instruments that are not carried at fair value but which require fair value disclosure:</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center"/>
              <w:ind w:left="55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2"/>
          </w:tcPr>
          <w:p>
            <w:pPr>
              <w:jc w:val="center"/>
              <w:ind w:left="5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54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w w:val="92"/>
              </w:rPr>
              <w:t>2016</w:t>
            </w:r>
          </w:p>
        </w:tc>
        <w:tc>
          <w:tcPr>
            <w:tcW w:w="8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w w:val="92"/>
              </w:rPr>
              <w:t>2017</w:t>
            </w: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4"/>
        </w:trPr>
        <w:tc>
          <w:tcPr>
            <w:tcW w:w="5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ind w:right="259"/>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660" w:type="dxa"/>
            <w:vAlign w:val="bottom"/>
          </w:tcPr>
          <w:p>
            <w:pPr>
              <w:spacing w:after="0"/>
              <w:rPr>
                <w:sz w:val="12"/>
                <w:szCs w:val="12"/>
                <w:color w:val="auto"/>
              </w:rPr>
            </w:pPr>
          </w:p>
        </w:tc>
        <w:tc>
          <w:tcPr>
            <w:tcW w:w="880" w:type="dxa"/>
            <w:vAlign w:val="bottom"/>
          </w:tcPr>
          <w:p>
            <w:pPr>
              <w:jc w:val="center"/>
              <w:ind w:right="299"/>
              <w:spacing w:after="0" w:line="145" w:lineRule="exact"/>
              <w:rPr>
                <w:sz w:val="20"/>
                <w:szCs w:val="20"/>
                <w:color w:val="auto"/>
              </w:rPr>
            </w:pPr>
            <w:r>
              <w:rPr>
                <w:rFonts w:ascii="Times New Roman" w:cs="Times New Roman" w:eastAsia="Times New Roman" w:hAnsi="Times New Roman"/>
                <w:sz w:val="14"/>
                <w:szCs w:val="14"/>
                <w:b w:val="1"/>
                <w:bCs w:val="1"/>
                <w:color w:val="auto"/>
              </w:rPr>
              <w:t>Fair</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jc w:val="right"/>
              <w:ind w:right="259"/>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60" w:type="dxa"/>
            <w:vAlign w:val="bottom"/>
          </w:tcPr>
          <w:p>
            <w:pPr>
              <w:spacing w:after="0"/>
              <w:rPr>
                <w:sz w:val="12"/>
                <w:szCs w:val="12"/>
                <w:color w:val="auto"/>
              </w:rPr>
            </w:pPr>
          </w:p>
        </w:tc>
        <w:tc>
          <w:tcPr>
            <w:tcW w:w="980" w:type="dxa"/>
            <w:vAlign w:val="bottom"/>
          </w:tcPr>
          <w:p>
            <w:pPr>
              <w:jc w:val="center"/>
              <w:ind w:right="197"/>
              <w:spacing w:after="0" w:line="145" w:lineRule="exact"/>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Pr>
          <w:p>
            <w:pPr>
              <w:spacing w:after="0"/>
              <w:rPr>
                <w:sz w:val="12"/>
                <w:szCs w:val="12"/>
                <w:color w:val="auto"/>
              </w:rPr>
            </w:pPr>
          </w:p>
        </w:tc>
      </w:tr>
      <w:tr>
        <w:trPr>
          <w:trHeight w:val="173"/>
        </w:trPr>
        <w:tc>
          <w:tcPr>
            <w:tcW w:w="5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Pr>
          <w:p>
            <w:pPr>
              <w:spacing w:after="0"/>
              <w:rPr>
                <w:sz w:val="15"/>
                <w:szCs w:val="15"/>
                <w:color w:val="auto"/>
              </w:rPr>
            </w:pPr>
          </w:p>
        </w:tc>
        <w:tc>
          <w:tcPr>
            <w:tcW w:w="11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20" w:type="dxa"/>
            <w:vAlign w:val="bottom"/>
          </w:tcPr>
          <w:p>
            <w:pPr>
              <w:spacing w:after="0"/>
              <w:rPr>
                <w:sz w:val="15"/>
                <w:szCs w:val="15"/>
                <w:color w:val="auto"/>
              </w:rPr>
            </w:pPr>
          </w:p>
        </w:tc>
        <w:tc>
          <w:tcPr>
            <w:tcW w:w="92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Pr>
          <w:p>
            <w:pPr>
              <w:spacing w:after="0"/>
              <w:rPr>
                <w:sz w:val="15"/>
                <w:szCs w:val="15"/>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56"/>
        </w:trPr>
        <w:tc>
          <w:tcPr>
            <w:tcW w:w="54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43"/>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33,153</w:t>
            </w:r>
          </w:p>
        </w:tc>
        <w:tc>
          <w:tcPr>
            <w:tcW w:w="6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33,153</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22,543</w:t>
            </w:r>
          </w:p>
        </w:tc>
        <w:tc>
          <w:tcPr>
            <w:tcW w:w="5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22,543</w:t>
            </w:r>
          </w:p>
        </w:tc>
        <w:tc>
          <w:tcPr>
            <w:tcW w:w="120" w:type="dxa"/>
            <w:vAlign w:val="bottom"/>
            <w:shd w:val="clear" w:color="auto" w:fill="CFF0FC"/>
          </w:tcPr>
          <w:p>
            <w:pPr>
              <w:spacing w:after="0"/>
              <w:rPr>
                <w:sz w:val="21"/>
                <w:szCs w:val="21"/>
                <w:color w:val="auto"/>
              </w:rPr>
            </w:pPr>
          </w:p>
        </w:tc>
      </w:tr>
      <w:tr>
        <w:trPr>
          <w:trHeight w:val="24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10,347</w:t>
            </w:r>
          </w:p>
        </w:tc>
        <w:tc>
          <w:tcPr>
            <w:tcW w:w="6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10,347</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12,155</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12,155</w:t>
            </w:r>
          </w:p>
        </w:tc>
        <w:tc>
          <w:tcPr>
            <w:tcW w:w="120" w:type="dxa"/>
            <w:vAlign w:val="bottom"/>
          </w:tcPr>
          <w:p>
            <w:pPr>
              <w:spacing w:after="0"/>
              <w:rPr>
                <w:sz w:val="21"/>
                <w:szCs w:val="21"/>
                <w:color w:val="auto"/>
              </w:rPr>
            </w:pPr>
          </w:p>
        </w:tc>
      </w:tr>
      <w:tr>
        <w:trPr>
          <w:trHeight w:val="243"/>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6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3,506</w:t>
            </w:r>
          </w:p>
        </w:tc>
        <w:tc>
          <w:tcPr>
            <w:tcW w:w="5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3,506</w:t>
            </w:r>
          </w:p>
        </w:tc>
        <w:tc>
          <w:tcPr>
            <w:tcW w:w="120" w:type="dxa"/>
            <w:vAlign w:val="bottom"/>
            <w:shd w:val="clear" w:color="auto" w:fill="CFF0FC"/>
          </w:tcPr>
          <w:p>
            <w:pPr>
              <w:spacing w:after="0"/>
              <w:rPr>
                <w:sz w:val="21"/>
                <w:szCs w:val="21"/>
                <w:color w:val="auto"/>
              </w:rPr>
            </w:pPr>
          </w:p>
        </w:tc>
      </w:tr>
    </w:tbl>
    <w:p>
      <w:pPr>
        <w:spacing w:after="0" w:line="2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Due to their near-term maturities, the carrying amounts of accounts receivable and accounts payable are considered equivalent to fair value.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Related party transactions:</w:t>
      </w:r>
    </w:p>
    <w:p>
      <w:pPr>
        <w:spacing w:after="0" w:line="121"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18"/>
          <w:szCs w:val="18"/>
          <w:color w:val="auto"/>
        </w:rPr>
        <w:t>From time to time, we may have loans and advances outstanding between us and various related parties pursuant to term and demand notes. We generally enter into these loans and advances for cash management purposes. When we loan funds to related parties, we are generally able to earn a higher rate of return on the loan than we would earn if we invested the funds in other instruments, and when we borrow from related parties, we are generally able to pay a lower rate of interest than we would pay if we had incurred third-party indebtedness. While certain of these loans to affiliates may be of a lesser credit quality than cash equivalent instruments otherwise available to us, we believe we have considered the credit risks in the terms of the applicable loans. In this regard, in August 2016 we entered into an unsecured revolving demand promissory note with Valhi whereby we agreed to loan Valhi up to $40 million. Our loan to Valhi, as amended, bears interest at prime plus 1.00%, payable quarterly, with all principal due on demand, but in any event no earlier than December 31, 2018. The amount of our outstanding loans to Valhi at any time is at our discretion. At June 30, 2017, the outstanding principal balance receivable from Valhi under the promissory note was $39.5 million. Interest income (including unused commitment fees) on our loan to Valhi was $0.4 million and $0.8 million for the second quarter and six months ended June 30, 2017, respectively.</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Recent accounting pronouncements not yet adopted:</w:t>
      </w:r>
    </w:p>
    <w:p>
      <w:pPr>
        <w:spacing w:after="0" w:line="227"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Accounting Standards Update (“ASU”) No. 2014-09,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 (Topic 606)</w:t>
      </w:r>
      <w:r>
        <w:rPr>
          <w:rFonts w:ascii="Times New Roman" w:cs="Times New Roman" w:eastAsia="Times New Roman" w:hAnsi="Times New Roman"/>
          <w:sz w:val="18"/>
          <w:szCs w:val="18"/>
          <w:color w:val="auto"/>
        </w:rPr>
        <w:t>. This standard replaces existing revenue recognition guidance, which in many cases was tailored for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industries, with a uniform accounting standard applicable to all industries and transactions. The new standard, as amended, is currently effective for us beginning with the first quarter of 2018. Entities may elect to adopt ASU No. 2014-09 retrospectively for all periods for all contracts and transactions which occurred during the period (with a few exceptions for practical expediency) or retrospectively with a cumulative effect recognized as of the date of adoption. ASU No. 2014-09 is a fundamental rewriting of existing GAAP with respect to revenue recognition, and we are still evaluating the effect the Standard will have on our Consolidated Financial Statements. We currently expect to adopt the standard in the first quarter of 2018 using the modified retrospective approach to adoption. Our sales generally involve single performance obligations to ship goods pursuant to customer purchase orders without further underlying contracts, and as such we expect adoption of this standard will have minimal effect on our revenues. We are in the process of evaluating the additional disclosure requirements.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9" w:name="page10"/>
    <w:bookmarkEnd w:id="9"/>
    <w:p>
      <w:pPr>
        <w:jc w:val="both"/>
        <w:ind w:firstLine="518"/>
        <w:spacing w:after="0" w:line="254"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which is a comprehensive rewriting of the lease accounting guidance which aims to increase comparability and transparency with regard to lease transactions. The primary change will be the recognition of lease assets for the right-of– use of the underlying asset and lease liabilities for the obligation to make payments by lessees on the balance sheet for leases currently classified as operating leases. The ASU also requires increased qualitative disclosure about leases in addition to quantitative disclosures currently required. Companies are required to use a modified retrospective approach to adoption with a practical expedient which will allow companies to continue to account for existing leases under the prior guidance unless a lease is modified, other than the requirement to recognize the right-of-use asset and lease liability for all operating leases. The changes indicated above will be effective for us beginning in the first quarter of 2019, with early adoption permitted. We have not yet evaluated the effect this ASU will have on our Consolidated Financial Statements, but given the amount of our future minimum payments under non-cancellable operating leases at December 31, 2016 totaling $0.6 million, we do not expect the adoption of this standard to have a material effect on our Consolidated Balance Sheet.</w:t>
      </w:r>
    </w:p>
    <w:p>
      <w:pPr>
        <w:spacing w:after="0" w:line="189"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18"/>
          <w:szCs w:val="18"/>
          <w:color w:val="auto"/>
        </w:rPr>
        <w:t xml:space="preserve">In January 2017, the FASB issued ASU 2017-04, </w:t>
      </w:r>
      <w:r>
        <w:rPr>
          <w:rFonts w:ascii="Times New Roman" w:cs="Times New Roman" w:eastAsia="Times New Roman" w:hAnsi="Times New Roman"/>
          <w:sz w:val="18"/>
          <w:szCs w:val="18"/>
          <w:i w:val="1"/>
          <w:iCs w:val="1"/>
          <w:color w:val="auto"/>
        </w:rPr>
        <w:t>Intangibles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Goodwill and Other (Topic 350) Simplifying the Test for Goodwill Impairment</w:t>
      </w:r>
      <w:r>
        <w:rPr>
          <w:rFonts w:ascii="Times New Roman" w:cs="Times New Roman" w:eastAsia="Times New Roman" w:hAnsi="Times New Roman"/>
          <w:sz w:val="18"/>
          <w:szCs w:val="18"/>
          <w:color w:val="auto"/>
        </w:rPr>
        <w:t>, which aims to simplify the subsequent measurement of goodwill by eliminating Step 2 from the goodwill impairment test. Previously, Step 2 measured a goodwill impairment loss by comparing the implied fair value of a reporting unit’s goodwill with the carrying amount of that goodwill. Instead, under the new ASU, an entity should perform its annual, or interim, goodwill impairment test by comparing the fair value of a reporting unit with its carrying amount, and a goodwill impairment charge would be recognized for the amount by which the carrying amount exceeds the reporting unit’s fair value. In no circumstances would the loss recognized exceed the total amount of goodwill allocated to that reporting unit. The changes indicated above will be effective for us beginning in 2020 (our annual impairment tests are completed in the third quarter), with prospective application required, and early adoption is permitted. We do not believe the application of ASU 2017-04 will have a material effect on our Condensed Consolidated Financial Statements and we plan to early adopt this ASU beginning with our current year goodwill impairment tests.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10" w:name="page11"/>
    <w:bookmarkEnd w:id="10"/>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We are a leading manufacturer of engineered components utilized in a variety of applications and industries. Through our Security Products segment we manufacture mechanical and electronic cabinet locks and other locking mechanisms used in recreational transportation, postal, office and institutional furniture, cabinetry, tool storage and healthcare applications. We also manufacture stainless steel exhaust systems, gauges, throttle controls and trim tabs for the recreational marine and other non-marine industries through our Marine Components segment.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as amended. Statements in this Quarterly Report that are not historical facts are forward-looking in nature and represent management’s beliefs and assumptions based on currently available information. In some cases, you can identify forward-looking statements by the use of words such as “believes,” “intends,” “may,” “should,” “could,” “anticipates,” “expects” or comparable terminology, or by discussions of strategies or trends. Although we believe that the expectations reflected in such forward-looking statements are reasonable, we do not know if these expectations will be correct. Such statements by their nature involve substantial risks and uncertainties that could significantly impact expected results. Actual future results could differ materially from those predicted. The factors that could cause actual future results to differ materially from those described herein are the risks and uncertainties discussed in this Quarterly Report and those described from time to time in our other filings with the SEC and include, but are not limited to, the following:</w:t>
      </w:r>
    </w:p>
    <w:p>
      <w:pPr>
        <w:spacing w:after="0" w:line="77" w:lineRule="exact"/>
        <w:rPr>
          <w:sz w:val="20"/>
          <w:szCs w:val="20"/>
          <w:color w:val="auto"/>
        </w:rPr>
      </w:pPr>
    </w:p>
    <w:p>
      <w:pPr>
        <w:ind w:left="1040" w:hanging="519"/>
        <w:spacing w:after="0"/>
        <w:tabs>
          <w:tab w:leader="none" w:pos="10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demand for our products,</w:t>
      </w:r>
    </w:p>
    <w:p>
      <w:pPr>
        <w:spacing w:after="0" w:line="117"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raw material and other operating costs (such as zinc, brass, aluminum, steel and energy costs) and our ability to pass those costs on to our customers or offset them with reductions in other operating costs,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product competition from low-cost manufacturing sources (such as China),</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pricing and production decisions,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and competitor strategies including substitute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development of new product features,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litigation,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difficulties in integrating future acquisitions,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to sell operating assets other than in the ordinary course of business,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 (such as those requiring emission and discharge standards for existing and new facilities),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outcome of income tax audits, tax settlement initiatives or other tax matters,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or future government regulations (including employee healthcare benefit related regulations),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difficulties in upgrading or implementing new manufacturing and accounting software systems,</w:t>
      </w:r>
    </w:p>
    <w:p>
      <w:pPr>
        <w:spacing w:after="0" w:line="117"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economic and political conditions that introduce instability into the U.S. economy (such as changes in the level of gross domestic product in various regions of the world),</w:t>
      </w:r>
    </w:p>
    <w:p>
      <w:pPr>
        <w:spacing w:after="0" w:line="53"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interruptions (including, but not limited to labor disputes, hazardous chemical leaks, natural disasters, fires, explosions, unscheduled or unplanned downtime, transportation interruptions and cyber-attacks); and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disruption of our business or increases in the cost of doing business resulting from terrorist activities or global conflicts.</w:t>
      </w:r>
    </w:p>
    <w:p>
      <w:pPr>
        <w:spacing w:after="0" w:line="225"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Should one or more of these risks materialize (or the consequences of such development worsen), or should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Operations Overview</w:t>
      </w:r>
    </w:p>
    <w:p>
      <w:pPr>
        <w:spacing w:after="0" w:line="229"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We reported operating income of $4.6 million in the second quarter of 2017 compared to $3.7 million in the same period of 2016. Operating income for the first six months of 2017 was $9.1 million compared to $7.1 million for the comparable period in 2016. The increase in operating income from 2016 to 2017 primarily resulted from higher Security Products sales to existing government customers.</w:t>
      </w:r>
    </w:p>
    <w:p>
      <w:pPr>
        <w:spacing w:after="0" w:line="176"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Our product offerings consist of a significantly large number of products that have a wide variation in selling price and manufacturing cost, which results in certain practical limitations on our ability to quantify the impact of changes in individual product sales quantities and selling prices on our net sales, cost of goods sold and gross profit. In addition, small variations in period-to-period net sales, cost of goods sold and gross profit can result from changes in the relative mix of our products sold.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gridSpan w:val="6"/>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3"/>
        </w:trPr>
        <w:tc>
          <w:tcPr>
            <w:tcW w:w="65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center"/>
              <w:ind w:left="27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56"/>
        </w:trPr>
        <w:tc>
          <w:tcPr>
            <w:tcW w:w="65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3"/>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r>
      <w:tr>
        <w:trPr>
          <w:trHeight w:val="156"/>
        </w:trPr>
        <w:tc>
          <w:tcPr>
            <w:tcW w:w="6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80" w:type="dxa"/>
            <w:vAlign w:val="bottom"/>
            <w:gridSpan w:val="6"/>
          </w:tcPr>
          <w:p>
            <w:pPr>
              <w:jc w:val="center"/>
              <w:ind w:right="68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43"/>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27,107</w:t>
            </w:r>
          </w:p>
        </w:tc>
        <w:tc>
          <w:tcPr>
            <w:tcW w:w="2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30,002</w:t>
            </w:r>
          </w:p>
        </w:tc>
        <w:tc>
          <w:tcPr>
            <w:tcW w:w="3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43"/>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18,621</w:t>
            </w:r>
          </w:p>
        </w:tc>
        <w:tc>
          <w:tcPr>
            <w:tcW w:w="2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20,494</w:t>
            </w:r>
          </w:p>
        </w:tc>
        <w:tc>
          <w:tcPr>
            <w:tcW w:w="3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68.3%</w:t>
            </w:r>
          </w:p>
        </w:tc>
      </w:tr>
      <w:tr>
        <w:trPr>
          <w:trHeight w:val="20"/>
        </w:trPr>
        <w:tc>
          <w:tcPr>
            <w:tcW w:w="65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237"/>
        </w:trPr>
        <w:tc>
          <w:tcPr>
            <w:tcW w:w="6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8,486</w:t>
            </w:r>
          </w:p>
        </w:tc>
        <w:tc>
          <w:tcPr>
            <w:tcW w:w="2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9,508</w:t>
            </w:r>
          </w:p>
        </w:tc>
        <w:tc>
          <w:tcPr>
            <w:tcW w:w="3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31.7%</w:t>
            </w:r>
          </w:p>
        </w:tc>
      </w:tr>
      <w:tr>
        <w:trPr>
          <w:trHeight w:val="243"/>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2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4,907</w:t>
            </w:r>
          </w:p>
        </w:tc>
        <w:tc>
          <w:tcPr>
            <w:tcW w:w="3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16.4%</w:t>
            </w:r>
          </w:p>
        </w:tc>
      </w:tr>
      <w:tr>
        <w:trPr>
          <w:trHeight w:val="20"/>
        </w:trPr>
        <w:tc>
          <w:tcPr>
            <w:tcW w:w="65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237"/>
        </w:trPr>
        <w:tc>
          <w:tcPr>
            <w:tcW w:w="6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2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13.7%</w:t>
            </w: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4,601</w:t>
            </w:r>
          </w:p>
        </w:tc>
        <w:tc>
          <w:tcPr>
            <w:tcW w:w="3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15.3%</w:t>
            </w:r>
          </w:p>
        </w:tc>
      </w:tr>
      <w:tr>
        <w:trPr>
          <w:trHeight w:val="20"/>
        </w:trPr>
        <w:tc>
          <w:tcPr>
            <w:tcW w:w="65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r>
      <w:tr>
        <w:trPr>
          <w:trHeight w:val="374"/>
        </w:trPr>
        <w:tc>
          <w:tcPr>
            <w:tcW w:w="6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4"/>
          </w:tcPr>
          <w:p>
            <w:pPr>
              <w:jc w:val="center"/>
              <w:ind w:left="27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73"/>
        </w:trPr>
        <w:tc>
          <w:tcPr>
            <w:tcW w:w="65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center"/>
              <w:ind w:left="27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56"/>
        </w:trPr>
        <w:tc>
          <w:tcPr>
            <w:tcW w:w="65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3"/>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r>
      <w:tr>
        <w:trPr>
          <w:trHeight w:val="184"/>
        </w:trPr>
        <w:tc>
          <w:tcPr>
            <w:tcW w:w="6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80" w:type="dxa"/>
            <w:vAlign w:val="bottom"/>
            <w:gridSpan w:val="6"/>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15"/>
        </w:trPr>
        <w:tc>
          <w:tcPr>
            <w:tcW w:w="6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3"/>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54,182</w:t>
            </w:r>
          </w:p>
        </w:tc>
        <w:tc>
          <w:tcPr>
            <w:tcW w:w="2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59,950</w:t>
            </w:r>
          </w:p>
        </w:tc>
        <w:tc>
          <w:tcPr>
            <w:tcW w:w="3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43"/>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37,491</w:t>
            </w:r>
          </w:p>
        </w:tc>
        <w:tc>
          <w:tcPr>
            <w:tcW w:w="2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40,756</w:t>
            </w:r>
          </w:p>
        </w:tc>
        <w:tc>
          <w:tcPr>
            <w:tcW w:w="3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68.0%</w:t>
            </w:r>
          </w:p>
        </w:tc>
      </w:tr>
      <w:tr>
        <w:trPr>
          <w:trHeight w:val="20"/>
        </w:trPr>
        <w:tc>
          <w:tcPr>
            <w:tcW w:w="65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237"/>
        </w:trPr>
        <w:tc>
          <w:tcPr>
            <w:tcW w:w="6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16,691</w:t>
            </w:r>
          </w:p>
        </w:tc>
        <w:tc>
          <w:tcPr>
            <w:tcW w:w="2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19,194</w:t>
            </w:r>
          </w:p>
        </w:tc>
        <w:tc>
          <w:tcPr>
            <w:tcW w:w="3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32.0%</w:t>
            </w:r>
          </w:p>
        </w:tc>
      </w:tr>
      <w:tr>
        <w:trPr>
          <w:trHeight w:val="243"/>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9,621</w:t>
            </w:r>
          </w:p>
        </w:tc>
        <w:tc>
          <w:tcPr>
            <w:tcW w:w="2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10,068</w:t>
            </w:r>
          </w:p>
        </w:tc>
        <w:tc>
          <w:tcPr>
            <w:tcW w:w="3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16.8%</w:t>
            </w:r>
          </w:p>
        </w:tc>
      </w:tr>
      <w:tr>
        <w:trPr>
          <w:trHeight w:val="20"/>
        </w:trPr>
        <w:tc>
          <w:tcPr>
            <w:tcW w:w="65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237"/>
        </w:trPr>
        <w:tc>
          <w:tcPr>
            <w:tcW w:w="6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7,070</w:t>
            </w:r>
          </w:p>
        </w:tc>
        <w:tc>
          <w:tcPr>
            <w:tcW w:w="2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13.0%</w:t>
            </w: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9,126</w:t>
            </w:r>
          </w:p>
        </w:tc>
        <w:tc>
          <w:tcPr>
            <w:tcW w:w="3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15.2%</w:t>
            </w:r>
          </w:p>
        </w:tc>
      </w:tr>
      <w:tr>
        <w:trPr>
          <w:trHeight w:val="20"/>
        </w:trPr>
        <w:tc>
          <w:tcPr>
            <w:tcW w:w="65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r>
    </w:tbl>
    <w:p>
      <w:pPr>
        <w:spacing w:after="0" w:line="196"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increased $2.9 million in the second quarter of 2017 and $5.8 million in the first six months of 2017 compared to the respective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of 2016, primarily due to higher Security Products sales volumes to existing government security customers, partially offset by a decrease in sales of security products to an original equipment manufacturer of recreational transportation products. Relative changes in selling prices did not have a material impact on net sales comparisons.</w:t>
      </w:r>
    </w:p>
    <w:p>
      <w:pPr>
        <w:spacing w:after="0" w:line="180" w:lineRule="exact"/>
        <w:rPr>
          <w:sz w:val="20"/>
          <w:szCs w:val="20"/>
          <w:color w:val="auto"/>
        </w:rPr>
      </w:pPr>
    </w:p>
    <w:p>
      <w:pPr>
        <w:jc w:val="both"/>
        <w:ind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Cost of goods sold and gross profit. </w:t>
      </w:r>
      <w:r>
        <w:rPr>
          <w:rFonts w:ascii="Times New Roman" w:cs="Times New Roman" w:eastAsia="Times New Roman" w:hAnsi="Times New Roman"/>
          <w:sz w:val="18"/>
          <w:szCs w:val="18"/>
          <w:color w:val="auto"/>
        </w:rPr>
        <w:t>Cost of goods sold and resulting gross profit as a percentage of sales in the second quarter of 2017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comparable to the same period in 2016. Cost of goods sold as a percentage of sales for the first six months of 2017 was approximately 1% less than 2016. As a result, gross profit increased over the same period. The higher gross profit percentage for the most recent six month period is primarily due to manufacturing efficiencies facilitated by the higher production volumes at Security Products. Gross profit dollars increased for both the quarter and year-to-date periods due to higher sales at Security Products.</w:t>
      </w:r>
    </w:p>
    <w:p>
      <w:pPr>
        <w:spacing w:after="0" w:line="180" w:lineRule="exact"/>
        <w:rPr>
          <w:sz w:val="20"/>
          <w:szCs w:val="20"/>
          <w:color w:val="auto"/>
        </w:rPr>
      </w:pPr>
    </w:p>
    <w:p>
      <w:pPr>
        <w:jc w:val="both"/>
        <w:ind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costs and expenses. </w:t>
      </w:r>
      <w:r>
        <w:rPr>
          <w:rFonts w:ascii="Times New Roman" w:cs="Times New Roman" w:eastAsia="Times New Roman" w:hAnsi="Times New Roman"/>
          <w:sz w:val="18"/>
          <w:szCs w:val="18"/>
          <w:color w:val="auto"/>
        </w:rPr>
        <w:t>Operating costs and expenses consist primarily of sales and administrative-related personnel costs, sales commissions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advertising expenses, as well as gains and losses on plant, property and equipment. Operating costs and expenses for the second quarter and first six months of 2017 were comparable to the same periods in 2016.</w:t>
      </w:r>
    </w:p>
    <w:p>
      <w:pPr>
        <w:spacing w:after="0" w:line="174" w:lineRule="exact"/>
        <w:rPr>
          <w:sz w:val="20"/>
          <w:szCs w:val="20"/>
          <w:color w:val="auto"/>
        </w:rPr>
      </w:pPr>
    </w:p>
    <w:p>
      <w:pPr>
        <w:jc w:val="both"/>
        <w:ind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income. </w:t>
      </w:r>
      <w:r>
        <w:rPr>
          <w:rFonts w:ascii="Times New Roman" w:cs="Times New Roman" w:eastAsia="Times New Roman" w:hAnsi="Times New Roman"/>
          <w:sz w:val="18"/>
          <w:szCs w:val="18"/>
          <w:color w:val="auto"/>
        </w:rPr>
        <w:t>As a percentage of net sales, operating income for the second quarter and first six months of 2017 increased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of 2016 and was primarily impacted by the factors impacting cost of goods sold, gross margin and operating costs discussed above.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12" w:name="page13"/>
    <w:bookmarkEnd w:id="12"/>
    <w:p>
      <w:pPr>
        <w:jc w:val="both"/>
        <w:ind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A tabular reconciliation of our actual tax provision to the U.S. federal statutory income tax rate is included in Note 6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Condensed Consolidated Financial Statements. Our operations are wholly within the U.S. and therefore our effective income tax rate is primarily reflective of the U.S. federal statutory rate.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key performance indicator for our segments is operating income.</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6"/>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9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center"/>
              <w:ind w:left="41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4"/>
          </w:tcPr>
          <w:p>
            <w:pPr>
              <w:jc w:val="center"/>
              <w:ind w:left="41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39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2017</w:t>
            </w:r>
          </w:p>
        </w:tc>
        <w:tc>
          <w:tcPr>
            <w:tcW w:w="3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Change</w:t>
            </w: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237"/>
        </w:trPr>
        <w:tc>
          <w:tcPr>
            <w:tcW w:w="39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gridSpan w:val="4"/>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gridSpan w:val="5"/>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Security Products</w:t>
            </w: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23,195</w:t>
            </w:r>
          </w:p>
        </w:tc>
        <w:tc>
          <w:tcPr>
            <w:tcW w:w="260" w:type="dxa"/>
            <w:vAlign w:val="bottom"/>
          </w:tcPr>
          <w:p>
            <w:pPr>
              <w:spacing w:after="0"/>
              <w:rPr>
                <w:sz w:val="21"/>
                <w:szCs w:val="21"/>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26,039</w:t>
            </w:r>
          </w:p>
        </w:tc>
        <w:tc>
          <w:tcPr>
            <w:tcW w:w="240" w:type="dxa"/>
            <w:vAlign w:val="bottom"/>
          </w:tcPr>
          <w:p>
            <w:pPr>
              <w:spacing w:after="0"/>
              <w:rPr>
                <w:sz w:val="21"/>
                <w:szCs w:val="21"/>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46,609</w:t>
            </w:r>
          </w:p>
        </w:tc>
        <w:tc>
          <w:tcPr>
            <w:tcW w:w="200" w:type="dxa"/>
            <w:vAlign w:val="bottom"/>
          </w:tcPr>
          <w:p>
            <w:pPr>
              <w:spacing w:after="0"/>
              <w:rPr>
                <w:sz w:val="21"/>
                <w:szCs w:val="21"/>
                <w:color w:val="auto"/>
              </w:rPr>
            </w:pPr>
          </w:p>
        </w:tc>
        <w:tc>
          <w:tcPr>
            <w:tcW w:w="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52,049</w:t>
            </w:r>
          </w:p>
        </w:tc>
        <w:tc>
          <w:tcPr>
            <w:tcW w:w="30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39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Marine Components</w:t>
            </w:r>
          </w:p>
        </w:tc>
        <w:tc>
          <w:tcPr>
            <w:tcW w:w="100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26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3,963</w:t>
            </w:r>
          </w:p>
        </w:tc>
        <w:tc>
          <w:tcPr>
            <w:tcW w:w="240" w:type="dxa"/>
            <w:vAlign w:val="bottom"/>
            <w:shd w:val="clear" w:color="auto" w:fill="CFF0FC"/>
          </w:tcPr>
          <w:p>
            <w:pPr>
              <w:spacing w:after="0"/>
              <w:rPr>
                <w:sz w:val="21"/>
                <w:szCs w:val="21"/>
                <w:color w:val="auto"/>
              </w:rPr>
            </w:pPr>
          </w:p>
        </w:tc>
        <w:tc>
          <w:tcPr>
            <w:tcW w:w="8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7,573</w:t>
            </w: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7,901</w:t>
            </w:r>
          </w:p>
        </w:tc>
        <w:tc>
          <w:tcPr>
            <w:tcW w:w="30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7"/>
        </w:trPr>
        <w:tc>
          <w:tcPr>
            <w:tcW w:w="39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net sales</w:t>
            </w: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27,107</w:t>
            </w:r>
          </w:p>
        </w:tc>
        <w:tc>
          <w:tcPr>
            <w:tcW w:w="260" w:type="dxa"/>
            <w:vAlign w:val="bottom"/>
          </w:tcPr>
          <w:p>
            <w:pPr>
              <w:spacing w:after="0"/>
              <w:rPr>
                <w:sz w:val="24"/>
                <w:szCs w:val="24"/>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30,002</w:t>
            </w:r>
          </w:p>
        </w:tc>
        <w:tc>
          <w:tcPr>
            <w:tcW w:w="240" w:type="dxa"/>
            <w:vAlign w:val="bottom"/>
          </w:tcPr>
          <w:p>
            <w:pPr>
              <w:spacing w:after="0"/>
              <w:rPr>
                <w:sz w:val="24"/>
                <w:szCs w:val="24"/>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54,182</w:t>
            </w:r>
          </w:p>
        </w:tc>
        <w:tc>
          <w:tcPr>
            <w:tcW w:w="200" w:type="dxa"/>
            <w:vAlign w:val="bottom"/>
          </w:tcPr>
          <w:p>
            <w:pPr>
              <w:spacing w:after="0"/>
              <w:rPr>
                <w:sz w:val="24"/>
                <w:szCs w:val="24"/>
                <w:color w:val="auto"/>
              </w:rPr>
            </w:pPr>
          </w:p>
        </w:tc>
        <w:tc>
          <w:tcPr>
            <w:tcW w:w="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59,950</w:t>
            </w:r>
          </w:p>
        </w:tc>
        <w:tc>
          <w:tcPr>
            <w:tcW w:w="30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4"/>
        </w:trPr>
        <w:tc>
          <w:tcPr>
            <w:tcW w:w="3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Security Products</w:t>
            </w: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7,383</w:t>
            </w:r>
          </w:p>
        </w:tc>
        <w:tc>
          <w:tcPr>
            <w:tcW w:w="260" w:type="dxa"/>
            <w:vAlign w:val="bottom"/>
          </w:tcPr>
          <w:p>
            <w:pPr>
              <w:spacing w:after="0"/>
              <w:rPr>
                <w:sz w:val="21"/>
                <w:szCs w:val="21"/>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8,439</w:t>
            </w:r>
          </w:p>
        </w:tc>
        <w:tc>
          <w:tcPr>
            <w:tcW w:w="240" w:type="dxa"/>
            <w:vAlign w:val="bottom"/>
          </w:tcPr>
          <w:p>
            <w:pPr>
              <w:spacing w:after="0"/>
              <w:rPr>
                <w:sz w:val="21"/>
                <w:szCs w:val="21"/>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14,669</w:t>
            </w:r>
          </w:p>
        </w:tc>
        <w:tc>
          <w:tcPr>
            <w:tcW w:w="200" w:type="dxa"/>
            <w:vAlign w:val="bottom"/>
          </w:tcPr>
          <w:p>
            <w:pPr>
              <w:spacing w:after="0"/>
              <w:rPr>
                <w:sz w:val="21"/>
                <w:szCs w:val="21"/>
                <w:color w:val="auto"/>
              </w:rPr>
            </w:pPr>
          </w:p>
        </w:tc>
        <w:tc>
          <w:tcPr>
            <w:tcW w:w="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17,164</w:t>
            </w:r>
          </w:p>
        </w:tc>
        <w:tc>
          <w:tcPr>
            <w:tcW w:w="30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39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Marine Components</w:t>
            </w:r>
          </w:p>
        </w:tc>
        <w:tc>
          <w:tcPr>
            <w:tcW w:w="100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26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1,069</w:t>
            </w:r>
          </w:p>
        </w:tc>
        <w:tc>
          <w:tcPr>
            <w:tcW w:w="240" w:type="dxa"/>
            <w:vAlign w:val="bottom"/>
            <w:shd w:val="clear" w:color="auto" w:fill="CFF0FC"/>
          </w:tcPr>
          <w:p>
            <w:pPr>
              <w:spacing w:after="0"/>
              <w:rPr>
                <w:sz w:val="21"/>
                <w:szCs w:val="21"/>
                <w:color w:val="auto"/>
              </w:rPr>
            </w:pPr>
          </w:p>
        </w:tc>
        <w:tc>
          <w:tcPr>
            <w:tcW w:w="8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2,030</w:t>
            </w:r>
          </w:p>
        </w:tc>
        <w:tc>
          <w:tcPr>
            <w:tcW w:w="30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39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gross profit</w:t>
            </w: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8,486</w:t>
            </w:r>
          </w:p>
        </w:tc>
        <w:tc>
          <w:tcPr>
            <w:tcW w:w="260" w:type="dxa"/>
            <w:vAlign w:val="bottom"/>
          </w:tcPr>
          <w:p>
            <w:pPr>
              <w:spacing w:after="0"/>
              <w:rPr>
                <w:sz w:val="24"/>
                <w:szCs w:val="24"/>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9,508</w:t>
            </w:r>
          </w:p>
        </w:tc>
        <w:tc>
          <w:tcPr>
            <w:tcW w:w="240" w:type="dxa"/>
            <w:vAlign w:val="bottom"/>
          </w:tcPr>
          <w:p>
            <w:pPr>
              <w:spacing w:after="0"/>
              <w:rPr>
                <w:sz w:val="24"/>
                <w:szCs w:val="24"/>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16,691</w:t>
            </w:r>
          </w:p>
        </w:tc>
        <w:tc>
          <w:tcPr>
            <w:tcW w:w="200" w:type="dxa"/>
            <w:vAlign w:val="bottom"/>
          </w:tcPr>
          <w:p>
            <w:pPr>
              <w:spacing w:after="0"/>
              <w:rPr>
                <w:sz w:val="24"/>
                <w:szCs w:val="24"/>
                <w:color w:val="auto"/>
              </w:rPr>
            </w:pPr>
          </w:p>
        </w:tc>
        <w:tc>
          <w:tcPr>
            <w:tcW w:w="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19,194</w:t>
            </w:r>
          </w:p>
        </w:tc>
        <w:tc>
          <w:tcPr>
            <w:tcW w:w="30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4"/>
        </w:trPr>
        <w:tc>
          <w:tcPr>
            <w:tcW w:w="3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Security Products</w:t>
            </w: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260" w:type="dxa"/>
            <w:vAlign w:val="bottom"/>
          </w:tcPr>
          <w:p>
            <w:pPr>
              <w:spacing w:after="0"/>
              <w:rPr>
                <w:sz w:val="21"/>
                <w:szCs w:val="21"/>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5,361</w:t>
            </w:r>
          </w:p>
        </w:tc>
        <w:tc>
          <w:tcPr>
            <w:tcW w:w="240" w:type="dxa"/>
            <w:vAlign w:val="bottom"/>
          </w:tcPr>
          <w:p>
            <w:pPr>
              <w:spacing w:after="0"/>
              <w:rPr>
                <w:sz w:val="21"/>
                <w:szCs w:val="21"/>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9,256</w:t>
            </w:r>
          </w:p>
        </w:tc>
        <w:tc>
          <w:tcPr>
            <w:tcW w:w="200" w:type="dxa"/>
            <w:vAlign w:val="bottom"/>
          </w:tcPr>
          <w:p>
            <w:pPr>
              <w:spacing w:after="0"/>
              <w:rPr>
                <w:sz w:val="21"/>
                <w:szCs w:val="21"/>
                <w:color w:val="auto"/>
              </w:rPr>
            </w:pPr>
          </w:p>
        </w:tc>
        <w:tc>
          <w:tcPr>
            <w:tcW w:w="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11,053</w:t>
            </w:r>
          </w:p>
        </w:tc>
        <w:tc>
          <w:tcPr>
            <w:tcW w:w="30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39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Marine Components</w:t>
            </w:r>
          </w:p>
        </w:tc>
        <w:tc>
          <w:tcPr>
            <w:tcW w:w="10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495</w:t>
            </w:r>
          </w:p>
        </w:tc>
        <w:tc>
          <w:tcPr>
            <w:tcW w:w="240" w:type="dxa"/>
            <w:vAlign w:val="bottom"/>
            <w:shd w:val="clear" w:color="auto" w:fill="CFF0FC"/>
          </w:tcPr>
          <w:p>
            <w:pPr>
              <w:spacing w:after="0"/>
              <w:rPr>
                <w:sz w:val="21"/>
                <w:szCs w:val="21"/>
                <w:color w:val="auto"/>
              </w:rPr>
            </w:pPr>
          </w:p>
        </w:tc>
        <w:tc>
          <w:tcPr>
            <w:tcW w:w="8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866</w:t>
            </w:r>
          </w:p>
        </w:tc>
        <w:tc>
          <w:tcPr>
            <w:tcW w:w="30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3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Corporate operating expenses</w:t>
            </w: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(1,623)</w:t>
            </w:r>
          </w:p>
        </w:tc>
        <w:tc>
          <w:tcPr>
            <w:tcW w:w="22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(1,255)</w:t>
            </w: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(3,075)</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(2,793)</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7"/>
        </w:trPr>
        <w:tc>
          <w:tcPr>
            <w:tcW w:w="3960" w:type="dxa"/>
            <w:vAlign w:val="bottom"/>
            <w:tcBorders>
              <w:top w:val="single" w:sz="8" w:color="CFF0FC"/>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operating income</w:t>
            </w:r>
          </w:p>
        </w:tc>
        <w:tc>
          <w:tcPr>
            <w:tcW w:w="1000" w:type="dxa"/>
            <w:vAlign w:val="bottom"/>
            <w:tcBorders>
              <w:top w:val="single" w:sz="8" w:color="CFF0FC"/>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4,601</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860" w:type="dxa"/>
            <w:vAlign w:val="bottom"/>
            <w:tcBorders>
              <w:top w:val="single" w:sz="8" w:color="CFF0FC"/>
              <w:bottom w:val="single" w:sz="8" w:color="CFF0FC"/>
            </w:tcBorders>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7,070</w:t>
            </w: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4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9,126</w:t>
            </w:r>
          </w:p>
        </w:tc>
        <w:tc>
          <w:tcPr>
            <w:tcW w:w="300" w:type="dxa"/>
            <w:vAlign w:val="bottom"/>
            <w:tcBorders>
              <w:top w:val="single" w:sz="8" w:color="CFF0FC"/>
              <w:bottom w:val="single" w:sz="8" w:color="CFF0FC"/>
            </w:tcBorders>
            <w:shd w:val="clear" w:color="auto" w:fill="CFF0FC"/>
          </w:tcPr>
          <w:p>
            <w:pPr>
              <w:spacing w:after="0"/>
              <w:rPr>
                <w:sz w:val="20"/>
                <w:szCs w:val="20"/>
                <w:color w:val="auto"/>
              </w:rPr>
            </w:pPr>
          </w:p>
        </w:tc>
        <w:tc>
          <w:tcPr>
            <w:tcW w:w="760" w:type="dxa"/>
            <w:vAlign w:val="bottom"/>
            <w:tcBorders>
              <w:top w:val="single" w:sz="8" w:color="CFF0FC"/>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Gross profit margin:</w:t>
            </w:r>
          </w:p>
        </w:tc>
        <w:tc>
          <w:tcPr>
            <w:tcW w:w="1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96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Security Products</w:t>
            </w:r>
          </w:p>
        </w:tc>
        <w:tc>
          <w:tcPr>
            <w:tcW w:w="10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31.8%</w:t>
            </w:r>
          </w:p>
        </w:tc>
        <w:tc>
          <w:tcPr>
            <w:tcW w:w="2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32.4%</w:t>
            </w:r>
          </w:p>
        </w:tc>
        <w:tc>
          <w:tcPr>
            <w:tcW w:w="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31.5%</w:t>
            </w: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33.0%</w:t>
            </w:r>
          </w:p>
        </w:tc>
        <w:tc>
          <w:tcPr>
            <w:tcW w:w="5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Marine Components</w:t>
            </w: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28.2%</w:t>
            </w:r>
          </w:p>
        </w:tc>
        <w:tc>
          <w:tcPr>
            <w:tcW w:w="22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27.0%</w:t>
            </w: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26.7%</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25.7%</w:t>
            </w: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gross profit margin</w:t>
            </w:r>
          </w:p>
        </w:tc>
        <w:tc>
          <w:tcPr>
            <w:tcW w:w="10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31.3%</w:t>
            </w:r>
          </w:p>
        </w:tc>
        <w:tc>
          <w:tcPr>
            <w:tcW w:w="2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31.7%</w:t>
            </w:r>
          </w:p>
        </w:tc>
        <w:tc>
          <w:tcPr>
            <w:tcW w:w="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30.8%</w:t>
            </w: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32.0%</w:t>
            </w:r>
          </w:p>
        </w:tc>
        <w:tc>
          <w:tcPr>
            <w:tcW w:w="5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margin:</w:t>
            </w: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Security Products</w:t>
            </w:r>
          </w:p>
        </w:tc>
        <w:tc>
          <w:tcPr>
            <w:tcW w:w="10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20.6%</w:t>
            </w:r>
          </w:p>
        </w:tc>
        <w:tc>
          <w:tcPr>
            <w:tcW w:w="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19.9%</w:t>
            </w: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21.2%</w:t>
            </w:r>
          </w:p>
        </w:tc>
        <w:tc>
          <w:tcPr>
            <w:tcW w:w="5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Marine Components</w:t>
            </w: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12.5%</w:t>
            </w: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11.0%</w:t>
            </w: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operating income margin</w:t>
            </w:r>
          </w:p>
        </w:tc>
        <w:tc>
          <w:tcPr>
            <w:tcW w:w="10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15.3%</w:t>
            </w:r>
          </w:p>
        </w:tc>
        <w:tc>
          <w:tcPr>
            <w:tcW w:w="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13.0%</w:t>
            </w: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15.2%</w:t>
            </w:r>
          </w:p>
        </w:tc>
        <w:tc>
          <w:tcPr>
            <w:tcW w:w="5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Security Products</w:t>
      </w:r>
      <w:r>
        <w:rPr>
          <w:rFonts w:ascii="Times New Roman" w:cs="Times New Roman" w:eastAsia="Times New Roman" w:hAnsi="Times New Roman"/>
          <w:sz w:val="18"/>
          <w:szCs w:val="18"/>
          <w:color w:val="auto"/>
        </w:rPr>
        <w:t>. Security Products net sales increased 12% in each of the second quarter and first six months of 2017 compared to the same periods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last year. The increase in sales is primarily due to approximately $3.2 million and $6.3 million for the second quarter and six month periods, respectively, in higher sales volumes to existing government security customers, partially offset by decreases of approximately $0.9 million and $1.7 million for the second quarter and six month periods, respectively, in sales to a customer serving the recreational transportation market.</w:t>
      </w:r>
    </w:p>
    <w:p>
      <w:pPr>
        <w:spacing w:after="0" w:line="182"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Gross profit margin and operating income as a percentage of sales for the second quarter of 2017 were comparable to the same period in the prior year. Gross profit margin and operating income as a percentage of sales for the first six months of 2017 increased compared to the same period in 2016 as a result of manufacturing efficiencies, principally in the first quarter of 2017, facilitated by higher production volumes.</w:t>
      </w:r>
    </w:p>
    <w:p>
      <w:pPr>
        <w:spacing w:after="0" w:line="174" w:lineRule="exact"/>
        <w:rPr>
          <w:sz w:val="20"/>
          <w:szCs w:val="20"/>
          <w:color w:val="auto"/>
        </w:rPr>
      </w:pPr>
    </w:p>
    <w:p>
      <w:pPr>
        <w:jc w:val="both"/>
        <w:ind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Marine Components</w:t>
      </w:r>
      <w:r>
        <w:rPr>
          <w:rFonts w:ascii="Times New Roman" w:cs="Times New Roman" w:eastAsia="Times New Roman" w:hAnsi="Times New Roman"/>
          <w:sz w:val="18"/>
          <w:szCs w:val="18"/>
          <w:color w:val="auto"/>
        </w:rPr>
        <w:t>. Marine Components net sales increased 1% and 4% in the second quarter and first six months of 2017, respectively, as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same periods last year. The increase in sales for the first six months of 2017 reflects generally improved demand for products sold to various markets. Gross profit margin and operating income as a percentage of net sales decreased in the second quarter and first six months of 2017 compared to the same periods last year due to a combination of factors, including customer and product mix as well as manufacturing inefficiencies resulting from temporary personnel turnover in key departments.</w:t>
      </w:r>
    </w:p>
    <w:p>
      <w:pPr>
        <w:spacing w:after="0" w:line="72"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Outlook. </w:t>
      </w:r>
      <w:r>
        <w:rPr>
          <w:rFonts w:ascii="Times New Roman" w:cs="Times New Roman" w:eastAsia="Times New Roman" w:hAnsi="Times New Roman"/>
          <w:sz w:val="18"/>
          <w:szCs w:val="18"/>
          <w:color w:val="auto"/>
        </w:rPr>
        <w:t>Sales for the first half of 2017 reflect continued strong demand for our products, particularly high-security applications for our existing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customers, partially offset by lower security product sales to the transportation market, where a significant customer of the segment continues to experience weakened sales volumes. While we expect government security sales to moderate in the second half of 2017 and anticipate continued softness in transportation sales, full year sales of security products for 2017 should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13" w:name="page14"/>
    <w:bookmarkEnd w:id="13"/>
    <w:p>
      <w:pPr>
        <w:jc w:val="both"/>
        <w:spacing w:after="0" w:line="256" w:lineRule="auto"/>
        <w:rPr>
          <w:sz w:val="20"/>
          <w:szCs w:val="20"/>
          <w:color w:val="auto"/>
        </w:rPr>
      </w:pPr>
      <w:r>
        <w:rPr>
          <w:rFonts w:ascii="Times New Roman" w:cs="Times New Roman" w:eastAsia="Times New Roman" w:hAnsi="Times New Roman"/>
          <w:sz w:val="18"/>
          <w:szCs w:val="18"/>
          <w:color w:val="auto"/>
        </w:rPr>
        <w:t>meet or exceed 2016 levels. Similarly, we expect 2017 sales of marine products to meet or exceed 2016, as our growing Marine Components segment continues to benefit from innovation and diversification in our product offerings to the recreational boat market. As in prior periods, we will continue to monitor general economic conditions and sales order rates and respond to fluctuations in customer demand through continuous evaluation of staffing levels and consistent execution of our lean manufacturing and cost improvement initiatives. Additionally, we continue to seek opportunities to gain market share in markets we currently serve, to expand into new markets and to develop new product features in order to mitigate the impact of changes in demand as well as broaden our sales base.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Consolidated cash flows </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Operating activities</w:t>
      </w:r>
      <w:r>
        <w:rPr>
          <w:rFonts w:ascii="Times New Roman" w:cs="Times New Roman" w:eastAsia="Times New Roman" w:hAnsi="Times New Roman"/>
          <w:sz w:val="18"/>
          <w:szCs w:val="18"/>
          <w:color w:val="auto"/>
        </w:rPr>
        <w:t>. Trends in cash flows from operating activities, excluding changes in assets and liabilities have generally been similar to the trends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operating earnings. Changes in assets and liabilities result primarily from the timing of production, sales and purchases. Changes in assets and liabilities generally tend to even out over time. However, period-to-period relative changes in assets and liabilities can significantly affect the comparability of cash flows from operating activities.</w:t>
      </w:r>
    </w:p>
    <w:p>
      <w:pPr>
        <w:spacing w:after="0" w:line="142"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for the first six months of 2017 increased by $2.5 million as compared to the first six months of 2016. The increase is primarily due to the net effects of:</w:t>
      </w:r>
    </w:p>
    <w:p>
      <w:pPr>
        <w:spacing w:after="0" w:line="54" w:lineRule="exact"/>
        <w:rPr>
          <w:sz w:val="20"/>
          <w:szCs w:val="20"/>
          <w:color w:val="auto"/>
        </w:rPr>
      </w:pPr>
    </w:p>
    <w:p>
      <w:pPr>
        <w:ind w:left="1040" w:hanging="384"/>
        <w:spacing w:after="0"/>
        <w:tabs>
          <w:tab w:leader="none" w:pos="10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positive impact of higher operating income in 2017 of $2.1 million;</w:t>
      </w:r>
    </w:p>
    <w:p>
      <w:pPr>
        <w:spacing w:after="0" w:line="117" w:lineRule="exact"/>
        <w:rPr>
          <w:rFonts w:ascii="Times New Roman" w:cs="Times New Roman" w:eastAsia="Times New Roman" w:hAnsi="Times New Roman"/>
          <w:sz w:val="18"/>
          <w:szCs w:val="18"/>
          <w:color w:val="auto"/>
        </w:rPr>
      </w:pPr>
    </w:p>
    <w:p>
      <w:pPr>
        <w:ind w:left="1040" w:hanging="384"/>
        <w:spacing w:after="0" w:line="282" w:lineRule="auto"/>
        <w:tabs>
          <w:tab w:leader="none" w:pos="10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positive impact of lower net cash used by relative changes in our inventories, receivables, prepaids, payables and non-tax related accruals attributable to our operations of approximately $1.2 million in 2017;</w:t>
      </w:r>
    </w:p>
    <w:p>
      <w:pPr>
        <w:spacing w:after="0" w:line="53"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positive impact of higher interest income received of $0.7 million in 2017; and</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negative impact of higher cash paid for taxes of $1.4 million in 2017, due to higher earnings in 2017.</w:t>
      </w:r>
    </w:p>
    <w:p>
      <w:pPr>
        <w:spacing w:after="0" w:line="198"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Relative changes in working capital can have a significant effect on cash flows from operating activities. As shown below, the change in our average days sales outstanding from December 31, 2016 to June 30, 2017 varied by segment. Generally, we expect our average days sales outstanding to increase from December to June as the result of a seasonal increase in sales during the second quarter as compared to the fourth quarter. Overall, our June 30, 2017 days sales outstanding compared to December 31, 2016 is in line with our expectations. For comparative purposes, we have provided December 31, 2015 and June 30, 2016 numbers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60" w:type="dxa"/>
            <w:vAlign w:val="bottom"/>
            <w:gridSpan w:val="2"/>
          </w:tcPr>
          <w:p>
            <w:pPr>
              <w:ind w:left="1320"/>
              <w:spacing w:after="0"/>
              <w:rPr>
                <w:sz w:val="20"/>
                <w:szCs w:val="20"/>
                <w:color w:val="auto"/>
              </w:rPr>
            </w:pPr>
            <w:r>
              <w:rPr>
                <w:rFonts w:ascii="Times New Roman" w:cs="Times New Roman" w:eastAsia="Times New Roman" w:hAnsi="Times New Roman"/>
                <w:sz w:val="14"/>
                <w:szCs w:val="14"/>
                <w:b w:val="1"/>
                <w:bCs w:val="1"/>
                <w:color w:val="auto"/>
              </w:rPr>
              <w:t>Days Sales Outstanding:</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2017</w:t>
            </w:r>
          </w:p>
        </w:tc>
      </w:tr>
      <w:tr>
        <w:trPr>
          <w:trHeight w:val="210"/>
        </w:trPr>
        <w:tc>
          <w:tcPr>
            <w:tcW w:w="4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Security Products</w:t>
            </w:r>
          </w:p>
        </w:tc>
        <w:tc>
          <w:tcPr>
            <w:tcW w:w="140" w:type="dxa"/>
            <w:vAlign w:val="bottom"/>
            <w:tcBorders>
              <w:top w:val="single" w:sz="8" w:color="CFF0FC"/>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32 Days</w:t>
            </w:r>
          </w:p>
        </w:tc>
        <w:tc>
          <w:tcPr>
            <w:tcW w:w="120" w:type="dxa"/>
            <w:vAlign w:val="bottom"/>
            <w:tcBorders>
              <w:top w:val="single" w:sz="8" w:color="CFF0FC"/>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43 Days</w:t>
            </w:r>
          </w:p>
        </w:tc>
        <w:tc>
          <w:tcPr>
            <w:tcW w:w="100" w:type="dxa"/>
            <w:vAlign w:val="bottom"/>
            <w:tcBorders>
              <w:top w:val="single" w:sz="8" w:color="CFF0FC"/>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36 Days</w:t>
            </w:r>
          </w:p>
        </w:tc>
        <w:tc>
          <w:tcPr>
            <w:tcW w:w="100" w:type="dxa"/>
            <w:vAlign w:val="bottom"/>
            <w:tcBorders>
              <w:top w:val="single" w:sz="8" w:color="CFF0FC"/>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38 Days</w:t>
            </w: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Marine Components</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26 Days</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33 Days</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33 Days</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 Days</w:t>
            </w:r>
          </w:p>
        </w:tc>
      </w:tr>
      <w:tr>
        <w:trPr>
          <w:trHeight w:val="216"/>
        </w:trPr>
        <w:tc>
          <w:tcPr>
            <w:tcW w:w="4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Consolidated CompX</w:t>
            </w:r>
          </w:p>
        </w:tc>
        <w:tc>
          <w:tcPr>
            <w:tcW w:w="18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rPr>
              <w:t>31 Days</w:t>
            </w:r>
          </w:p>
        </w:tc>
        <w:tc>
          <w:tcPr>
            <w:tcW w:w="18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7"/>
              </w:rPr>
              <w:t>42 Days</w:t>
            </w:r>
          </w:p>
        </w:tc>
        <w:tc>
          <w:tcPr>
            <w:tcW w:w="18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36 Days</w:t>
            </w: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37 Days</w:t>
            </w:r>
          </w:p>
        </w:tc>
      </w:tr>
    </w:tbl>
    <w:p>
      <w:pPr>
        <w:spacing w:after="0" w:line="157"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As expected, our total average number of days in inventory decreased from December 31, 2016 to June 30, 2017 primarily as a result of the seasonal increase in sales during the second quarter 2017 as compared to the fourth quarter of 2016. The variability in days in inventory among our segments primarily relates to the differences in the complexity of the production processes and therefore the length of time it takes to produce end-products. For comparative purposes, we have provided December 31, 2015 and June 30, 2016 numbers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60" w:type="dxa"/>
            <w:vAlign w:val="bottom"/>
            <w:gridSpan w:val="2"/>
          </w:tcPr>
          <w:p>
            <w:pPr>
              <w:ind w:left="1500"/>
              <w:spacing w:after="0"/>
              <w:rPr>
                <w:sz w:val="20"/>
                <w:szCs w:val="20"/>
                <w:color w:val="auto"/>
              </w:rPr>
            </w:pPr>
            <w:r>
              <w:rPr>
                <w:rFonts w:ascii="Times New Roman" w:cs="Times New Roman" w:eastAsia="Times New Roman" w:hAnsi="Times New Roman"/>
                <w:sz w:val="14"/>
                <w:szCs w:val="14"/>
                <w:b w:val="1"/>
                <w:bCs w:val="1"/>
                <w:color w:val="auto"/>
              </w:rPr>
              <w:t>Days in Inventory:</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2017</w:t>
            </w:r>
          </w:p>
        </w:tc>
      </w:tr>
      <w:tr>
        <w:trPr>
          <w:trHeight w:val="210"/>
        </w:trPr>
        <w:tc>
          <w:tcPr>
            <w:tcW w:w="4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Security Products</w:t>
            </w:r>
          </w:p>
        </w:tc>
        <w:tc>
          <w:tcPr>
            <w:tcW w:w="140" w:type="dxa"/>
            <w:vAlign w:val="bottom"/>
            <w:tcBorders>
              <w:top w:val="single" w:sz="8" w:color="CFF0FC"/>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70 Days</w:t>
            </w:r>
          </w:p>
        </w:tc>
        <w:tc>
          <w:tcPr>
            <w:tcW w:w="120" w:type="dxa"/>
            <w:vAlign w:val="bottom"/>
            <w:tcBorders>
              <w:top w:val="single" w:sz="8" w:color="CFF0FC"/>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68 Days</w:t>
            </w:r>
          </w:p>
        </w:tc>
        <w:tc>
          <w:tcPr>
            <w:tcW w:w="100" w:type="dxa"/>
            <w:vAlign w:val="bottom"/>
            <w:tcBorders>
              <w:top w:val="single" w:sz="8" w:color="CFF0FC"/>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73 Days</w:t>
            </w:r>
          </w:p>
        </w:tc>
        <w:tc>
          <w:tcPr>
            <w:tcW w:w="100" w:type="dxa"/>
            <w:vAlign w:val="bottom"/>
            <w:tcBorders>
              <w:top w:val="single" w:sz="8" w:color="CFF0FC"/>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65 Days</w:t>
            </w: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Marine Components</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120 Days</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77 Days</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122 Days</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89 Days</w:t>
            </w:r>
          </w:p>
        </w:tc>
      </w:tr>
      <w:tr>
        <w:trPr>
          <w:trHeight w:val="216"/>
        </w:trPr>
        <w:tc>
          <w:tcPr>
            <w:tcW w:w="4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Consolidated CompX</w:t>
            </w:r>
          </w:p>
        </w:tc>
        <w:tc>
          <w:tcPr>
            <w:tcW w:w="18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rPr>
              <w:t>76 Days</w:t>
            </w:r>
          </w:p>
        </w:tc>
        <w:tc>
          <w:tcPr>
            <w:tcW w:w="18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7"/>
              </w:rPr>
              <w:t>69 Days</w:t>
            </w:r>
          </w:p>
        </w:tc>
        <w:tc>
          <w:tcPr>
            <w:tcW w:w="18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79 Days</w:t>
            </w: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68 Days</w:t>
            </w:r>
          </w:p>
        </w:tc>
      </w:tr>
    </w:tbl>
    <w:p>
      <w:pPr>
        <w:spacing w:after="0" w:line="236" w:lineRule="exact"/>
        <w:rPr>
          <w:sz w:val="20"/>
          <w:szCs w:val="20"/>
          <w:color w:val="auto"/>
        </w:rPr>
      </w:pPr>
    </w:p>
    <w:p>
      <w:pPr>
        <w:jc w:val="both"/>
        <w:ind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Our capital expenditures were $1.6 million in the first six months of 2017 compared to $1.7 million in the first six months of 2016.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expenditures for 2016 include approximately $1.0 million related to the expansion of our Grayslake facility which was completed in April 2016. In addition, we loaned a net $12.1 million to Valhi in the first six months of 2017 under the terms of our unsecured revolving demand promissory note receivable entered into in August 2016 ($39.3 million of gross borrowings by Valhi and $27.2 million of gross repayments). See Note 8 to the Condensed Consolidated Financial Statements.</w:t>
      </w:r>
    </w:p>
    <w:p>
      <w:pPr>
        <w:spacing w:after="0" w:line="1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Financing activities consisted only of quarterly cash dividends ($0.05 per share) and were comparable for the noted periods.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Future cash requirements </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Liquidity</w:t>
      </w:r>
      <w:r>
        <w:rPr>
          <w:rFonts w:ascii="Times New Roman" w:cs="Times New Roman" w:eastAsia="Times New Roman" w:hAnsi="Times New Roman"/>
          <w:sz w:val="18"/>
          <w:szCs w:val="18"/>
          <w:color w:val="auto"/>
        </w:rPr>
        <w:t>. Our primary source of liquidity on an on-going basis is our cash flow from operating activities, which is generally used to (i) fund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expenditures, (ii) repay short-term or long-term indebtedness incurred primarily for capital expenditures, investment activities or reducing our outstanding stock, (iii) provide for the payment of dividends (if declared), and (iv) lend to affiliates. From time-to-time, we will incur indebtedness, primarily to fund capital expenditures or business combinations.</w:t>
      </w:r>
    </w:p>
    <w:p>
      <w:pPr>
        <w:spacing w:after="0" w:line="182"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Periodically, we evaluate liquidity requirements, alternative uses of capital, capital needs and available resources in view of, among other things, our capital expenditure requirements, dividend policy and estimated future operating cash flows. As a result of this process, we have in the past and may in the future seek to raise additional capital, refinance or restructure indebtedness, issue additional securities, modify our dividend policy or take a combination of such steps to manage our liquidity and capital resources. In the normal course of business, we may review opportunities for acquisitions, joint ventures or other business combinations in the component products industry. In the event of any such transaction, we may consider using available cash, issuing additional equity securities or increasing our indebtedness or that of our subsidiaries.</w:t>
      </w:r>
    </w:p>
    <w:p>
      <w:pPr>
        <w:spacing w:after="0" w:line="188"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We believe that cash generated from operations together with cash on hand, as well as our ability to obtain external financing, will be sufficient to meet our liquidity needs for working capital, capital expenditures, debt service, dividends (if declared) and any amounts we might loan from time to time under the terms of our new revolving loan to Valhi discussed in Note 8 to our Condensed Consolidated Financial Statements (which loans would be solely at our discretion) for both the next 12 months and five years. To the extent that our actual operating results or other developments differ from our expectations, our liquidity could be adversely affected.</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of our $22.5 million aggregate cash and cash equivalents at June 30, 2017 were held in the U.S.</w:t>
      </w:r>
    </w:p>
    <w:p>
      <w:pPr>
        <w:spacing w:after="0" w:line="223" w:lineRule="exact"/>
        <w:rPr>
          <w:sz w:val="20"/>
          <w:szCs w:val="20"/>
          <w:color w:val="auto"/>
        </w:rPr>
      </w:pPr>
    </w:p>
    <w:p>
      <w:pPr>
        <w:jc w:val="both"/>
        <w:ind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Firm purchase commitments for capital projects in process at June 30, 2017 totaled $0.6 million. Our 2017 capital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limited to those expenditures required to meet our expected customer demand and those required to properly maintain our facilities and technology infrastructure.</w:t>
      </w:r>
    </w:p>
    <w:p>
      <w:pPr>
        <w:spacing w:after="0" w:line="174" w:lineRule="exact"/>
        <w:rPr>
          <w:sz w:val="20"/>
          <w:szCs w:val="20"/>
          <w:color w:val="auto"/>
        </w:rPr>
      </w:pPr>
    </w:p>
    <w:p>
      <w:pPr>
        <w:jc w:val="both"/>
        <w:ind w:right="2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There have been no material changes in our contractual obligations since we filed our 2016 Annual Report and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 you to that report for a complete description of these commitments.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Off-balance sheet financing arrangements </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have any off-balance sheet financing agreements other than the operating leases discussed in our 2016 Annual Report.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9 to our Condensed Consolidated Financial Statements.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w:t>
      </w:r>
    </w:p>
    <w:p>
      <w:pPr>
        <w:spacing w:after="0" w:line="121"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first six months of 2017 with respect to our critical accounting policies presented in Management’s Discussion and Analysis of Financial Condition and Results of Operations in our 2016 Annual Report.</w:t>
      </w:r>
    </w:p>
    <w:p>
      <w:pPr>
        <w:spacing w:after="0" w:line="347"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We are exposed to market risk from changes in interest rates and raw material prices. There have been no material changes in these market risks since we filed our 2016 Annual Report, and we refer you to Part I, Item 7A – “Quantitative and Qualitative Disclosure About Market Risk” in our 2016 Annual Report. See also Note 7 to the Condensed Consolidated Financial Statements.</w:t>
      </w:r>
    </w:p>
    <w:p>
      <w:pPr>
        <w:spacing w:after="0" w:line="36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17" w:lineRule="exact"/>
        <w:rPr>
          <w:sz w:val="20"/>
          <w:szCs w:val="20"/>
          <w:color w:val="auto"/>
        </w:rPr>
      </w:pPr>
    </w:p>
    <w:p>
      <w:pPr>
        <w:jc w:val="both"/>
        <w:ind w:firstLine="51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Evaluation of Disclosure Controls and Procedures. </w:t>
      </w:r>
      <w:r>
        <w:rPr>
          <w:rFonts w:ascii="Times New Roman" w:cs="Times New Roman" w:eastAsia="Times New Roman" w:hAnsi="Times New Roman"/>
          <w:sz w:val="18"/>
          <w:szCs w:val="18"/>
          <w:color w:val="auto"/>
        </w:rPr>
        <w:t>We maintain disclosure controls and procedures which, as defined in Exchange Act Rule 13a-15(e), means controls and other procedures that are designed to ensure that information required to be disclosed in the reports that we file or submit to the SEC under the Securities Exchange Act of 1934, as amended (the “Act”), is recorded, processed, summarized and reported, within the time periods specified in the SEC’s rules and forms. Disclosure controls and procedures include, without limitation, controls and procedures designed to ensure that information we are required to disclose in the reports that we file or submit to the SEC under the Act is accumulated and communicated to our management, including our principal executive officer and our principal financial officer, or persons performing similar functions, as appropriate to allow timely decisions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15" w:name="page16"/>
    <w:bookmarkEnd w:id="15"/>
    <w:p>
      <w:pPr>
        <w:jc w:val="both"/>
        <w:spacing w:after="0" w:line="261" w:lineRule="auto"/>
        <w:rPr>
          <w:sz w:val="20"/>
          <w:szCs w:val="20"/>
          <w:color w:val="auto"/>
        </w:rPr>
      </w:pPr>
      <w:r>
        <w:rPr>
          <w:rFonts w:ascii="Times New Roman" w:cs="Times New Roman" w:eastAsia="Times New Roman" w:hAnsi="Times New Roman"/>
          <w:sz w:val="18"/>
          <w:szCs w:val="18"/>
          <w:color w:val="auto"/>
        </w:rPr>
        <w:t>to be made regarding required disclosure. Our management with the participation of Scott C. James, our President and Chief Executive Officer, and James W. Brown, our Vice President, Chief Financial Officer and Controller, has evaluated the design and operating effectiveness of our disclosure controls and procedures as of June 30, 2017. Based upon their evaluation, these executive officers have concluded that our disclosure controls and procedures are effective as of the date of such evaluation.</w:t>
      </w:r>
    </w:p>
    <w:p>
      <w:pPr>
        <w:spacing w:after="0" w:line="176" w:lineRule="exact"/>
        <w:rPr>
          <w:sz w:val="20"/>
          <w:szCs w:val="20"/>
          <w:color w:val="auto"/>
        </w:rPr>
      </w:pPr>
    </w:p>
    <w:p>
      <w:pPr>
        <w:jc w:val="both"/>
        <w:ind w:firstLine="518"/>
        <w:spacing w:after="0" w:line="259" w:lineRule="auto"/>
        <w:rPr>
          <w:sz w:val="20"/>
          <w:szCs w:val="20"/>
          <w:color w:val="auto"/>
        </w:rPr>
      </w:pPr>
      <w:r>
        <w:rPr>
          <w:rFonts w:ascii="Times New Roman" w:cs="Times New Roman" w:eastAsia="Times New Roman" w:hAnsi="Times New Roman"/>
          <w:sz w:val="18"/>
          <w:szCs w:val="18"/>
          <w:b w:val="1"/>
          <w:bCs w:val="1"/>
          <w:color w:val="auto"/>
        </w:rPr>
        <w:t>Internal Control Over Financial Reporting</w:t>
      </w:r>
      <w:r>
        <w:rPr>
          <w:rFonts w:ascii="Times New Roman" w:cs="Times New Roman" w:eastAsia="Times New Roman" w:hAnsi="Times New Roman"/>
          <w:sz w:val="18"/>
          <w:szCs w:val="18"/>
          <w:color w:val="auto"/>
        </w:rPr>
        <w:t>. Our management is responsible for establishing and maintaining adequate internal control over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reporting which, as defined in Exchange Act Rule 13a-15(f), means a process designed by, or under the supervision of, our principal executive and principal financial officers, or persons performing similar functions,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76" w:lineRule="exact"/>
        <w:rPr>
          <w:sz w:val="20"/>
          <w:szCs w:val="20"/>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117" w:lineRule="exact"/>
        <w:rPr>
          <w:rFonts w:ascii="Times New Roman" w:cs="Times New Roman" w:eastAsia="Times New Roman" w:hAnsi="Times New Roman"/>
          <w:sz w:val="18"/>
          <w:szCs w:val="18"/>
          <w:color w:val="auto"/>
        </w:rPr>
      </w:pPr>
    </w:p>
    <w:p>
      <w:pPr>
        <w:ind w:left="1040" w:right="20" w:hanging="519"/>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GAAP, and that receipts and expenditures are being made only in accordance with authorizations of our management and directors, and</w:t>
      </w:r>
    </w:p>
    <w:p>
      <w:pPr>
        <w:spacing w:after="0" w:line="53"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an unauthorized acquisition, use or disposition of our assets that could have a material effect on our Condensed Consolidated Financial Statements.</w:t>
      </w:r>
    </w:p>
    <w:p>
      <w:pPr>
        <w:spacing w:after="0" w:line="158" w:lineRule="exact"/>
        <w:rPr>
          <w:sz w:val="20"/>
          <w:szCs w:val="20"/>
          <w:color w:val="auto"/>
        </w:rPr>
      </w:pPr>
    </w:p>
    <w:p>
      <w:pPr>
        <w:ind w:firstLine="518"/>
        <w:spacing w:after="0" w:line="286" w:lineRule="auto"/>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r>
        <w:rPr>
          <w:rFonts w:ascii="Times New Roman" w:cs="Times New Roman" w:eastAsia="Times New Roman" w:hAnsi="Times New Roman"/>
          <w:sz w:val="18"/>
          <w:szCs w:val="18"/>
          <w:color w:val="auto"/>
        </w:rPr>
        <w:t>. There have been no changes in our internal control over financial reporting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ended June 30, 2017 that have materially affected, or are reasonably likely to materially affect, our internal control over financial reporting.</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3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Reference is made to the 2016 Annual Report for a discussion of the risk factors related to our businesses. There have been no material changes in such risk factors during the first six months of 2017.</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3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72"/>
        </w:trPr>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Item No.</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9220" w:type="dxa"/>
            <w:vAlign w:val="bottom"/>
            <w:tcBorders>
              <w:bottom w:val="single" w:sz="8" w:color="auto"/>
            </w:tcBorders>
          </w:tcPr>
          <w:p>
            <w:pPr>
              <w:spacing w:after="0"/>
              <w:rPr>
                <w:sz w:val="24"/>
                <w:szCs w:val="24"/>
                <w:color w:val="auto"/>
              </w:rPr>
            </w:pPr>
          </w:p>
        </w:tc>
      </w:tr>
      <w:tr>
        <w:trPr>
          <w:trHeight w:val="29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4"/>
                <w:szCs w:val="24"/>
                <w:color w:val="auto"/>
              </w:rPr>
            </w:pPr>
          </w:p>
        </w:tc>
        <w:tc>
          <w:tcPr>
            <w:tcW w:w="10120" w:type="dxa"/>
            <w:vAlign w:val="bottom"/>
            <w:gridSpan w:val="3"/>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Certification</w:t>
              </w:r>
            </w:hyperlink>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r>
      <w:tr>
        <w:trPr>
          <w:trHeight w:val="23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20"/>
                <w:szCs w:val="20"/>
                <w:color w:val="auto"/>
              </w:rPr>
            </w:pPr>
          </w:p>
        </w:tc>
        <w:tc>
          <w:tcPr>
            <w:tcW w:w="10120" w:type="dxa"/>
            <w:vAlign w:val="bottom"/>
            <w:gridSpan w:val="3"/>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Certification</w:t>
              </w:r>
            </w:hyperlink>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r>
      <w:tr>
        <w:trPr>
          <w:trHeight w:val="23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20"/>
                <w:szCs w:val="20"/>
                <w:color w:val="auto"/>
              </w:rPr>
            </w:pPr>
          </w:p>
        </w:tc>
        <w:tc>
          <w:tcPr>
            <w:tcW w:w="10120" w:type="dxa"/>
            <w:vAlign w:val="bottom"/>
            <w:gridSpan w:val="3"/>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Certification</w:t>
              </w:r>
            </w:hyperlink>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r>
      <w:tr>
        <w:trPr>
          <w:trHeight w:val="27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20" w:type="dxa"/>
            <w:vAlign w:val="bottom"/>
          </w:tcPr>
          <w:p>
            <w:pPr>
              <w:spacing w:after="0"/>
              <w:rPr>
                <w:sz w:val="24"/>
                <w:szCs w:val="24"/>
                <w:color w:val="auto"/>
              </w:rPr>
            </w:pPr>
          </w:p>
        </w:tc>
        <w:tc>
          <w:tcPr>
            <w:tcW w:w="10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5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20" w:type="dxa"/>
            <w:vAlign w:val="bottom"/>
          </w:tcPr>
          <w:p>
            <w:pPr>
              <w:spacing w:after="0"/>
              <w:rPr>
                <w:sz w:val="22"/>
                <w:szCs w:val="22"/>
                <w:color w:val="auto"/>
              </w:rPr>
            </w:pPr>
          </w:p>
        </w:tc>
        <w:tc>
          <w:tcPr>
            <w:tcW w:w="10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Schema</w:t>
            </w:r>
          </w:p>
        </w:tc>
      </w:tr>
      <w:tr>
        <w:trPr>
          <w:trHeight w:val="25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220" w:type="dxa"/>
            <w:vAlign w:val="bottom"/>
          </w:tcPr>
          <w:p>
            <w:pPr>
              <w:spacing w:after="0"/>
              <w:rPr>
                <w:sz w:val="22"/>
                <w:szCs w:val="22"/>
                <w:color w:val="auto"/>
              </w:rPr>
            </w:pPr>
          </w:p>
        </w:tc>
        <w:tc>
          <w:tcPr>
            <w:tcW w:w="10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25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220" w:type="dxa"/>
            <w:vAlign w:val="bottom"/>
          </w:tcPr>
          <w:p>
            <w:pPr>
              <w:spacing w:after="0"/>
              <w:rPr>
                <w:sz w:val="22"/>
                <w:szCs w:val="22"/>
                <w:color w:val="auto"/>
              </w:rPr>
            </w:pPr>
          </w:p>
        </w:tc>
        <w:tc>
          <w:tcPr>
            <w:tcW w:w="10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25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220" w:type="dxa"/>
            <w:vAlign w:val="bottom"/>
          </w:tcPr>
          <w:p>
            <w:pPr>
              <w:spacing w:after="0"/>
              <w:rPr>
                <w:sz w:val="22"/>
                <w:szCs w:val="22"/>
                <w:color w:val="auto"/>
              </w:rPr>
            </w:pPr>
          </w:p>
        </w:tc>
        <w:tc>
          <w:tcPr>
            <w:tcW w:w="10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25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220" w:type="dxa"/>
            <w:vAlign w:val="bottom"/>
          </w:tcPr>
          <w:p>
            <w:pPr>
              <w:spacing w:after="0"/>
              <w:rPr>
                <w:sz w:val="22"/>
                <w:szCs w:val="22"/>
                <w:color w:val="auto"/>
              </w:rPr>
            </w:pPr>
          </w:p>
        </w:tc>
        <w:tc>
          <w:tcPr>
            <w:tcW w:w="10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r>
    </w:tbl>
    <w:p>
      <w:pPr>
        <w:spacing w:after="0" w:line="238"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We have retained a signed original of any of the above exhibits that contains signatures, and we will provide such exhibit to the Commission or its staff upon request. We will also furnish, without charge, a copy of our Code of Business Conduct and Ethics, and Audit Committee Charter, each as adopted by our board of directors on June 3, 2015, upon request. Such requests should be directed to the attention of our Corporate Secretary at our corporate offices located at 5430 LBJ Freeway, Suite 1700, Dallas, Texas 75240.</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COMPX INTERNATIONAL INC.</w:t>
            </w:r>
          </w:p>
        </w:tc>
      </w:tr>
      <w:tr>
        <w:trPr>
          <w:trHeight w:val="237"/>
        </w:trPr>
        <w:tc>
          <w:tcPr>
            <w:tcW w:w="35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30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(Registrant)</w:t>
            </w:r>
          </w:p>
        </w:tc>
        <w:tc>
          <w:tcPr>
            <w:tcW w:w="2420" w:type="dxa"/>
            <w:vAlign w:val="bottom"/>
          </w:tcPr>
          <w:p>
            <w:pPr>
              <w:spacing w:after="0"/>
              <w:rPr>
                <w:sz w:val="20"/>
                <w:szCs w:val="20"/>
                <w:color w:val="auto"/>
              </w:rPr>
            </w:pPr>
          </w:p>
        </w:tc>
      </w:tr>
      <w:tr>
        <w:trPr>
          <w:trHeight w:val="459"/>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4, 2017</w:t>
            </w:r>
          </w:p>
        </w:tc>
        <w:tc>
          <w:tcPr>
            <w:tcW w:w="7860" w:type="dxa"/>
            <w:vAlign w:val="bottom"/>
            <w:gridSpan w:val="4"/>
          </w:tcPr>
          <w:p>
            <w:pPr>
              <w:ind w:left="2760"/>
              <w:spacing w:after="0"/>
              <w:rPr>
                <w:sz w:val="20"/>
                <w:szCs w:val="20"/>
                <w:color w:val="auto"/>
              </w:rPr>
            </w:pPr>
            <w:r>
              <w:rPr>
                <w:rFonts w:ascii="Times New Roman" w:cs="Times New Roman" w:eastAsia="Times New Roman" w:hAnsi="Times New Roman"/>
                <w:sz w:val="18"/>
                <w:szCs w:val="18"/>
                <w:color w:val="auto"/>
              </w:rPr>
              <w:t>By:  /s/ James W. Brown</w:t>
            </w:r>
          </w:p>
        </w:tc>
      </w:tr>
      <w:tr>
        <w:trPr>
          <w:trHeight w:val="191"/>
        </w:trPr>
        <w:tc>
          <w:tcPr>
            <w:tcW w:w="35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72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James W. Brown</w:t>
            </w:r>
          </w:p>
        </w:tc>
      </w:tr>
      <w:tr>
        <w:trPr>
          <w:trHeight w:val="234"/>
        </w:trPr>
        <w:tc>
          <w:tcPr>
            <w:tcW w:w="35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Chief Financial Officer and Controller</w:t>
            </w:r>
          </w:p>
        </w:tc>
      </w:tr>
      <w:tr>
        <w:trPr>
          <w:trHeight w:val="864"/>
        </w:trPr>
        <w:tc>
          <w:tcPr>
            <w:tcW w:w="3560" w:type="dxa"/>
            <w:vAlign w:val="bottom"/>
          </w:tcPr>
          <w:p>
            <w:pPr>
              <w:spacing w:after="0"/>
              <w:rPr>
                <w:sz w:val="24"/>
                <w:szCs w:val="24"/>
                <w:color w:val="auto"/>
              </w:rPr>
            </w:pPr>
          </w:p>
        </w:tc>
        <w:tc>
          <w:tcPr>
            <w:tcW w:w="27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- 18 -</w:t>
            </w:r>
          </w:p>
        </w:tc>
        <w:tc>
          <w:tcPr>
            <w:tcW w:w="3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42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C. James, certify that:</w:t>
      </w:r>
    </w:p>
    <w:p>
      <w:pPr>
        <w:spacing w:after="0" w:line="117"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CompX International Inc.;</w:t>
      </w:r>
    </w:p>
    <w:p>
      <w:pPr>
        <w:spacing w:after="0" w:line="117"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1040" w:hanging="519"/>
        <w:spacing w:after="0" w:line="266" w:lineRule="auto"/>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1040" w:hanging="519"/>
        <w:spacing w:after="0" w:line="266" w:lineRule="auto"/>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040" w:hanging="519"/>
        <w:spacing w:after="0" w:line="266" w:lineRule="auto"/>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53"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40" w:right="20" w:hanging="519"/>
        <w:spacing w:after="0" w:line="282" w:lineRule="auto"/>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4, 2017</w:t>
      </w:r>
    </w:p>
    <w:p>
      <w:pPr>
        <w:spacing w:after="0" w:line="22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C. James</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Scott C.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-130810</wp:posOffset>
            </wp:positionV>
            <wp:extent cx="26327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333" w:right="2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W. Brown, certify that:</w:t>
      </w:r>
    </w:p>
    <w:p>
      <w:pPr>
        <w:spacing w:after="0" w:line="117"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CompX International Inc.;</w:t>
      </w:r>
    </w:p>
    <w:p>
      <w:pPr>
        <w:spacing w:after="0" w:line="117"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13d-15(f)) for the registrant and have:</w:t>
      </w:r>
    </w:p>
    <w:p>
      <w:pPr>
        <w:spacing w:after="0" w:line="68" w:lineRule="exact"/>
        <w:rPr>
          <w:rFonts w:ascii="Times New Roman" w:cs="Times New Roman" w:eastAsia="Times New Roman" w:hAnsi="Times New Roman"/>
          <w:sz w:val="18"/>
          <w:szCs w:val="18"/>
          <w:color w:val="auto"/>
        </w:rPr>
      </w:pPr>
    </w:p>
    <w:p>
      <w:pPr>
        <w:jc w:val="both"/>
        <w:ind w:left="1040" w:hanging="519"/>
        <w:spacing w:after="0" w:line="266" w:lineRule="auto"/>
        <w:tabs>
          <w:tab w:leader="none" w:pos="10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1040" w:hanging="519"/>
        <w:spacing w:after="0" w:line="266" w:lineRule="auto"/>
        <w:tabs>
          <w:tab w:leader="none" w:pos="10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040" w:hanging="519"/>
        <w:spacing w:after="0" w:line="266" w:lineRule="auto"/>
        <w:tabs>
          <w:tab w:leader="none" w:pos="10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53"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40" w:right="20" w:hanging="519"/>
        <w:spacing w:after="0" w:line="282" w:lineRule="auto"/>
        <w:tabs>
          <w:tab w:leader="none" w:pos="10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4, 2017</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James W. Brown</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James W.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-130810</wp:posOffset>
            </wp:positionV>
            <wp:extent cx="25812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Vice President, Chief Financial Officer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and Controller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(Principal Accounting and Financial Officer)</w:t>
      </w:r>
    </w:p>
    <w:p>
      <w:pPr>
        <w:sectPr>
          <w:pgSz w:w="11900" w:h="16838" w:orient="portrait"/>
          <w:cols w:equalWidth="0" w:num="1">
            <w:col w:w="11420"/>
          </w:cols>
          <w:pgMar w:left="240" w:top="333" w:right="2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CompX International Inc. (the Company) on Form 10-Q for the period ending June 30, 2017 as filed with the Securities and Exchange Commission on the date hereof (the Report), I, Scott C. James, President and Chief Executive Officer of the Company and I, James W. Brown, Vice President, Chief Financial Officer and Controller of the Company, certify, pursuant to 18 U.S.C. §1350, as adopted pursuant to §906 of the Sarbanes-Oxley Act of 2002, that:</w:t>
      </w:r>
    </w:p>
    <w:p>
      <w:pPr>
        <w:spacing w:after="0" w:line="72" w:lineRule="exact"/>
        <w:rPr>
          <w:sz w:val="20"/>
          <w:szCs w:val="20"/>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 of operations of the Company.</w:t>
      </w:r>
    </w:p>
    <w:p>
      <w:pPr>
        <w:spacing w:after="0" w:line="23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Scott C. James</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Scott C.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-130810</wp:posOffset>
            </wp:positionV>
            <wp:extent cx="25812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James W. Brown</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James W.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-130810</wp:posOffset>
            </wp:positionV>
            <wp:extent cx="25812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Vice President, Chief Financial Officer and Controller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4, 2017</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Note: 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2019-12-29T04:52:20Z</dcterms:created>
  <dcterms:modified xsi:type="dcterms:W3CDTF">2019-12-29T04:52:20Z</dcterms:modified>
</cp:coreProperties>
</file>