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195580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QUARTERLY REPORT UNDER SECTION 13 OR 15(d) OF THE SECURITIES</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180340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COMPX INTERNATIONAL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16"/>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57-0981653</w:t>
            </w:r>
          </w:p>
        </w:tc>
      </w:tr>
      <w:tr>
        <w:trPr>
          <w:trHeight w:val="149"/>
        </w:trPr>
        <w:tc>
          <w:tcPr>
            <w:tcW w:w="4700" w:type="dxa"/>
            <w:vAlign w:val="bottom"/>
          </w:tcPr>
          <w:p>
            <w:pPr>
              <w:jc w:val="center"/>
              <w:ind w:right="1879"/>
              <w:spacing w:after="0" w:line="149" w:lineRule="exact"/>
              <w:rPr>
                <w:sz w:val="20"/>
                <w:szCs w:val="20"/>
                <w:color w:val="auto"/>
              </w:rPr>
            </w:pPr>
            <w:r>
              <w:rPr>
                <w:rFonts w:ascii="Arial" w:cs="Arial" w:eastAsia="Arial" w:hAnsi="Arial"/>
                <w:sz w:val="14"/>
                <w:szCs w:val="14"/>
                <w:color w:val="auto"/>
                <w:w w:val="94"/>
              </w:rPr>
              <w:t>(State or other jurisdiction of</w:t>
            </w:r>
          </w:p>
        </w:tc>
        <w:tc>
          <w:tcPr>
            <w:tcW w:w="3020" w:type="dxa"/>
            <w:vAlign w:val="bottom"/>
          </w:tcPr>
          <w:p>
            <w:pPr>
              <w:jc w:val="center"/>
              <w:ind w:left="1861"/>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4700" w:type="dxa"/>
            <w:vAlign w:val="bottom"/>
          </w:tcPr>
          <w:p>
            <w:pPr>
              <w:jc w:val="center"/>
              <w:ind w:right="1879"/>
              <w:spacing w:after="0"/>
              <w:rPr>
                <w:sz w:val="20"/>
                <w:szCs w:val="20"/>
                <w:color w:val="auto"/>
              </w:rPr>
            </w:pPr>
            <w:r>
              <w:rPr>
                <w:rFonts w:ascii="Arial" w:cs="Arial" w:eastAsia="Arial" w:hAnsi="Arial"/>
                <w:sz w:val="14"/>
                <w:szCs w:val="14"/>
                <w:color w:val="auto"/>
                <w:w w:val="95"/>
              </w:rPr>
              <w:t>Incorporation or organization)</w:t>
            </w:r>
          </w:p>
        </w:tc>
        <w:tc>
          <w:tcPr>
            <w:tcW w:w="3020" w:type="dxa"/>
            <w:vAlign w:val="bottom"/>
          </w:tcPr>
          <w:p>
            <w:pPr>
              <w:jc w:val="center"/>
              <w:ind w:left="1861"/>
              <w:spacing w:after="0"/>
              <w:rPr>
                <w:sz w:val="20"/>
                <w:szCs w:val="20"/>
                <w:color w:val="auto"/>
              </w:rPr>
            </w:pPr>
            <w:r>
              <w:rPr>
                <w:rFonts w:ascii="Arial" w:cs="Arial" w:eastAsia="Arial" w:hAnsi="Arial"/>
                <w:sz w:val="14"/>
                <w:szCs w:val="14"/>
                <w:color w:val="auto"/>
                <w:w w:val="99"/>
              </w:rPr>
              <w:t>Identification No.)</w:t>
            </w:r>
          </w:p>
        </w:tc>
      </w:tr>
      <w:tr>
        <w:trPr>
          <w:trHeight w:val="439"/>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5430 LBJ Freeway, Suite 1700,</w:t>
            </w:r>
          </w:p>
        </w:tc>
        <w:tc>
          <w:tcPr>
            <w:tcW w:w="3020" w:type="dxa"/>
            <w:vAlign w:val="bottom"/>
          </w:tcPr>
          <w:p>
            <w:pPr>
              <w:spacing w:after="0"/>
              <w:rPr>
                <w:sz w:val="24"/>
                <w:szCs w:val="24"/>
                <w:color w:val="auto"/>
              </w:rPr>
            </w:pPr>
          </w:p>
        </w:tc>
      </w:tr>
      <w:tr>
        <w:trPr>
          <w:trHeight w:val="229"/>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Three Lincoln Centre, Dallas, Texas</w:t>
            </w:r>
          </w:p>
        </w:tc>
        <w:tc>
          <w:tcPr>
            <w:tcW w:w="302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75240-2620</w:t>
            </w:r>
          </w:p>
        </w:tc>
      </w:tr>
      <w:tr>
        <w:trPr>
          <w:trHeight w:val="182"/>
        </w:trPr>
        <w:tc>
          <w:tcPr>
            <w:tcW w:w="4700" w:type="dxa"/>
            <w:vAlign w:val="bottom"/>
          </w:tcPr>
          <w:p>
            <w:pPr>
              <w:jc w:val="center"/>
              <w:ind w:right="1879"/>
              <w:spacing w:after="0"/>
              <w:rPr>
                <w:sz w:val="20"/>
                <w:szCs w:val="20"/>
                <w:color w:val="auto"/>
              </w:rPr>
            </w:pPr>
            <w:r>
              <w:rPr>
                <w:rFonts w:ascii="Arial" w:cs="Arial" w:eastAsia="Arial" w:hAnsi="Arial"/>
                <w:sz w:val="14"/>
                <w:szCs w:val="14"/>
                <w:color w:val="auto"/>
                <w:w w:val="95"/>
              </w:rPr>
              <w:t>(Address of principal executive offices)</w:t>
            </w:r>
          </w:p>
        </w:tc>
        <w:tc>
          <w:tcPr>
            <w:tcW w:w="3020" w:type="dxa"/>
            <w:vAlign w:val="bottom"/>
          </w:tcPr>
          <w:p>
            <w:pPr>
              <w:jc w:val="center"/>
              <w:ind w:left="1861"/>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checkmark:</w:t>
      </w:r>
    </w:p>
    <w:p>
      <w:pPr>
        <w:spacing w:after="0" w:line="225"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Whether the Registrant (1) has filed all reports required to be filed by Section 13 or 15(d) of the Securities Exchange Act of 1934 during the preceding 12 months (or for such a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p>
      <w:pPr>
        <w:spacing w:after="0" w:line="207" w:lineRule="exact"/>
        <w:tabs>
          <w:tab w:leader="none" w:pos="2100" w:val="left"/>
          <w:tab w:leader="none" w:pos="376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(Do not check if a smaller reporting company)</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Smaller reporting company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080" w:val="left"/>
          <w:tab w:leader="none" w:pos="7760" w:val="left"/>
        </w:tabs>
        <w:rPr>
          <w:sz w:val="20"/>
          <w:szCs w:val="20"/>
          <w:color w:val="auto"/>
        </w:rPr>
      </w:pPr>
      <w:r>
        <w:rPr>
          <w:rFonts w:ascii="Arial" w:cs="Arial" w:eastAsia="Arial" w:hAnsi="Arial"/>
          <w:sz w:val="17"/>
          <w:szCs w:val="17"/>
          <w:b w:val="1"/>
          <w:bCs w:val="1"/>
          <w:color w:val="auto"/>
        </w:rPr>
        <w:t>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r>
        <w:rPr>
          <w:rFonts w:ascii="Arial" w:cs="Arial" w:eastAsia="Arial" w:hAnsi="Arial"/>
          <w:sz w:val="17"/>
          <w:szCs w:val="17"/>
          <w:b w:val="1"/>
          <w:bCs w:val="1"/>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Number of shares of common stock outstanding on May 2, 2018:</w:t>
      </w:r>
    </w:p>
    <w:p>
      <w:pPr>
        <w:spacing w:after="0" w:line="36" w:lineRule="exact"/>
        <w:rPr>
          <w:sz w:val="24"/>
          <w:szCs w:val="24"/>
          <w:color w:val="auto"/>
        </w:rPr>
      </w:pPr>
    </w:p>
    <w:p>
      <w:pPr>
        <w:ind w:left="520"/>
        <w:spacing w:after="0"/>
        <w:tabs>
          <w:tab w:leader="none" w:pos="2180" w:val="left"/>
        </w:tabs>
        <w:rPr>
          <w:sz w:val="20"/>
          <w:szCs w:val="20"/>
          <w:color w:val="auto"/>
        </w:rPr>
      </w:pPr>
      <w:r>
        <w:rPr>
          <w:rFonts w:ascii="Arial" w:cs="Arial" w:eastAsia="Arial" w:hAnsi="Arial"/>
          <w:sz w:val="18"/>
          <w:szCs w:val="18"/>
          <w:b w:val="1"/>
          <w:bCs w:val="1"/>
          <w:color w:val="auto"/>
        </w:rPr>
        <w:t>Class A: 2,426,107</w:t>
      </w:r>
      <w:r>
        <w:rPr>
          <w:sz w:val="20"/>
          <w:szCs w:val="20"/>
          <w:color w:val="auto"/>
        </w:rPr>
        <w:tab/>
      </w:r>
      <w:r>
        <w:rPr>
          <w:rFonts w:ascii="Arial" w:cs="Arial" w:eastAsia="Arial" w:hAnsi="Arial"/>
          <w:sz w:val="15"/>
          <w:szCs w:val="15"/>
          <w:b w:val="1"/>
          <w:bCs w:val="1"/>
          <w:color w:val="auto"/>
        </w:rPr>
        <w:t>Class B: 10,000,000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253365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4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rPr>
              <w:t>COMPX INTERNATIONAL INC.</w:t>
            </w:r>
          </w:p>
        </w:tc>
        <w:tc>
          <w:tcPr>
            <w:tcW w:w="1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80" w:type="dxa"/>
            <w:vAlign w:val="bottom"/>
            <w:gridSpan w:val="7"/>
          </w:tcPr>
          <w:p>
            <w:pPr>
              <w:jc w:val="center"/>
              <w:ind w:right="3920"/>
              <w:spacing w:after="0"/>
              <w:rPr>
                <w:sz w:val="20"/>
                <w:szCs w:val="20"/>
                <w:color w:val="auto"/>
              </w:rPr>
            </w:pPr>
            <w:r>
              <w:rPr>
                <w:rFonts w:ascii="Arial" w:cs="Arial" w:eastAsia="Arial" w:hAnsi="Arial"/>
                <w:sz w:val="18"/>
                <w:szCs w:val="18"/>
                <w:b w:val="1"/>
                <w:bCs w:val="1"/>
                <w:color w:val="auto"/>
                <w:w w:val="93"/>
              </w:rPr>
              <w:t>Index</w:t>
            </w:r>
          </w:p>
        </w:tc>
        <w:tc>
          <w:tcPr>
            <w:tcW w:w="1100" w:type="dxa"/>
            <w:vAlign w:val="bottom"/>
          </w:tcPr>
          <w:p>
            <w:pPr>
              <w:spacing w:after="0"/>
              <w:rPr>
                <w:sz w:val="24"/>
                <w:szCs w:val="24"/>
                <w:color w:val="auto"/>
              </w:rPr>
            </w:pPr>
          </w:p>
        </w:tc>
      </w:tr>
      <w:tr>
        <w:trPr>
          <w:trHeight w:val="446"/>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Page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spacing w:after="0"/>
              <w:rPr>
                <w:sz w:val="18"/>
                <w:szCs w:val="18"/>
                <w:color w:val="auto"/>
              </w:rPr>
            </w:pPr>
          </w:p>
        </w:tc>
      </w:tr>
      <w:tr>
        <w:trPr>
          <w:trHeight w:val="296"/>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31, 2017 and March 31, 2018 (unaudited)</w:t>
              </w:r>
            </w:hyperlink>
          </w:p>
        </w:tc>
        <w:tc>
          <w:tcPr>
            <w:tcW w:w="1100" w:type="dxa"/>
            <w:vAlign w:val="bottom"/>
          </w:tcPr>
          <w:p>
            <w:pPr>
              <w:ind w:left="440"/>
              <w:spacing w:after="0"/>
              <w:rPr>
                <w:sz w:val="20"/>
                <w:szCs w:val="20"/>
                <w:color w:val="auto"/>
              </w:rPr>
            </w:pPr>
            <w:r>
              <w:rPr>
                <w:rFonts w:ascii="Arial" w:cs="Arial" w:eastAsia="Arial" w:hAnsi="Arial"/>
                <w:sz w:val="18"/>
                <w:szCs w:val="18"/>
                <w:color w:val="auto"/>
              </w:rPr>
              <w:t>- 3 -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months ended March 31, 2017 and 2018</w:t>
              </w:r>
            </w:hyperlink>
          </w:p>
        </w:tc>
        <w:tc>
          <w:tcPr>
            <w:tcW w:w="1100" w:type="dxa"/>
            <w:vAlign w:val="bottom"/>
          </w:tcPr>
          <w:p>
            <w:pPr>
              <w:ind w:left="440"/>
              <w:spacing w:after="0"/>
              <w:rPr>
                <w:sz w:val="20"/>
                <w:szCs w:val="20"/>
                <w:color w:val="auto"/>
              </w:rPr>
            </w:pPr>
            <w:r>
              <w:rPr>
                <w:rFonts w:ascii="Arial" w:cs="Arial" w:eastAsia="Arial" w:hAnsi="Arial"/>
                <w:sz w:val="18"/>
                <w:szCs w:val="18"/>
                <w:color w:val="auto"/>
              </w:rPr>
              <w:t>- 4 -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81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Three months ended March 31, 2017 and 2018</w:t>
              </w:r>
            </w:hyperlink>
          </w:p>
        </w:tc>
        <w:tc>
          <w:tcPr>
            <w:tcW w:w="14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rPr>
              <w:t>- 5 -</w:t>
            </w: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(unaudited) – Three months ended March 31, 2018</w:t>
              </w:r>
            </w:hyperlink>
          </w:p>
        </w:tc>
        <w:tc>
          <w:tcPr>
            <w:tcW w:w="1100" w:type="dxa"/>
            <w:vAlign w:val="bottom"/>
          </w:tcPr>
          <w:p>
            <w:pPr>
              <w:ind w:left="440"/>
              <w:spacing w:after="0"/>
              <w:rPr>
                <w:sz w:val="20"/>
                <w:szCs w:val="20"/>
                <w:color w:val="auto"/>
              </w:rPr>
            </w:pPr>
            <w:r>
              <w:rPr>
                <w:rFonts w:ascii="Arial" w:cs="Arial" w:eastAsia="Arial" w:hAnsi="Arial"/>
                <w:sz w:val="18"/>
                <w:szCs w:val="18"/>
                <w:color w:val="auto"/>
              </w:rPr>
              <w:t>- 6 -</w:t>
            </w:r>
          </w:p>
        </w:tc>
      </w:tr>
      <w:tr>
        <w:trPr>
          <w:trHeight w:val="318"/>
        </w:trPr>
        <w:tc>
          <w:tcPr>
            <w:tcW w:w="76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160" w:type="dxa"/>
            <w:vAlign w:val="bottom"/>
            <w:tcBorders>
              <w:top w:val="single" w:sz="8" w:color="0000EE"/>
            </w:tcBorders>
            <w:gridSpan w:val="4"/>
          </w:tcPr>
          <w:p>
            <w:pPr>
              <w:spacing w:after="0"/>
              <w:rPr>
                <w:sz w:val="24"/>
                <w:szCs w:val="24"/>
                <w:color w:val="auto"/>
              </w:rPr>
            </w:pPr>
          </w:p>
        </w:tc>
        <w:tc>
          <w:tcPr>
            <w:tcW w:w="1540" w:type="dxa"/>
            <w:vAlign w:val="bottom"/>
            <w:gridSpan w:val="2"/>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rPr>
              <w:t>- 7 -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ind w:left="420"/>
              <w:spacing w:after="0"/>
              <w:rPr>
                <w:sz w:val="20"/>
                <w:szCs w:val="20"/>
                <w:color w:val="auto"/>
              </w:rPr>
            </w:pPr>
            <w:r>
              <w:rPr>
                <w:rFonts w:ascii="Arial" w:cs="Arial" w:eastAsia="Arial" w:hAnsi="Arial"/>
                <w:sz w:val="18"/>
                <w:szCs w:val="18"/>
                <w:color w:val="auto"/>
              </w:rPr>
              <w:t>- 12 -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24"/>
                <w:szCs w:val="24"/>
                <w:color w:val="auto"/>
              </w:rPr>
            </w:pPr>
          </w:p>
        </w:tc>
        <w:tc>
          <w:tcPr>
            <w:tcW w:w="3120" w:type="dxa"/>
            <w:vAlign w:val="bottom"/>
            <w:gridSpan w:val="5"/>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- 16 -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1100" w:type="dxa"/>
            <w:vAlign w:val="bottom"/>
          </w:tcPr>
          <w:p>
            <w:pPr>
              <w:ind w:left="420"/>
              <w:spacing w:after="0"/>
              <w:rPr>
                <w:sz w:val="20"/>
                <w:szCs w:val="20"/>
                <w:color w:val="auto"/>
              </w:rPr>
            </w:pPr>
            <w:r>
              <w:rPr>
                <w:rFonts w:ascii="Arial" w:cs="Arial" w:eastAsia="Arial" w:hAnsi="Arial"/>
                <w:sz w:val="18"/>
                <w:szCs w:val="18"/>
                <w:color w:val="auto"/>
              </w:rPr>
              <w:t>- 16 -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754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660" w:type="dxa"/>
            <w:vAlign w:val="bottom"/>
            <w:gridSpan w:val="10"/>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- 18 -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Exhibits</w:t>
              </w:r>
            </w:hyperlink>
          </w:p>
        </w:tc>
        <w:tc>
          <w:tcPr>
            <w:tcW w:w="8960" w:type="dxa"/>
            <w:vAlign w:val="bottom"/>
            <w:gridSpan w:val="11"/>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- 18 -</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center"/>
              <w:ind w:right="92"/>
              <w:spacing w:after="0" w:line="155"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58,093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22,774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96,271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150,959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152,311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10,792</w:t>
            </w:r>
          </w:p>
        </w:tc>
        <w:tc>
          <w:tcPr>
            <w:tcW w:w="28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Class B common stock</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150,959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29,948</w:t>
            </w:r>
          </w:p>
        </w:tc>
        <w:tc>
          <w:tcPr>
            <w:tcW w:w="88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20,262</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9,686</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before taxes</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3,151</w:t>
            </w:r>
          </w:p>
        </w:tc>
        <w:tc>
          <w:tcPr>
            <w:tcW w:w="3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40" w:type="dxa"/>
            <w:vAlign w:val="bottom"/>
            <w:gridSpan w:val="2"/>
          </w:tcPr>
          <w:p>
            <w:pPr>
              <w:spacing w:after="0"/>
              <w:rPr>
                <w:sz w:val="20"/>
                <w:szCs w:val="20"/>
                <w:color w:val="auto"/>
              </w:rPr>
            </w:pPr>
            <w:r>
              <w:rPr>
                <w:rFonts w:ascii="Arial" w:cs="Arial" w:eastAsia="Arial" w:hAnsi="Arial"/>
                <w:sz w:val="18"/>
                <w:szCs w:val="18"/>
                <w:color w:val="auto"/>
              </w:rPr>
              <w:t>Basic and diluted net income per common share</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0.25</w:t>
            </w:r>
          </w:p>
        </w:tc>
        <w:tc>
          <w:tcPr>
            <w:tcW w:w="880" w:type="dxa"/>
            <w:vAlign w:val="bottom"/>
            <w:gridSpan w:val="2"/>
          </w:tcPr>
          <w:p>
            <w:pPr>
              <w:jc w:val="right"/>
              <w:ind w:right="385"/>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per share</w:t>
            </w:r>
          </w:p>
        </w:tc>
        <w:tc>
          <w:tcPr>
            <w:tcW w:w="102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88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40" w:type="dxa"/>
            <w:vAlign w:val="bottom"/>
            <w:gridSpan w:val="2"/>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12,419</w:t>
            </w:r>
          </w:p>
        </w:tc>
        <w:tc>
          <w:tcPr>
            <w:tcW w:w="3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r>
      <w:tr>
        <w:trPr>
          <w:trHeight w:val="215"/>
        </w:trPr>
        <w:tc>
          <w:tcPr>
            <w:tcW w:w="8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left="513"/>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r>
      <w:tr>
        <w:trPr>
          <w:trHeight w:val="223"/>
        </w:trPr>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4"/>
          </w:tcPr>
          <w:p>
            <w:pPr>
              <w:jc w:val="center"/>
              <w:ind w:left="493"/>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3,151</w:t>
            </w:r>
          </w:p>
        </w:tc>
        <w:tc>
          <w:tcPr>
            <w:tcW w:w="18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3,726</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878</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(2,235)</w:t>
            </w: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(980)</w:t>
            </w: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(2,418)</w:t>
            </w: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FF0FC"/>
          </w:tcPr>
          <w:p>
            <w:pPr>
              <w:spacing w:after="0"/>
              <w:rPr>
                <w:sz w:val="19"/>
                <w:szCs w:val="19"/>
                <w:color w:val="auto"/>
              </w:rPr>
            </w:pP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(644)</w:t>
            </w: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Collections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12,600</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(14,100)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(12,400)</w:t>
            </w: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 -</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(621)</w:t>
            </w: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net change from:</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(1,302)</w:t>
            </w: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29,655</w:t>
            </w:r>
          </w:p>
        </w:tc>
        <w:tc>
          <w:tcPr>
            <w:tcW w:w="120" w:type="dxa"/>
            <w:vAlign w:val="bottom"/>
            <w:shd w:val="clear" w:color="auto" w:fill="CFF0FC"/>
          </w:tcPr>
          <w:p>
            <w:pPr>
              <w:spacing w:after="0"/>
              <w:rPr>
                <w:sz w:val="19"/>
                <w:szCs w:val="19"/>
                <w:color w:val="auto"/>
              </w:rPr>
            </w:pPr>
          </w:p>
        </w:tc>
      </w:tr>
      <w:tr>
        <w:trPr>
          <w:trHeight w:val="263"/>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30,113</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28,353</w:t>
            </w:r>
          </w:p>
        </w:tc>
        <w:tc>
          <w:tcPr>
            <w:tcW w:w="120" w:type="dxa"/>
            <w:vAlign w:val="bottom"/>
            <w:tcBorders>
              <w:bottom w:val="single" w:sz="8" w:color="CFF0FC"/>
            </w:tcBorders>
          </w:tcPr>
          <w:p>
            <w:pPr>
              <w:spacing w:after="0"/>
              <w:rPr>
                <w:sz w:val="22"/>
                <w:szCs w:val="22"/>
                <w:color w:val="auto"/>
              </w:rPr>
            </w:pPr>
          </w:p>
        </w:tc>
      </w:tr>
      <w:tr>
        <w:trPr>
          <w:trHeight w:val="21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5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20"/>
                <w:szCs w:val="20"/>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4240" w:type="dxa"/>
            <w:vAlign w:val="bottom"/>
          </w:tcPr>
          <w:p>
            <w:pPr>
              <w:spacing w:after="0"/>
              <w:rPr>
                <w:sz w:val="14"/>
                <w:szCs w:val="14"/>
                <w:color w:val="auto"/>
              </w:rPr>
            </w:pPr>
          </w:p>
        </w:tc>
        <w:tc>
          <w:tcPr>
            <w:tcW w:w="2560" w:type="dxa"/>
            <w:vAlign w:val="bottom"/>
            <w:gridSpan w:val="6"/>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r>
      <w:tr>
        <w:trPr>
          <w:trHeight w:val="156"/>
        </w:trPr>
        <w:tc>
          <w:tcPr>
            <w:tcW w:w="42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Class A</w:t>
            </w: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3"/>
                <w:szCs w:val="13"/>
                <w:color w:val="auto"/>
              </w:rPr>
            </w:pPr>
          </w:p>
        </w:tc>
        <w:tc>
          <w:tcPr>
            <w:tcW w:w="138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equity</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Cash dividends</w:t>
            </w:r>
          </w:p>
        </w:tc>
        <w:tc>
          <w:tcPr>
            <w:tcW w:w="760" w:type="dxa"/>
            <w:vAlign w:val="bottom"/>
          </w:tcPr>
          <w:p>
            <w:pPr>
              <w:spacing w:after="0"/>
              <w:rPr>
                <w:sz w:val="20"/>
                <w:szCs w:val="20"/>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2018</w:t>
            </w: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55,612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83,954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139,690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Organization</w:t>
      </w:r>
      <w:r>
        <w:rPr>
          <w:rFonts w:ascii="Arial" w:cs="Arial" w:eastAsia="Arial" w:hAnsi="Arial"/>
          <w:sz w:val="18"/>
          <w:szCs w:val="18"/>
          <w:color w:val="auto"/>
        </w:rPr>
        <w:t>. We (NYSE American: CIX) are 87% owned by NL Industries, Inc. (NYSE: NL) at March 31, 2018. We manufacture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products (security products and recreational marine components). At March 31, 2018, Valhi, Inc. (NYSE: VHI) owns 83% of NL’s outstanding common stock and a wholly-owned subsidiary of Contran Corporation owns 93% of Valhi’s outstanding common stock. All of Contran’s outstanding voting stock is held by a family trust established for the benefit of Lisa K. Simmons and Serena Simmons Connelly and their children, for which Ms. Simmons and Ms. Connelly are co-trustees, or is held directly by Ms. Simmons and Ms. Connelly or entities related to them. Consequently, Ms. Simmons and Ms. Connelly may be deemed to control Contran, Valhi, NL and us.</w:t>
      </w:r>
    </w:p>
    <w:p>
      <w:pPr>
        <w:spacing w:after="0" w:line="193"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Consolidated in this Quarterly Report are the results of CompX International Inc. and its subsidiaries. The unaudited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contained in this Quarterly Report have been prepared on the same basis as the audited Consolidated Financial Statements included in our Annual Report on Form 10-K for the year ended December 31, 2017 that we filed with the Securities and Exchange Commission (“SEC”) on February 28, 2018 (the “2017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2017 contained in this Quarterly Report as compared to our audited Consolidated Financial Statements at that date, and we have omitted certain information and footnote disclosures (including those related to the Consolidated Balance Sheet at December 31, 2017) normally included in financial statements prepared in accordance with accounting principles generally accepted in the United States of America (“GAAP”). Our results of operations for the interim period ended March 31, 2018 may not be indicative of our operating results for the full year. The Condensed Consolidated Financial Statements contained in this Quarterly Report should be read in conjunction with our 2017 Consolidated Financial Statements contained in our 2017 Annual Report.</w:t>
      </w:r>
    </w:p>
    <w:p>
      <w:pPr>
        <w:spacing w:after="0" w:line="18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operations are reported on a 52 or 53-week year. For presentation purposes, annual and quarterly information in the Condensed Consolidated Financial Statements and accompanying notes are presented as ended March 31, 2017, December 31, 2017 and March 31, 2018. The actual dates of our annual and quarterly periods are April 2, 2017, December 31, 2017 and April 1, 2018, respectively. Unless otherwise indicated, references in this report to “we”, “us” or “our” refer to CompX International Inc. and its subsidiaries, taken as a whole.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4"/>
          </w:tcPr>
          <w:p>
            <w:pPr>
              <w:jc w:val="center"/>
              <w:ind w:left="436"/>
              <w:spacing w:after="0"/>
              <w:rPr>
                <w:sz w:val="20"/>
                <w:szCs w:val="20"/>
                <w:color w:val="auto"/>
              </w:rPr>
            </w:pPr>
            <w:r>
              <w:rPr>
                <w:rFonts w:ascii="Arial" w:cs="Arial" w:eastAsia="Arial" w:hAnsi="Arial"/>
                <w:sz w:val="14"/>
                <w:szCs w:val="14"/>
                <w:b w:val="1"/>
                <w:bCs w:val="1"/>
                <w:color w:val="auto"/>
                <w:w w:val="91"/>
              </w:rPr>
              <w:t>Three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left="436"/>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4"/>
          </w:tcPr>
          <w:p>
            <w:pPr>
              <w:jc w:val="center"/>
              <w:ind w:left="436"/>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Security Products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26,010</w:t>
            </w:r>
          </w:p>
        </w:tc>
        <w:tc>
          <w:tcPr>
            <w:tcW w:w="300" w:type="dxa"/>
            <w:vAlign w:val="bottom"/>
          </w:tcPr>
          <w:p>
            <w:pPr>
              <w:spacing w:after="0"/>
              <w:rPr>
                <w:sz w:val="19"/>
                <w:szCs w:val="19"/>
                <w:color w:val="auto"/>
              </w:rPr>
            </w:pPr>
          </w:p>
        </w:tc>
        <w:tc>
          <w:tcPr>
            <w:tcW w:w="480" w:type="dxa"/>
            <w:vAlign w:val="bottom"/>
            <w:gridSpan w:val="2"/>
          </w:tcPr>
          <w:p>
            <w:pPr>
              <w:jc w:val="right"/>
              <w:ind w:right="35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Marine Components</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2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29,948</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28,413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Security Products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5,691</w:t>
            </w:r>
          </w:p>
        </w:tc>
        <w:tc>
          <w:tcPr>
            <w:tcW w:w="3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50"/>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Marine Components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Corporate operating expenses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(1,538)</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2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Intersegment sales are not material.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Accounts receivable, net: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215"/>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9,341</w:t>
            </w:r>
          </w:p>
        </w:tc>
        <w:tc>
          <w:tcPr>
            <w:tcW w:w="18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23"/>
        </w:trPr>
        <w:tc>
          <w:tcPr>
            <w:tcW w:w="8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12,673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Note 5 – Accounts payable and accrued liabilities:</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8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1,897</w:t>
            </w:r>
          </w:p>
        </w:tc>
        <w:tc>
          <w:tcPr>
            <w:tcW w:w="18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other than on income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 Recognition</w:t>
      </w:r>
    </w:p>
    <w:p>
      <w:pPr>
        <w:spacing w:after="0" w:line="229"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 xml:space="preserve">Our sales involve single performance obligations to ship our products pursuant to customer purchase orders. In some cases, the purchase order is supported by an underlying master sales agreement, but our purchase order verification notice generally evidences the contract with our customer by specifying the key terms of product and quantity ordered, price and delivery and payment terms. Effective January 1, 2018 with the adoption of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(see Note 10)</w:t>
      </w:r>
      <w:r>
        <w:rPr>
          <w:rFonts w:ascii="Arial" w:cs="Arial" w:eastAsia="Arial" w:hAnsi="Arial"/>
          <w:sz w:val="17"/>
          <w:szCs w:val="17"/>
          <w:i w:val="1"/>
          <w:iCs w:val="1"/>
          <w:color w:val="auto"/>
        </w:rPr>
        <w:t>,</w:t>
      </w:r>
      <w:r>
        <w:rPr>
          <w:rFonts w:ascii="Arial" w:cs="Arial" w:eastAsia="Arial" w:hAnsi="Arial"/>
          <w:sz w:val="17"/>
          <w:szCs w:val="17"/>
          <w:color w:val="auto"/>
        </w:rPr>
        <w:t xml:space="preserve"> we record revenue when we satisfy our performance obligations to our customers 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such payment being probable of occurring. In certain arrangements we provide shipping and handling activities after the transfer of control to our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customer (e.g. when control transfers prior to delivery). In such arrangements shipping and handling are considered fulfillment activities, and accordingly, such costs are accrued when the related revenue is recognized.</w:t>
      </w:r>
    </w:p>
    <w:p>
      <w:pPr>
        <w:spacing w:after="0" w:line="170"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183"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ASU 2014-09 requires a disaggregation of our sales into categories that depict how the nature, amount, timing and uncertainty of revenue and cash flows are affected by economic factors. We have determined such disaggregation of our sales is the same as the disclosure of our sales by segment. See Note 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Provision for 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gridSpan w:val="2"/>
            <w:vMerge w:val="restart"/>
            <w:shd w:val="clear" w:color="auto" w:fill="CFF0FC"/>
          </w:tcPr>
          <w:p>
            <w:pPr>
              <w:jc w:val="right"/>
              <w:ind w:right="325"/>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rate of 35% in 2017 and 21% in 2018</w:t>
            </w:r>
          </w:p>
        </w:tc>
        <w:tc>
          <w:tcPr>
            <w:tcW w:w="780" w:type="dxa"/>
            <w:vAlign w:val="bottom"/>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180" w:type="dxa"/>
            <w:vAlign w:val="bottom"/>
            <w:shd w:val="clear" w:color="auto" w:fill="CFF0FC"/>
          </w:tcPr>
          <w:p>
            <w:pPr>
              <w:spacing w:after="0"/>
              <w:rPr>
                <w:sz w:val="20"/>
                <w:szCs w:val="20"/>
                <w:color w:val="auto"/>
              </w:rPr>
            </w:pPr>
          </w:p>
        </w:tc>
        <w:tc>
          <w:tcPr>
            <w:tcW w:w="600" w:type="dxa"/>
            <w:vAlign w:val="bottom"/>
            <w:gridSpan w:val="2"/>
            <w:vMerge w:val="continue"/>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Domestic production activities deduction</w:t>
            </w:r>
          </w:p>
        </w:tc>
        <w:tc>
          <w:tcPr>
            <w:tcW w:w="7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w:t>
            </w: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7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 expense</w:t>
            </w:r>
          </w:p>
        </w:tc>
        <w:tc>
          <w:tcPr>
            <w:tcW w:w="780" w:type="dxa"/>
            <w:vAlign w:val="bottom"/>
            <w:tcBorders>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As discussed in the 2017 Annual Report, on December 22, 2017, H.R.1, formally known as the “Tax Cuts and Jobs Act” (“2017 Tax Act”) was enacted into law. This new tax legislation, among other changes, reduced the U.S. Federal corporate income tax rate from 35% to 21% effective January 1, 2018. Following the enactment of the 2017 Tax Act, the Securities and Exchange Commission issued Staff Accounting Bulletin (SAB) 118 to provide guidance on the accounting and reporting impacts of the 2017 Tax Act. SAB 118 states that companies should account for changes related to the 2017 Tax Act in the period of enactment if all information is available and the accounting can be completed. In situations where companies do not have enough information to complete the accounting in the period of enactment, a company must either 1) record an estimated provisional amount if the impact of the change can be reasonably estimated; or 2) continue to apply the accounting guidance that was in effect immediately prior to the 2017 Tax Act if the impact of the change cannot be reasonably estimated. If estimated provisional amounts are recorded, SAB 118 provides a measurement period of no longer than one year during which companies should adjust those amounts as additional information becomes available.</w:t>
      </w:r>
    </w:p>
    <w:p>
      <w:pPr>
        <w:spacing w:after="0" w:line="182"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Under GAAP, we are required to revalue our net deferred tax liability associated with our U.S. net taxable temporary differences in the period in which the new tax legislation is enacted based on deferred tax balances as of the enactment date, to reflect the effect of such reduction in the corporate income tax rate. Our temporary differences as of December 31, 2017 were not materially different from our temporary differences as of the enactment date, accordingly revaluation of our net taxable temporary differences was based on our net deferred tax liability as of December 31, 2017. Such revaluation resulted in a non-cash deferred income tax benefit of $1.9 million recognized as of December 31, 2017 in continuing operations, reducing our net deferred income tax liability. The new tax legislation also eliminated the domestic production activities deduction beginning in 2018 and allows for the expensing of certain capital expenditures for assets placed in service between September 28, 2017 and December 31, 2022. The amounts recorded as of December 31, 2017 as a result of the 2017 Tax Act represent estimates based on information currently available. We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have not made any additional measurement-period adjustments to the provisional amounts recorded for this item during the first quarter of 2018 because we are still waiting on additional guidance that may impact the income tax effects of the new legislation recognized at December 31, 2017. We will complete our accounting for this item within the prescribed measurement period ending December 22, 2018, pursuant to the guidance under SAB 118, and if we determine an adjustment to the provisional amount recognized at December 31, 2017 is required, we will recognize such adjustment in the reporting period within the SAB 118 measurement period in which such adjustment is determined.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2017</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3"/>
              </w:rPr>
              <w:t>2018</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2"/>
                <w:szCs w:val="12"/>
                <w:color w:val="auto"/>
              </w:rPr>
            </w:pPr>
          </w:p>
        </w:tc>
        <w:tc>
          <w:tcPr>
            <w:tcW w:w="880" w:type="dxa"/>
            <w:vAlign w:val="bottom"/>
          </w:tcPr>
          <w:p>
            <w:pPr>
              <w:jc w:val="center"/>
              <w:ind w:right="299"/>
              <w:spacing w:after="0" w:line="14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w w:val="97"/>
              </w:rPr>
              <w:t>Carrying</w:t>
            </w:r>
          </w:p>
        </w:tc>
        <w:tc>
          <w:tcPr>
            <w:tcW w:w="600" w:type="dxa"/>
            <w:vAlign w:val="bottom"/>
          </w:tcPr>
          <w:p>
            <w:pPr>
              <w:spacing w:after="0"/>
              <w:rPr>
                <w:sz w:val="12"/>
                <w:szCs w:val="12"/>
                <w:color w:val="auto"/>
              </w:rPr>
            </w:pPr>
          </w:p>
        </w:tc>
        <w:tc>
          <w:tcPr>
            <w:tcW w:w="940" w:type="dxa"/>
            <w:vAlign w:val="bottom"/>
          </w:tcPr>
          <w:p>
            <w:pPr>
              <w:jc w:val="center"/>
              <w:ind w:right="237"/>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value</w:t>
            </w:r>
          </w:p>
        </w:tc>
        <w:tc>
          <w:tcPr>
            <w:tcW w:w="320" w:type="dxa"/>
            <w:vAlign w:val="bottom"/>
          </w:tcPr>
          <w:p>
            <w:pPr>
              <w:spacing w:after="0"/>
              <w:rPr>
                <w:sz w:val="14"/>
                <w:szCs w:val="14"/>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value</w:t>
            </w:r>
          </w:p>
        </w:tc>
      </w:tr>
      <w:tr>
        <w:trPr>
          <w:trHeight w:val="156"/>
        </w:trPr>
        <w:tc>
          <w:tcPr>
            <w:tcW w:w="5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28,353</w:t>
            </w:r>
          </w:p>
        </w:tc>
        <w:tc>
          <w:tcPr>
            <w:tcW w:w="600" w:type="dxa"/>
            <w:vAlign w:val="bottom"/>
            <w:shd w:val="clear" w:color="auto" w:fill="CFF0FC"/>
          </w:tcPr>
          <w:p>
            <w:pPr>
              <w:jc w:val="right"/>
              <w:ind w:right="13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28,353</w:t>
            </w:r>
          </w:p>
        </w:tc>
        <w:tc>
          <w:tcPr>
            <w:tcW w:w="12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10,446</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12,673</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12,673</w:t>
            </w:r>
          </w:p>
        </w:tc>
        <w:tc>
          <w:tcPr>
            <w:tcW w:w="12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2,769</w:t>
            </w: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2,769</w:t>
            </w:r>
          </w:p>
        </w:tc>
        <w:tc>
          <w:tcPr>
            <w:tcW w:w="12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2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2019. Loans made to Valhi at any time under the agreement are at our discretion. At March 31, 2018, the outstanding principal balance receivable from Valhi under the promissory note was $38.0 million. Interest income (including unused commitment fees) on our loan to Valhi was $0.3 million and $0.5 million for the three months ended March 31, 2017 and 2018, respectively.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22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 xml:space="preserve">On January 1, 2018, we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for all contracts which were not completed as of January 1, 2018 using the modified retrospective method. Prior to adoption of this standard, we recorded sales when our products were shipped and title and other risks and rewards of ownership had passed to our customer, which was generally at the time of shipment (although in some instances shipping terms were FOB destination point, for which we did not recognize revenue until the product was received by our customer). Following adoption of this standard, we record sales when we satisfy our performance obligations to our customers by transferring control of our products to them, which we have determined is at the same point in time that we recognized revenue prior to adoption of this new standard. Accordingly, the adoption of Topic 606 as of January 1, 2018 did not have a material impact on our consolidated financial statements, and we believe adoption of this standard will have a minimal effect on our revenues on an ongoing basis. See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Pending Adoption</w:t>
      </w:r>
    </w:p>
    <w:p>
      <w:pPr>
        <w:spacing w:after="0" w:line="225"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is a comprehensive rewriting of the lease accounting guidance which aims to increase comparability and transparency with regard to lease transactions. The primary change will be the recognition of lease assets for the right-of– use of the underlying asset and lease liabilities for the obligation to make payments by lessees on the balance sheet for leases currently classified as operating leases. The ASU also requires increased qualitative disclosure about leases in addition to quantitative disclosures currently required. Companies are required to use a modified retrospective approach to adoption with a practical expedient which will allow companies to continue to account for existing leases under the prior guidance unless a lease is modified, other than the requirement to recognize the right-of-use asset and lease liability for all operating leases. The changes indicated above will be effective for us beginning in the first quarter of 2019, with early adoption permitted. We have not yet evaluated the effect this ASU will have on our Consolidated Financial Statements, but given the amount of our future minimum payments under non-cancellable operating leases at December 31, 2017 totaling $0.4 million, we do not expect the adoption of this standard to have a material effect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and trim tabs for the recreational marine and other industries through our Marine Components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8" w:lineRule="exact"/>
        <w:rPr>
          <w:sz w:val="20"/>
          <w:szCs w:val="20"/>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cyber-attacks);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Operations Overview</w:t>
      </w:r>
    </w:p>
    <w:p>
      <w:pPr>
        <w:spacing w:after="0" w:line="22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reported operating income of $4.4 million in the first quarter of 2018 compared to $4.5 million in the same period of 2017. The decrease in operating income from 2017 to 2018 primarily resulted from lower Security Products sales.</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product offerings consist of a significantly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398"/>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6"/>
          </w:tcPr>
          <w:p>
            <w:pPr>
              <w:jc w:val="center"/>
              <w:ind w:right="6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29,948</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28,413</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20,262</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18,910</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66.6%</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9,686</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9,503</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33.4%</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5,162</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5,130</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18.1%</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15.1%</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4,373</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15.4%</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$1.5 million in the first quarter of 2018 compared to the same period of 2017, primarily due to lower Security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sales volumes to existing government security customers and to a lesser extent lower sales to an original equipment manufacturer of recreational transportation products, partially offset by higher Marine Components sales for the quarter. Relative changes in selling prices did not have a material impact on net sales comparisons.</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Cost of goods sold and gross profit. </w:t>
      </w:r>
      <w:r>
        <w:rPr>
          <w:rFonts w:ascii="Arial" w:cs="Arial" w:eastAsia="Arial" w:hAnsi="Arial"/>
          <w:sz w:val="18"/>
          <w:szCs w:val="18"/>
          <w:color w:val="auto"/>
        </w:rPr>
        <w:t>Cost of goods sold as a percentage of sales decreased 1% in the first quarter of 2018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As a result, gross profit as a percentage of sales increased over the same period. The increase in gross profit percentage is due to reduced fixed costs at Security Products, primarily resulting from headcount reductions made in 2017, and manufacturing efficiencies and improved fixed cost leverage at Marine Components. Gross profit dollars decreased due to lower sales at Security Products.</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as well as gains and losses on plant, property and equipment. Operating costs and expenses for the first quarter of 2018 were comparable to the same period in 2017.</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As a percentage of net sales, operating income for the first quarter of 2018 was comparable to the same period of 2017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factors impacting cost of goods sold, gross margin and operating costs discussed above.</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7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Our operations are wholly within the U.S. and therefore our effective income tax rate is primarily reflective of the U.S. federal statutory rate and applicable state taxes.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vMerge w:val="restart"/>
          </w:tcPr>
          <w:p>
            <w:pPr>
              <w:jc w:val="right"/>
              <w:ind w:right="31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900" w:type="dxa"/>
            <w:vAlign w:val="bottom"/>
          </w:tcPr>
          <w:p>
            <w:pPr>
              <w:spacing w:after="0"/>
              <w:rPr>
                <w:sz w:val="10"/>
                <w:szCs w:val="10"/>
                <w:color w:val="auto"/>
              </w:rPr>
            </w:pPr>
          </w:p>
        </w:tc>
        <w:tc>
          <w:tcPr>
            <w:tcW w:w="27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00" w:type="dxa"/>
            <w:vAlign w:val="bottom"/>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5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9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26,010</w:t>
            </w:r>
          </w:p>
        </w:tc>
        <w:tc>
          <w:tcPr>
            <w:tcW w:w="240" w:type="dxa"/>
            <w:vAlign w:val="bottom"/>
          </w:tcPr>
          <w:p>
            <w:pPr>
              <w:spacing w:after="0"/>
              <w:rPr>
                <w:sz w:val="21"/>
                <w:szCs w:val="21"/>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24,056</w:t>
            </w:r>
          </w:p>
        </w:tc>
        <w:tc>
          <w:tcPr>
            <w:tcW w:w="3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4,357</w:t>
            </w:r>
          </w:p>
        </w:tc>
        <w:tc>
          <w:tcPr>
            <w:tcW w:w="3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7"/>
        </w:trPr>
        <w:tc>
          <w:tcPr>
            <w:tcW w:w="490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29,948</w:t>
            </w:r>
          </w:p>
        </w:tc>
        <w:tc>
          <w:tcPr>
            <w:tcW w:w="240" w:type="dxa"/>
            <w:vAlign w:val="bottom"/>
          </w:tcPr>
          <w:p>
            <w:pPr>
              <w:spacing w:after="0"/>
              <w:rPr>
                <w:sz w:val="24"/>
                <w:szCs w:val="24"/>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28,413</w:t>
            </w:r>
          </w:p>
        </w:tc>
        <w:tc>
          <w:tcPr>
            <w:tcW w:w="3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9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8,725</w:t>
            </w:r>
          </w:p>
        </w:tc>
        <w:tc>
          <w:tcPr>
            <w:tcW w:w="240" w:type="dxa"/>
            <w:vAlign w:val="bottom"/>
          </w:tcPr>
          <w:p>
            <w:pPr>
              <w:spacing w:after="0"/>
              <w:rPr>
                <w:sz w:val="21"/>
                <w:szCs w:val="21"/>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8,303</w:t>
            </w:r>
          </w:p>
        </w:tc>
        <w:tc>
          <w:tcPr>
            <w:tcW w:w="3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1,201</w:t>
            </w:r>
          </w:p>
        </w:tc>
        <w:tc>
          <w:tcPr>
            <w:tcW w:w="3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4900" w:type="dxa"/>
            <w:vAlign w:val="bottom"/>
          </w:tcPr>
          <w:p>
            <w:pPr>
              <w:ind w:left="740"/>
              <w:spacing w:after="0"/>
              <w:rPr>
                <w:sz w:val="20"/>
                <w:szCs w:val="20"/>
                <w:color w:val="auto"/>
              </w:rPr>
            </w:pPr>
            <w:r>
              <w:rPr>
                <w:rFonts w:ascii="Arial" w:cs="Arial" w:eastAsia="Arial" w:hAnsi="Arial"/>
                <w:sz w:val="18"/>
                <w:szCs w:val="18"/>
                <w:color w:val="auto"/>
              </w:rPr>
              <w:t>Total gross profit</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9,686</w:t>
            </w:r>
          </w:p>
        </w:tc>
        <w:tc>
          <w:tcPr>
            <w:tcW w:w="240" w:type="dxa"/>
            <w:vAlign w:val="bottom"/>
          </w:tcPr>
          <w:p>
            <w:pPr>
              <w:spacing w:after="0"/>
              <w:rPr>
                <w:sz w:val="24"/>
                <w:szCs w:val="24"/>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9,504</w:t>
            </w:r>
          </w:p>
        </w:tc>
        <w:tc>
          <w:tcPr>
            <w:tcW w:w="3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9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5,691</w:t>
            </w:r>
          </w:p>
        </w:tc>
        <w:tc>
          <w:tcPr>
            <w:tcW w:w="240" w:type="dxa"/>
            <w:vAlign w:val="bottom"/>
          </w:tcPr>
          <w:p>
            <w:pPr>
              <w:spacing w:after="0"/>
              <w:rPr>
                <w:sz w:val="21"/>
                <w:szCs w:val="21"/>
                <w:color w:val="auto"/>
              </w:rPr>
            </w:pPr>
          </w:p>
        </w:tc>
        <w:tc>
          <w:tcPr>
            <w:tcW w:w="9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5,612</w:t>
            </w:r>
          </w:p>
        </w:tc>
        <w:tc>
          <w:tcPr>
            <w:tcW w:w="3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586</w:t>
            </w:r>
          </w:p>
        </w:tc>
        <w:tc>
          <w:tcPr>
            <w:tcW w:w="3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900" w:type="dxa"/>
            <w:vAlign w:val="bottom"/>
          </w:tcPr>
          <w:p>
            <w:pPr>
              <w:ind w:left="500"/>
              <w:spacing w:after="0"/>
              <w:rPr>
                <w:sz w:val="20"/>
                <w:szCs w:val="20"/>
                <w:color w:val="auto"/>
              </w:rPr>
            </w:pPr>
            <w:r>
              <w:rPr>
                <w:rFonts w:ascii="Arial" w:cs="Arial" w:eastAsia="Arial" w:hAnsi="Arial"/>
                <w:sz w:val="18"/>
                <w:szCs w:val="18"/>
                <w:color w:val="auto"/>
              </w:rPr>
              <w:t>Corporate operating expenses</w:t>
            </w:r>
          </w:p>
        </w:tc>
        <w:tc>
          <w:tcPr>
            <w:tcW w:w="1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(1,825)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w:t>
            </w:r>
          </w:p>
        </w:tc>
        <w:tc>
          <w:tcPr>
            <w:tcW w:w="278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4,373</w:t>
            </w:r>
          </w:p>
        </w:tc>
        <w:tc>
          <w:tcPr>
            <w:tcW w:w="3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Gross profit margin:</w:t>
            </w:r>
          </w:p>
        </w:tc>
        <w:tc>
          <w:tcPr>
            <w:tcW w:w="19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1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34.5%</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27.6%</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gross profit margin</w:t>
            </w:r>
          </w:p>
        </w:tc>
        <w:tc>
          <w:tcPr>
            <w:tcW w:w="1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33.4%</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1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23.3%</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13.4%</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 margin</w:t>
            </w:r>
          </w:p>
        </w:tc>
        <w:tc>
          <w:tcPr>
            <w:tcW w:w="1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15.4%</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Security Products</w:t>
      </w:r>
      <w:r>
        <w:rPr>
          <w:rFonts w:ascii="Arial" w:cs="Arial" w:eastAsia="Arial" w:hAnsi="Arial"/>
          <w:sz w:val="18"/>
          <w:szCs w:val="18"/>
          <w:color w:val="auto"/>
        </w:rPr>
        <w:t>. Security Products net sales decreased 8% in the first quarter of 2018 compared to the same period last year. The decrease in sales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approximately $1.1 million in lower sales to existing government security customers and $0.3 million in lower sales to a customer serving the recreational transportation market. Gross profit margin and operating income as a percentage of sales in 2018 increased compared to the same period in 2017 due to lower fixed costs resulting primarily from headcount reductions made in 2017.</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Marine Components net sales increased 11% in the first quarter of 2018 as compared to the same period last year, reflecting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improved demand for products sold to various markets. Gross profit margin and operating income as a percentage of sales in 2018 increased significantly compared to the same period in 2017 primarily due to improved manufacturing efficiencies and greater fixed cost leverage facilitated by higher production volumes.</w:t>
      </w:r>
    </w:p>
    <w:p>
      <w:pPr>
        <w:spacing w:after="0" w:line="18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As expected, first quarter sales did not match the levels achieved in early 2017 due to more normalized demand from existing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lower sales to the transportation market, where a significant customer of the segment continues to experience weakened sales volumes, in 2018. While we expect continued softness in transportation sales, full year sales of security products to existing government customers should be comparable to 2017. We expect consolidated sales for full year 2018 to meet or exceed 2017 based on anticipated growth in sales to other Security Products markets and continued growth in Marine Component sales, where we continue to benefit from innovation and diversification in our product offerings to the recreational boat markets. We will continue to monitor economic conditions and sales order rates and respond to fluctuations in customer demand through continuous evaluation of staffing levels and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 trends</w:t>
      </w:r>
      <w:r>
        <w:rPr>
          <w:rFonts w:ascii="Arial" w:cs="Arial" w:eastAsia="Arial" w:hAnsi="Arial"/>
          <w:sz w:val="18"/>
          <w:szCs w:val="18"/>
          <w:i w:val="1"/>
          <w:iCs w:val="1"/>
          <w:color w:val="auto"/>
        </w:rPr>
        <w:t xml:space="preserve"> </w:t>
      </w:r>
      <w:r>
        <w:rPr>
          <w:rFonts w:ascii="Arial" w:cs="Arial" w:eastAsia="Arial" w:hAnsi="Arial"/>
          <w:sz w:val="18"/>
          <w:szCs w:val="18"/>
          <w:color w:val="auto"/>
        </w:rPr>
        <w:t>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46"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generally report a net use of cash from operating activities in the first three months of each year due to seasonal changes in the level of our working capital. Our net cash used by operating activities was $0.2 million in each of the first three months of 2017 and 2018, respectively.</w:t>
      </w:r>
    </w:p>
    <w:p>
      <w:pPr>
        <w:spacing w:after="0" w:line="12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the change in our average days sales outstanding from December 31, 2017 to March 31, 2018 varied by segment. Generally, we expect our average days sales outstanding to increase from December to March as the result of seasonally higher sales during the first quarter as compared to the fourth quarter. Overall, our March 31, 2018 days sales outstanding compared to December 31, 2017 is in line with our expectations. For comparative purposes, we have provided December 31, 2016 and March 31, 2017 numbers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Days Sales Outstanding:</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2017</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2018</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36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39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41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33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39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31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39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36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39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38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41 Days</w:t>
            </w:r>
          </w:p>
        </w:tc>
      </w:tr>
    </w:tbl>
    <w:p>
      <w:pPr>
        <w:spacing w:after="0" w:line="16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average number of days sales in inventory has typically decreased between year-end and the end of the first calendar quarter due to higher seasonal sales in the first quarter. However, average days sales in inventory for Security Products increased from December 31, 2017 to March 31, 2018, despite higher first quarter sales relative to the preceding quarter, due to a build in work-in-process inventories of approximately $0.7 million based on anticipated second quarter customer demand in certain markets. The variability in days in inventory among our segments primarily relates to the differences in the complexity of the production processes and therefore the length of time it takes to produce and sell end-products. For comparative purposes, we have provided December 31, 2016 and March 31, 2017 numbers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Days in Inventory:</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2017</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2018</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73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67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76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77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122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82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96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88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79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69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79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79 Days</w:t>
            </w: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$0.6 million in each of the first three months of 2017 and 2018. During the first quarter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Valhi repaid a net $0.2 million under the promissory note ($12.4 million of gross borrowings and $12.6 million of gross repayments). During the first quarter of 2017, Valhi borrowed a net $1.6 million under the promissory note ($14.1 million of gross borrowings and $12.5 million of gross repayments). See Note 9 to the Condensed Consolidated Financial Statements.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Financing activities consisted only of quarterly cash dividends ($0.05 per share) and were comparable for the noted periods.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jc w:val="both"/>
        <w:ind w:firstLine="518"/>
        <w:spacing w:after="0" w:line="257"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$28.4 million aggregate cash and cash equivalents at March 31, 2018 were held in the U.S.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March 31, 2018 totaled $0.6 million. Our 2018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limited to those expenditures required to meet our expected customer demand and those required to properly maintain our facilities and technology infrastructure.</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2017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 other than the operating leases discussed in our 2017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to our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the first three months of 2018 with respect to our critical accounting policies presented in Management’s Discussion and Analysis of Financial Condition and Results of Operations in our 2017 Annual Report.</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2017 Annual Report, and we refer you to Part I, Item 7A – “Quantitative and Qualitative Disclosure About Market Risk” in our 2017 Annual Report. See also Note 8 to the Condensed Consolidated Financial Statements.</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James W. Brown, our Vice President, Chief Financial Officer and Controller, has evaluated the design and operating effectiveness of our disclosure controls and procedures as of March 31, 2018. Based upon their evaluation, these executive officers have concluded that our disclosure controls and procedures are effective as of the date of such evaluation.</w:t>
      </w:r>
    </w:p>
    <w:p>
      <w:pPr>
        <w:spacing w:after="0" w:line="178"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b w:val="1"/>
          <w:bCs w:val="1"/>
          <w:color w:val="auto"/>
        </w:rPr>
        <w:t>Internal Control Over Financial Reporting</w:t>
      </w:r>
      <w:r>
        <w:rPr>
          <w:rFonts w:ascii="Arial" w:cs="Arial" w:eastAsia="Arial" w:hAnsi="Arial"/>
          <w:sz w:val="18"/>
          <w:szCs w:val="18"/>
          <w:color w:val="auto"/>
        </w:rPr>
        <w:t>. Our management is responsible for establishing and maintaining adequate internal control over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40" w:hanging="519"/>
        <w:spacing w:after="0"/>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ind w:left="5620" w:hanging="101"/>
        <w:spacing w:after="0"/>
        <w:tabs>
          <w:tab w:leader="none" w:pos="5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left="1040" w:right="2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66" w:lineRule="exact"/>
        <w:rPr>
          <w:sz w:val="20"/>
          <w:szCs w:val="20"/>
          <w:color w:val="auto"/>
        </w:rPr>
      </w:pPr>
    </w:p>
    <w:p>
      <w:pPr>
        <w:ind w:firstLine="518"/>
        <w:spacing w:after="0" w:line="313" w:lineRule="auto"/>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color w:val="auto"/>
        </w:rPr>
        <w:t>. There have been no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March 31, 2018 that have materially affected, or are reasonably likely to materially affect, our internal control over financial reporting.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Reference is made to the 2017 Annual Report for a discussion of the risk factors related to our businesses. There have been no material changes in such risk factors during the first three months of 2018.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98"/>
              </w:rPr>
              <w:t>Exhibit Index</w:t>
            </w:r>
          </w:p>
        </w:tc>
        <w:tc>
          <w:tcPr>
            <w:tcW w:w="9220" w:type="dxa"/>
            <w:vAlign w:val="bottom"/>
            <w:tcBorders>
              <w:bottom w:val="single" w:sz="8" w:color="auto"/>
            </w:tcBorders>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retained a signed original of any of the above exhibits that contains signatures, and we will provide such exhibit to the Commission or its staff upon request. We will also furnish, without charge, a copy of our Code of Business Conduct and Ethics, and Audit Committee Charter, each as adopted by our board of directors on June 3, 2015, upon request. Such requests should be directed to the attention of our Corporate Secretary at our corporate offices located at 5430 LBJ Freeway, Suite 1700, Dallas, Texas 75240.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COMPX INTERNATIONAL INC.</w:t>
            </w:r>
          </w:p>
        </w:tc>
      </w:tr>
      <w:tr>
        <w:trPr>
          <w:trHeight w:val="237"/>
        </w:trPr>
        <w:tc>
          <w:tcPr>
            <w:tcW w:w="3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(Registrant)</w:t>
            </w:r>
          </w:p>
        </w:tc>
        <w:tc>
          <w:tcPr>
            <w:tcW w:w="2420" w:type="dxa"/>
            <w:vAlign w:val="bottom"/>
          </w:tcPr>
          <w:p>
            <w:pPr>
              <w:spacing w:after="0"/>
              <w:rPr>
                <w:sz w:val="20"/>
                <w:szCs w:val="20"/>
                <w:color w:val="auto"/>
              </w:rPr>
            </w:pP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May 7, 2018</w:t>
            </w:r>
          </w:p>
        </w:tc>
        <w:tc>
          <w:tcPr>
            <w:tcW w:w="7960" w:type="dxa"/>
            <w:vAlign w:val="bottom"/>
            <w:gridSpan w:val="4"/>
          </w:tcPr>
          <w:p>
            <w:pPr>
              <w:ind w:left="2860"/>
              <w:spacing w:after="0"/>
              <w:rPr>
                <w:sz w:val="20"/>
                <w:szCs w:val="20"/>
                <w:color w:val="auto"/>
              </w:rPr>
            </w:pPr>
            <w:r>
              <w:rPr>
                <w:rFonts w:ascii="Arial" w:cs="Arial" w:eastAsia="Arial" w:hAnsi="Arial"/>
                <w:sz w:val="18"/>
                <w:szCs w:val="18"/>
                <w:color w:val="auto"/>
              </w:rPr>
              <w:t>By:  /s/ James W. Brown</w:t>
            </w:r>
          </w:p>
        </w:tc>
      </w:tr>
      <w:tr>
        <w:trPr>
          <w:trHeight w:val="195"/>
        </w:trPr>
        <w:tc>
          <w:tcPr>
            <w:tcW w:w="3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W. Brown</w:t>
            </w:r>
          </w:p>
        </w:tc>
      </w:tr>
      <w:tr>
        <w:trPr>
          <w:trHeight w:val="230"/>
        </w:trPr>
        <w:tc>
          <w:tcPr>
            <w:tcW w:w="3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Vice President, Chief Financial Officer and Controller</w:t>
            </w:r>
          </w:p>
        </w:tc>
      </w:tr>
      <w:tr>
        <w:trPr>
          <w:trHeight w:val="864"/>
        </w:trPr>
        <w:tc>
          <w:tcPr>
            <w:tcW w:w="3460" w:type="dxa"/>
            <w:vAlign w:val="bottom"/>
          </w:tcPr>
          <w:p>
            <w:pPr>
              <w:spacing w:after="0"/>
              <w:rPr>
                <w:sz w:val="24"/>
                <w:szCs w:val="24"/>
                <w:color w:val="auto"/>
              </w:rPr>
            </w:pPr>
          </w:p>
        </w:tc>
        <w:tc>
          <w:tcPr>
            <w:tcW w:w="2860" w:type="dxa"/>
            <w:vAlign w:val="bottom"/>
          </w:tcPr>
          <w:p>
            <w:pPr>
              <w:jc w:val="right"/>
              <w:ind w:right="330"/>
              <w:spacing w:after="0"/>
              <w:rPr>
                <w:sz w:val="20"/>
                <w:szCs w:val="20"/>
                <w:color w:val="auto"/>
              </w:rPr>
            </w:pPr>
            <w:r>
              <w:rPr>
                <w:rFonts w:ascii="Arial" w:cs="Arial" w:eastAsia="Arial" w:hAnsi="Arial"/>
                <w:sz w:val="18"/>
                <w:szCs w:val="18"/>
                <w:color w:val="auto"/>
              </w:rPr>
              <w:t>- 19 -</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C. James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632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W. Brown, certify that:</w:t>
      </w:r>
    </w:p>
    <w:p>
      <w:pPr>
        <w:spacing w:after="0" w:line="11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33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March 31, 2018 as filed with the Securities and Exchange Commission on the date hereof (the Report), I, Scott C. James, President and Chief Executive Officer of the Company and I, James W. Brown, Vice President, Chief Financial Officer and Controller of the Company, certify, pursuant to 18 U.S.C. §1350, as adopted pursuant to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 and Controller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2019-12-28T23:01:00Z</dcterms:created>
  <dcterms:modified xsi:type="dcterms:W3CDTF">2019-12-28T23:01:00Z</dcterms:modified>
</cp:coreProperties>
</file>