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67310</wp:posOffset>
            </wp:positionV>
            <wp:extent cx="1654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117" w:lineRule="exact"/>
        <w:rPr>
          <w:sz w:val="24"/>
          <w:szCs w:val="24"/>
          <w:color w:val="auto"/>
        </w:rPr>
      </w:pPr>
    </w:p>
    <w:p>
      <w:pPr>
        <w:ind w:left="3640" w:right="2260" w:hanging="1378"/>
        <w:spacing w:after="0" w:line="256" w:lineRule="auto"/>
        <w:tabs>
          <w:tab w:leader="none" w:pos="2447" w:val="left"/>
        </w:tabs>
        <w:numPr>
          <w:ilvl w:val="0"/>
          <w:numId w:val="1"/>
        </w:numPr>
        <w:rPr>
          <w:rFonts w:ascii="MS PGothic" w:cs="MS PGothic" w:eastAsia="MS PGothic" w:hAnsi="MS PGothic"/>
          <w:sz w:val="16"/>
          <w:szCs w:val="16"/>
          <w:color w:val="auto"/>
        </w:rPr>
      </w:pPr>
      <w:r>
        <w:rPr>
          <w:rFonts w:ascii="Arial" w:cs="Arial" w:eastAsia="Arial" w:hAnsi="Arial"/>
          <w:sz w:val="22"/>
          <w:szCs w:val="22"/>
          <w:b w:val="1"/>
          <w:bCs w:val="1"/>
          <w:color w:val="auto"/>
        </w:rPr>
        <w:t>ANNUAL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71755</wp:posOffset>
            </wp:positionV>
            <wp:extent cx="1654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2480" w:hanging="183"/>
        <w:spacing w:after="0"/>
        <w:tabs>
          <w:tab w:leader="none" w:pos="2480" w:val="left"/>
        </w:tabs>
        <w:numPr>
          <w:ilvl w:val="0"/>
          <w:numId w:val="2"/>
        </w:numPr>
        <w:rPr>
          <w:rFonts w:ascii="MS PGothic" w:cs="MS PGothic" w:eastAsia="MS PGothic" w:hAnsi="MS PGothic"/>
          <w:sz w:val="15"/>
          <w:szCs w:val="15"/>
          <w:color w:val="auto"/>
        </w:rPr>
      </w:pPr>
      <w:r>
        <w:rPr>
          <w:rFonts w:ascii="Arial" w:cs="Arial" w:eastAsia="Arial" w:hAnsi="Arial"/>
          <w:sz w:val="21"/>
          <w:szCs w:val="21"/>
          <w:b w:val="1"/>
          <w:bCs w:val="1"/>
          <w:color w:val="auto"/>
        </w:rPr>
        <w:t>TRANSITION REPORT PURSUANT TO SECTION 13 OR 15(d) OF</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ind w:left="4000"/>
        <w:spacing w:after="0"/>
        <w:rPr>
          <w:sz w:val="20"/>
          <w:szCs w:val="20"/>
          <w:color w:val="auto"/>
        </w:rPr>
      </w:pPr>
      <w:r>
        <w:rPr>
          <w:rFonts w:ascii="Arial" w:cs="Arial" w:eastAsia="Arial" w:hAnsi="Arial"/>
          <w:sz w:val="18"/>
          <w:szCs w:val="18"/>
          <w:b w:val="1"/>
          <w:bCs w:val="1"/>
          <w:color w:val="auto"/>
        </w:rPr>
        <w:t>For the transition period from ___ to ____</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1-13905</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COMPX INTERNATIONAL INC.</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56515</wp:posOffset>
            </wp:positionV>
            <wp:extent cx="1654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p>
      <w:pPr>
        <w:spacing w:after="0" w:line="205"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57-0981653</w:t>
      </w:r>
    </w:p>
    <w:p>
      <w:pPr>
        <w:spacing w:after="0" w:line="31" w:lineRule="exact"/>
        <w:rPr>
          <w:sz w:val="24"/>
          <w:szCs w:val="24"/>
          <w:color w:val="auto"/>
        </w:rPr>
      </w:pPr>
    </w:p>
    <w:p>
      <w:pPr>
        <w:sectPr>
          <w:pgSz w:w="11900" w:h="16838" w:orient="portrait"/>
          <w:cols w:equalWidth="0" w:num="2">
            <w:col w:w="7340" w:space="720"/>
            <w:col w:w="3180"/>
          </w:cols>
          <w:pgMar w:left="320" w:top="418" w:right="339" w:bottom="1440" w:gutter="0" w:footer="0" w:header="0"/>
          <w:type w:val="continuous"/>
        </w:sectPr>
      </w:pPr>
    </w:p>
    <w:p>
      <w:pPr>
        <w:spacing w:after="0" w:line="12"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(State or other jurisdiction of</w:t>
      </w:r>
    </w:p>
    <w:p>
      <w:pPr>
        <w:ind w:left="18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4"/>
          <w:szCs w:val="14"/>
          <w:b w:val="1"/>
          <w:bCs w:val="1"/>
          <w:color w:val="auto"/>
        </w:rPr>
        <w:t>(IRS Employer</w:t>
      </w:r>
    </w:p>
    <w:p>
      <w:pPr>
        <w:jc w:val="center"/>
        <w:ind w:right="2180"/>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2">
            <w:col w:w="7200" w:space="720"/>
            <w:col w:w="3320"/>
          </w:cols>
          <w:pgMar w:left="320" w:top="418"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5430 LBJ Freeway, Suite 1700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Dallas, Texas 75240-2620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240"/>
          </w:cols>
          <w:pgMar w:left="320" w:top="418" w:right="339" w:bottom="1440" w:gutter="0" w:footer="0" w:header="0"/>
          <w:type w:val="continuous"/>
        </w:sectPr>
      </w:pPr>
    </w:p>
    <w:p>
      <w:pPr>
        <w:spacing w:after="0" w:line="71"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Registrant’s telephone number, including area code: (972) 448-1400</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jc w:val="center"/>
              <w:ind w:left="1008"/>
              <w:spacing w:after="0"/>
              <w:rPr>
                <w:sz w:val="20"/>
                <w:szCs w:val="20"/>
                <w:color w:val="auto"/>
              </w:rPr>
            </w:pPr>
            <w:r>
              <w:rPr>
                <w:rFonts w:ascii="Arial" w:cs="Arial" w:eastAsia="Arial" w:hAnsi="Arial"/>
                <w:sz w:val="14"/>
                <w:szCs w:val="14"/>
                <w:b w:val="1"/>
                <w:bCs w:val="1"/>
                <w:color w:val="auto"/>
                <w:w w:val="89"/>
              </w:rPr>
              <w:t>Title of each class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Trading</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332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Symbol(s)</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20" w:type="dxa"/>
            <w:vAlign w:val="bottom"/>
          </w:tcPr>
          <w:p>
            <w:pPr>
              <w:jc w:val="center"/>
              <w:ind w:left="1008"/>
              <w:spacing w:after="0"/>
              <w:rPr>
                <w:sz w:val="20"/>
                <w:szCs w:val="20"/>
                <w:color w:val="auto"/>
              </w:rPr>
            </w:pPr>
            <w:r>
              <w:rPr>
                <w:rFonts w:ascii="Arial" w:cs="Arial" w:eastAsia="Arial" w:hAnsi="Arial"/>
                <w:sz w:val="14"/>
                <w:szCs w:val="14"/>
                <w:color w:val="auto"/>
                <w:w w:val="92"/>
              </w:rPr>
              <w:t>Class A common stock</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gridSpan w:val="3"/>
          </w:tcPr>
          <w:p>
            <w:pPr>
              <w:jc w:val="center"/>
              <w:ind w:right="40"/>
              <w:spacing w:after="0"/>
              <w:rPr>
                <w:sz w:val="20"/>
                <w:szCs w:val="20"/>
                <w:color w:val="auto"/>
              </w:rPr>
            </w:pPr>
            <w:r>
              <w:rPr>
                <w:rFonts w:ascii="Arial" w:cs="Arial" w:eastAsia="Arial" w:hAnsi="Arial"/>
                <w:sz w:val="14"/>
                <w:szCs w:val="14"/>
                <w:color w:val="auto"/>
              </w:rPr>
              <w:t>CIX</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18"/>
                <w:szCs w:val="18"/>
                <w:color w:val="auto"/>
              </w:rPr>
            </w:pPr>
          </w:p>
        </w:tc>
        <w:tc>
          <w:tcPr>
            <w:tcW w:w="7920" w:type="dxa"/>
            <w:vAlign w:val="bottom"/>
            <w:gridSpan w:val="9"/>
          </w:tcPr>
          <w:p>
            <w:pPr>
              <w:jc w:val="center"/>
              <w:ind w:right="3248"/>
              <w:spacing w:after="0"/>
              <w:rPr>
                <w:sz w:val="20"/>
                <w:szCs w:val="20"/>
                <w:color w:val="auto"/>
              </w:rPr>
            </w:pPr>
            <w:r>
              <w:rPr>
                <w:rFonts w:ascii="Arial" w:cs="Arial" w:eastAsia="Arial" w:hAnsi="Arial"/>
                <w:sz w:val="14"/>
                <w:szCs w:val="14"/>
                <w:b w:val="1"/>
                <w:bCs w:val="1"/>
                <w:color w:val="auto"/>
                <w:w w:val="90"/>
              </w:rPr>
              <w:t>No securities registered pursuant to Section 12(g) of the Act.</w:t>
            </w:r>
          </w:p>
        </w:tc>
        <w:tc>
          <w:tcPr>
            <w:tcW w:w="0" w:type="dxa"/>
            <w:vAlign w:val="bottom"/>
          </w:tcPr>
          <w:p>
            <w:pPr>
              <w:spacing w:after="0"/>
              <w:rPr>
                <w:sz w:val="1"/>
                <w:szCs w:val="1"/>
                <w:color w:val="auto"/>
              </w:rPr>
            </w:pPr>
          </w:p>
        </w:tc>
      </w:tr>
      <w:tr>
        <w:trPr>
          <w:trHeight w:val="66"/>
        </w:trPr>
        <w:tc>
          <w:tcPr>
            <w:tcW w:w="3320" w:type="dxa"/>
            <w:vAlign w:val="bottom"/>
            <w:vMerge w:val="restart"/>
          </w:tcPr>
          <w:p>
            <w:pPr>
              <w:spacing w:after="0"/>
              <w:rPr>
                <w:sz w:val="20"/>
                <w:szCs w:val="20"/>
                <w:color w:val="auto"/>
              </w:rPr>
            </w:pPr>
            <w:r>
              <w:rPr>
                <w:rFonts w:ascii="Arial" w:cs="Arial" w:eastAsia="Arial" w:hAnsi="Arial"/>
                <w:sz w:val="14"/>
                <w:szCs w:val="14"/>
                <w:color w:val="auto"/>
              </w:rPr>
              <w:t>Indicate by check mark:</w:t>
            </w: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3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gridSpan w:val="2"/>
            <w:vMerge w:val="restart"/>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120" w:type="dxa"/>
            <w:vAlign w:val="bottom"/>
            <w:gridSpan w:val="3"/>
            <w:vMerge w:val="restart"/>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6"/>
        </w:trPr>
        <w:tc>
          <w:tcPr>
            <w:tcW w:w="5560" w:type="dxa"/>
            <w:vAlign w:val="bottom"/>
            <w:gridSpan w:val="5"/>
          </w:tcPr>
          <w:p>
            <w:pPr>
              <w:spacing w:after="0"/>
              <w:rPr>
                <w:sz w:val="20"/>
                <w:szCs w:val="20"/>
                <w:color w:val="auto"/>
              </w:rPr>
            </w:pPr>
            <w:r>
              <w:rPr>
                <w:rFonts w:ascii="Arial" w:cs="Arial" w:eastAsia="Arial" w:hAnsi="Arial"/>
                <w:sz w:val="14"/>
                <w:szCs w:val="14"/>
                <w:color w:val="auto"/>
                <w:w w:val="95"/>
              </w:rPr>
              <w:t>If the Registrant is a well-known seasoned issuer, as defined in Rule 405 of the Securities Act.</w:t>
            </w:r>
          </w:p>
        </w:tc>
        <w:tc>
          <w:tcPr>
            <w:tcW w:w="560" w:type="dxa"/>
            <w:vAlign w:val="bottom"/>
            <w:gridSpan w:val="2"/>
            <w:vMerge w:val="continue"/>
          </w:tcPr>
          <w:p>
            <w:pPr>
              <w:spacing w:after="0"/>
              <w:rPr>
                <w:sz w:val="20"/>
                <w:szCs w:val="20"/>
                <w:color w:val="auto"/>
              </w:rPr>
            </w:pPr>
          </w:p>
        </w:tc>
        <w:tc>
          <w:tcPr>
            <w:tcW w:w="51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560" w:type="dxa"/>
            <w:vAlign w:val="bottom"/>
            <w:gridSpan w:val="5"/>
          </w:tcPr>
          <w:p>
            <w:pPr>
              <w:spacing w:after="0"/>
              <w:rPr>
                <w:sz w:val="20"/>
                <w:szCs w:val="20"/>
                <w:color w:val="auto"/>
              </w:rPr>
            </w:pPr>
            <w:r>
              <w:rPr>
                <w:rFonts w:ascii="Arial" w:cs="Arial" w:eastAsia="Arial" w:hAnsi="Arial"/>
                <w:sz w:val="14"/>
                <w:szCs w:val="14"/>
                <w:color w:val="auto"/>
                <w:w w:val="93"/>
              </w:rPr>
              <w:t>If the Registrant is not required to file reports pursuant to Section 13 or Section 15(d) of the Act.</w:t>
            </w:r>
          </w:p>
        </w:tc>
        <w:tc>
          <w:tcPr>
            <w:tcW w:w="560" w:type="dxa"/>
            <w:vAlign w:val="bottom"/>
            <w:gridSpan w:val="2"/>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5120" w:type="dxa"/>
            <w:vAlign w:val="bottom"/>
            <w:gridSpan w:val="3"/>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Whether the registrant has submitted electronically every Interactive Data File required to be submitted pursuant to Rule 405 of Regulation S-T during the preceding 12 months (or for such shorter period that the registration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239" w:lineRule="auto"/>
        <w:rPr>
          <w:sz w:val="20"/>
          <w:szCs w:val="20"/>
          <w:color w:val="auto"/>
        </w:rPr>
      </w:pPr>
      <w:r>
        <w:rPr>
          <w:rFonts w:ascii="Arial" w:cs="Arial" w:eastAsia="Arial" w:hAnsi="Arial"/>
          <w:sz w:val="14"/>
          <w:szCs w:val="14"/>
          <w:color w:val="auto"/>
        </w:rPr>
        <w:t>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14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3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76" w:lineRule="exact"/>
        <w:rPr>
          <w:sz w:val="20"/>
          <w:szCs w:val="20"/>
          <w:color w:val="auto"/>
        </w:rPr>
      </w:pPr>
      <w:r>
        <w:rPr>
          <w:rFonts w:ascii="Arial" w:cs="Arial" w:eastAsia="Arial" w:hAnsi="Arial"/>
          <w:sz w:val="14"/>
          <w:szCs w:val="14"/>
          <w:color w:val="auto"/>
        </w:rPr>
        <w:t xml:space="preserve">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5400" w:val="left"/>
          <w:tab w:leader="none" w:pos="5960" w:val="left"/>
        </w:tabs>
        <w:rPr>
          <w:sz w:val="20"/>
          <w:szCs w:val="20"/>
          <w:color w:val="auto"/>
        </w:rPr>
      </w:pPr>
      <w:r>
        <w:rPr>
          <w:rFonts w:ascii="Arial" w:cs="Arial" w:eastAsia="Arial" w:hAnsi="Arial"/>
          <w:sz w:val="14"/>
          <w:szCs w:val="14"/>
          <w:color w:val="auto"/>
        </w:rPr>
        <w:t>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20"/>
        <w:spacing w:after="0" w:line="239" w:lineRule="auto"/>
        <w:rPr>
          <w:sz w:val="20"/>
          <w:szCs w:val="20"/>
          <w:color w:val="auto"/>
        </w:rPr>
      </w:pPr>
      <w:r>
        <w:rPr>
          <w:rFonts w:ascii="Arial" w:cs="Arial" w:eastAsia="Arial" w:hAnsi="Arial"/>
          <w:sz w:val="14"/>
          <w:szCs w:val="14"/>
          <w:color w:val="auto"/>
        </w:rPr>
        <w:t>The aggregate market value of the 1.7 million shares of voting stock held by nonaffiliates of CompX International Inc. as of June 30, 2020 (the last business day of the Registrant’s most recently completed second fiscal quarter) approximated $23.3 million.</w:t>
      </w:r>
    </w:p>
    <w:p>
      <w:pPr>
        <w:spacing w:after="0" w:line="48"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24, 2021, registrant had 12,451,157 shares of Class A common stock, $.01 par value per share, outstanding.</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Documents incorporated by reference</w:t>
      </w:r>
    </w:p>
    <w:p>
      <w:pPr>
        <w:spacing w:after="0" w:line="40" w:lineRule="exact"/>
        <w:rPr>
          <w:sz w:val="24"/>
          <w:szCs w:val="24"/>
          <w:color w:val="auto"/>
        </w:rPr>
      </w:pPr>
    </w:p>
    <w:p>
      <w:pPr>
        <w:ind w:right="20"/>
        <w:spacing w:after="0" w:line="253" w:lineRule="auto"/>
        <w:rPr>
          <w:sz w:val="20"/>
          <w:szCs w:val="20"/>
          <w:color w:val="auto"/>
        </w:rPr>
      </w:pPr>
      <w:r>
        <w:rPr>
          <w:rFonts w:ascii="Arial" w:cs="Arial" w:eastAsia="Arial" w:hAnsi="Arial"/>
          <w:sz w:val="14"/>
          <w:szCs w:val="14"/>
          <w:color w:val="auto"/>
        </w:rPr>
        <w:t>The information required by Part III is incorporated by reference from the Registrant’s definitive proxy statement to be filed with the Commission pursuant to Regulation 14A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1175"/>
        <w:spacing w:after="0" w:line="257" w:lineRule="auto"/>
        <w:rPr>
          <w:sz w:val="20"/>
          <w:szCs w:val="20"/>
          <w:color w:val="auto"/>
        </w:rPr>
      </w:pPr>
      <w:r>
        <w:rPr>
          <w:rFonts w:ascii="Arial" w:cs="Arial" w:eastAsia="Arial" w:hAnsi="Arial"/>
          <w:sz w:val="18"/>
          <w:szCs w:val="18"/>
          <w:color w:val="auto"/>
        </w:rPr>
        <w:t>CompX International Inc. (NYSE American: CIX), incorporated in Delaware in 1993, is a leading manufacturer of security products used in the recreational transportation, postal, office and institutional furniture, cabinetry, tool storage, healthcare and a variety of other industries. We are also a leading manufacturer of stainless steel exhaust systems, gauges, throttle controls, wake enhancement systems and trim tabs for the recreational marine industry. Our products are principally designed for use in medium to high-end product applications where design, quality and durability are valued by our customers.</w:t>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At December 31, 2020, (i) NL Industries, Inc. (NYSE: NL) owns approximately 86% of our outstanding common stock, Valhi,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(NYSE: VHI) owns approximately 83% of NL’s outstanding common stock and a subsidiary of Contran Corporation owns approximately 92% of Valhi’s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common stock.  As discussed in Note 1 to our Consolidated Financial Statements, a majority of Contran's outstanding voting stock is held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directly by Lisa K. Simmons and various family trusts established for the benefit of Ms. Simmons, Thomas C. Connelly (the husband of Ms. Simmons’ late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sister) and their children and for which Ms. Simmons or Mr. Connelly, as applicable, serve as trustee (collectively, the “Other Trusts”). With respect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Trusts for which Mr. Connelly serves as trustee, he is required to vote the shares of Contran voting stock held in such trusts in the same manner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Ms. Simmons. Such voting rights of Ms. Simmons last through April 22, 2030 and are personal to Ms. Simmons. The remainder of Contran’s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voting stock is held by another trust (the “Family Trust”), which was established for the benefit of Ms. Simmons and her late sister and their children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which a third-party financial institution serves as trustee. Consequently, at December 31, 2020, Ms. Simmons and the Family Trust may be deemed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control Contran, and therefore may be deemed to indirectly control the wholly-owned subsidiary of Contran, Valhi, NL and us.</w:t>
      </w:r>
    </w:p>
    <w:p>
      <w:pPr>
        <w:spacing w:after="0" w:line="211" w:lineRule="exact"/>
        <w:rPr>
          <w:sz w:val="20"/>
          <w:szCs w:val="20"/>
          <w:color w:val="auto"/>
        </w:rPr>
      </w:pPr>
    </w:p>
    <w:p>
      <w:pPr>
        <w:jc w:val="both"/>
        <w:ind w:firstLine="1175"/>
        <w:spacing w:after="0" w:line="277" w:lineRule="auto"/>
        <w:rPr>
          <w:sz w:val="20"/>
          <w:szCs w:val="20"/>
          <w:color w:val="auto"/>
        </w:rPr>
      </w:pPr>
      <w:r>
        <w:rPr>
          <w:rFonts w:ascii="Arial" w:cs="Arial" w:eastAsia="Arial" w:hAnsi="Arial"/>
          <w:sz w:val="18"/>
          <w:szCs w:val="18"/>
          <w:color w:val="auto"/>
        </w:rPr>
        <w:t xml:space="preserve">Our corporate offices are located at Three Lincoln Centre, 5430 LBJ Freeway, Suite 1700, Dallas, Texas 75240. Our telephone number is (972) 448-1400. We maintain a website at </w:t>
      </w:r>
      <w:r>
        <w:rPr>
          <w:rFonts w:ascii="Arial" w:cs="Arial" w:eastAsia="Arial" w:hAnsi="Arial"/>
          <w:sz w:val="18"/>
          <w:szCs w:val="18"/>
          <w:u w:val="single" w:color="auto"/>
          <w:color w:val="auto"/>
        </w:rPr>
        <w:t>www.compx.com</w:t>
      </w:r>
      <w:r>
        <w:rPr>
          <w:rFonts w:ascii="Arial" w:cs="Arial" w:eastAsia="Arial" w:hAnsi="Arial"/>
          <w:sz w:val="18"/>
          <w:szCs w:val="18"/>
          <w:color w:val="auto"/>
        </w:rPr>
        <w:t>.</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Unless otherwise indicated, references in this report to “we,” “us,” or “our” refer to CompX International Inc. and its subsidiaries taken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whole.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1175"/>
        <w:spacing w:after="0" w:line="270"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as amended. Statements in this Annual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Annual Report and those described from time to time in our other filings with the U.S. Securities and Exchange Commission (the “SEC”) and include, but are not limited to, the following:</w:t>
      </w:r>
    </w:p>
    <w:p>
      <w:pPr>
        <w:spacing w:after="0" w:line="73" w:lineRule="exact"/>
        <w:rPr>
          <w:sz w:val="20"/>
          <w:szCs w:val="20"/>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252" w:lineRule="exact"/>
        <w:rPr>
          <w:rFonts w:ascii="Arial" w:cs="Arial" w:eastAsia="Arial" w:hAnsi="Arial"/>
          <w:sz w:val="18"/>
          <w:szCs w:val="18"/>
          <w:color w:val="auto"/>
        </w:rPr>
      </w:pPr>
    </w:p>
    <w:p>
      <w:pPr>
        <w:ind w:left="5580" w:hanging="106"/>
        <w:spacing w:after="0"/>
        <w:tabs>
          <w:tab w:leader="none" w:pos="5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products and product features,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or defend our intellectual property rights,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144" w:lineRule="exact"/>
        <w:rPr>
          <w:rFonts w:ascii="Arial" w:cs="Arial" w:eastAsia="Arial" w:hAnsi="Arial"/>
          <w:sz w:val="18"/>
          <w:szCs w:val="18"/>
          <w:color w:val="auto"/>
        </w:rPr>
      </w:pPr>
    </w:p>
    <w:p>
      <w:pPr>
        <w:jc w:val="both"/>
        <w:ind w:left="1160" w:hanging="572"/>
        <w:spacing w:after="0" w:line="259"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economic and political conditions that disrupt or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p>
      <w:pPr>
        <w:spacing w:after="0" w:line="78" w:lineRule="exact"/>
        <w:rPr>
          <w:rFonts w:ascii="Arial" w:cs="Arial" w:eastAsia="Arial" w:hAnsi="Arial"/>
          <w:sz w:val="18"/>
          <w:szCs w:val="18"/>
          <w:color w:val="auto"/>
        </w:rPr>
      </w:pPr>
    </w:p>
    <w:p>
      <w:pPr>
        <w:ind w:left="1160" w:hanging="572"/>
        <w:spacing w:after="0" w:line="308" w:lineRule="auto"/>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interruptions (including, but not limited to labor disputes, hazardous chemical leaks, natural disasters, fires, explosions, unscheduled or unplanned downtime, transportation interruptions, cyber-attacks and public health crises such as COVID-19); and</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Possible disruption of our business or increases in the cost of doing business resulting from terrorist activities or global conflicts.</w:t>
      </w:r>
    </w:p>
    <w:p>
      <w:pPr>
        <w:spacing w:after="0" w:line="264"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jc w:val="both"/>
        <w:ind w:firstLine="1175"/>
        <w:spacing w:after="0" w:line="293" w:lineRule="auto"/>
        <w:rPr>
          <w:sz w:val="20"/>
          <w:szCs w:val="20"/>
          <w:color w:val="auto"/>
        </w:rPr>
      </w:pPr>
      <w:r>
        <w:rPr>
          <w:rFonts w:ascii="Arial" w:cs="Arial" w:eastAsia="Arial" w:hAnsi="Arial"/>
          <w:sz w:val="16"/>
          <w:szCs w:val="16"/>
          <w:color w:val="auto"/>
        </w:rPr>
        <w:t>We manufacture engineered components utilized in a variety of applications and industries. We manufacture mechanical and electrical cabinet locks and other locking mechanisms used in recreational transportation, postal, office and institutional furniture, cabinetry, tool storage and healthcare applications. We also manufacture stainless steel exhaust systems, gauges, throttle controls, wake enhancement systems, trim tabs and related hardware and accessories for the recreational marine and other industries. We continuously seek to diversify into new markets and identify new applications and features for our products, which we believe provide a greater potential for higher rates of earnings growth as well as diversification of risk. See also Item 6 – “Selected Financial Data” and Item 7 – “Management’s Discussion and Analysis of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color w:val="auto"/>
        </w:rPr>
        <w:t>We have two operating business segments – Security Products and Marine Components. For additional information regarding our segments, see “Part II – Item 7. Management’s Discussion and Analysis of Financial Condition and Results of Operations” and Note 2 to the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Operations and Products</w:t>
      </w:r>
    </w:p>
    <w:p>
      <w:pPr>
        <w:spacing w:after="0" w:line="117" w:lineRule="exact"/>
        <w:rPr>
          <w:sz w:val="20"/>
          <w:szCs w:val="20"/>
          <w:color w:val="auto"/>
        </w:rPr>
      </w:pPr>
    </w:p>
    <w:p>
      <w:pPr>
        <w:jc w:val="both"/>
        <w:ind w:firstLine="1175"/>
        <w:spacing w:after="0" w:line="277" w:lineRule="auto"/>
        <w:rPr>
          <w:sz w:val="20"/>
          <w:szCs w:val="20"/>
          <w:color w:val="auto"/>
        </w:rPr>
      </w:pPr>
      <w:r>
        <w:rPr>
          <w:rFonts w:ascii="Arial" w:cs="Arial" w:eastAsia="Arial" w:hAnsi="Arial"/>
          <w:sz w:val="18"/>
          <w:szCs w:val="18"/>
          <w:i w:val="1"/>
          <w:iCs w:val="1"/>
          <w:color w:val="auto"/>
        </w:rPr>
        <w:t>Security Products</w:t>
      </w:r>
      <w:r>
        <w:rPr>
          <w:rFonts w:ascii="Arial" w:cs="Arial" w:eastAsia="Arial" w:hAnsi="Arial"/>
          <w:sz w:val="18"/>
          <w:szCs w:val="18"/>
          <w:color w:val="auto"/>
        </w:rPr>
        <w:t>. Our Security Products segment manufactures mechanical and electrical cabinet locks and other locking mechanisms</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a variety of applications including ignition systems, mailboxes, file cabinets,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 w:name="page4"/>
    <w:bookmarkEnd w:id="3"/>
    <w:p>
      <w:pPr>
        <w:jc w:val="both"/>
        <w:spacing w:after="0" w:line="279" w:lineRule="auto"/>
        <w:rPr>
          <w:sz w:val="20"/>
          <w:szCs w:val="20"/>
          <w:color w:val="auto"/>
        </w:rPr>
      </w:pPr>
      <w:r>
        <w:rPr>
          <w:rFonts w:ascii="Arial" w:cs="Arial" w:eastAsia="Arial" w:hAnsi="Arial"/>
          <w:sz w:val="17"/>
          <w:szCs w:val="17"/>
          <w:color w:val="auto"/>
        </w:rPr>
        <w:t>desk drawers, tool storage cabinets, high security medical cabinetry, integrated inventory and access control secured narcotics boxes, electronic circuit panels, storage compartments, gas station security, vending and cash containment machines. Our Security Products segment has one manufacturing facility in Mauldin, South Carolina and one in Grayslake, Illinois which is shared with Marine Components. We believe we are a North American market leader in the manufacture and sale of cabinet locks and other locking mechanisms. These products include:</w:t>
      </w:r>
    </w:p>
    <w:p>
      <w:pPr>
        <w:spacing w:after="0" w:line="63" w:lineRule="exact"/>
        <w:rPr>
          <w:sz w:val="20"/>
          <w:szCs w:val="20"/>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 tumbler locks which provide moderate security and generally represent the lowest cost lock to produce;</w:t>
      </w:r>
    </w:p>
    <w:p>
      <w:pPr>
        <w:spacing w:after="0" w:line="144" w:lineRule="exact"/>
        <w:rPr>
          <w:rFonts w:ascii="Arial" w:cs="Arial" w:eastAsia="Arial" w:hAnsi="Arial"/>
          <w:sz w:val="18"/>
          <w:szCs w:val="18"/>
          <w:color w:val="auto"/>
        </w:rPr>
      </w:pPr>
    </w:p>
    <w:p>
      <w:pPr>
        <w:jc w:val="both"/>
        <w:ind w:left="1160" w:hanging="572"/>
        <w:spacing w:after="0" w:line="232"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pin tumbler locking mechanisms which are more costly to produce and are used in applications requiring higher levels of security, including </w:t>
      </w:r>
      <w:r>
        <w:rPr>
          <w:rFonts w:ascii="Arial" w:cs="Arial" w:eastAsia="Arial" w:hAnsi="Arial"/>
          <w:sz w:val="18"/>
          <w:szCs w:val="18"/>
          <w:i w:val="1"/>
          <w:iCs w:val="1"/>
          <w:color w:val="auto"/>
        </w:rPr>
        <w:t>KeSet</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System 64</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(which each allow the user to change the keying on a single lock 64 times without removing the lock from its enclosure), </w:t>
      </w:r>
      <w:r>
        <w:rPr>
          <w:rFonts w:ascii="Arial" w:cs="Arial" w:eastAsia="Arial" w:hAnsi="Arial"/>
          <w:sz w:val="18"/>
          <w:szCs w:val="18"/>
          <w:i w:val="1"/>
          <w:iCs w:val="1"/>
          <w:color w:val="auto"/>
        </w:rPr>
        <w:t>TuBar</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Turbine</w:t>
      </w:r>
      <w:r>
        <w:rPr>
          <w:rFonts w:ascii="Arial" w:cs="Arial" w:eastAsia="Arial" w:hAnsi="Arial"/>
          <w:sz w:val="21"/>
          <w:szCs w:val="21"/>
          <w:i w:val="1"/>
          <w:iCs w:val="1"/>
          <w:color w:val="auto"/>
        </w:rPr>
        <w:t>™</w:t>
      </w:r>
      <w:r>
        <w:rPr>
          <w:rFonts w:ascii="Arial" w:cs="Arial" w:eastAsia="Arial" w:hAnsi="Arial"/>
          <w:sz w:val="18"/>
          <w:szCs w:val="18"/>
          <w:color w:val="auto"/>
        </w:rPr>
        <w:t>; and</w:t>
      </w:r>
    </w:p>
    <w:p>
      <w:pPr>
        <w:spacing w:after="0" w:line="4" w:lineRule="exact"/>
        <w:rPr>
          <w:rFonts w:ascii="Arial" w:cs="Arial" w:eastAsia="Arial" w:hAnsi="Arial"/>
          <w:sz w:val="18"/>
          <w:szCs w:val="18"/>
          <w:color w:val="auto"/>
        </w:rPr>
      </w:pPr>
    </w:p>
    <w:p>
      <w:pPr>
        <w:ind w:left="1160" w:right="20" w:hanging="572"/>
        <w:spacing w:after="0" w:line="238"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our innovative </w:t>
      </w:r>
      <w:r>
        <w:rPr>
          <w:rFonts w:ascii="Arial" w:cs="Arial" w:eastAsia="Arial" w:hAnsi="Arial"/>
          <w:sz w:val="16"/>
          <w:szCs w:val="16"/>
          <w:i w:val="1"/>
          <w:iCs w:val="1"/>
          <w:color w:val="auto"/>
        </w:rPr>
        <w:t>CompX eLock</w:t>
      </w:r>
      <w:r>
        <w:rPr>
          <w:rFonts w:ascii="Arial" w:cs="Arial" w:eastAsia="Arial" w:hAnsi="Arial"/>
          <w:sz w:val="23"/>
          <w:szCs w:val="23"/>
          <w:i w:val="1"/>
          <w:iCs w:val="1"/>
          <w:color w:val="auto"/>
          <w:vertAlign w:val="superscript"/>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StealthLock</w:t>
      </w:r>
      <w:r>
        <w:rPr>
          <w:rFonts w:ascii="Arial" w:cs="Arial" w:eastAsia="Arial" w:hAnsi="Arial"/>
          <w:sz w:val="23"/>
          <w:szCs w:val="23"/>
          <w:i w:val="1"/>
          <w:iCs w:val="1"/>
          <w:color w:val="auto"/>
          <w:vertAlign w:val="superscript"/>
        </w:rPr>
        <w:t>®</w:t>
      </w:r>
      <w:r>
        <w:rPr>
          <w:rFonts w:ascii="Arial" w:cs="Arial" w:eastAsia="Arial" w:hAnsi="Arial"/>
          <w:sz w:val="16"/>
          <w:szCs w:val="16"/>
          <w:color w:val="auto"/>
        </w:rPr>
        <w:t xml:space="preserve"> electronic locks which provide stand-alone or networked security and audit trail capability for drug storage and other valuables through the use of a proximity card, magnetic stripe, radio frequency or other keypad credential.</w:t>
      </w:r>
    </w:p>
    <w:p>
      <w:pPr>
        <w:spacing w:after="0" w:line="203" w:lineRule="exact"/>
        <w:rPr>
          <w:sz w:val="20"/>
          <w:szCs w:val="20"/>
          <w:color w:val="auto"/>
        </w:rPr>
      </w:pPr>
    </w:p>
    <w:p>
      <w:pPr>
        <w:jc w:val="both"/>
        <w:ind w:firstLine="1175"/>
        <w:spacing w:after="0" w:line="318" w:lineRule="auto"/>
        <w:rPr>
          <w:sz w:val="20"/>
          <w:szCs w:val="20"/>
          <w:color w:val="auto"/>
        </w:rPr>
      </w:pPr>
      <w:r>
        <w:rPr>
          <w:rFonts w:ascii="Arial" w:cs="Arial" w:eastAsia="Arial" w:hAnsi="Arial"/>
          <w:sz w:val="16"/>
          <w:szCs w:val="16"/>
          <w:color w:val="auto"/>
        </w:rPr>
        <w:t xml:space="preserve">A substantial portion of our Security Products’ sales consist of products with specialized adaptations to an individual customer’s specifications, some of which are listed above. We also have a standardized product line suitable for many customers, which is offered through a North American distribution network to locksmith and smaller original equipment manufacturer distributors via our </w:t>
      </w:r>
      <w:r>
        <w:rPr>
          <w:rFonts w:ascii="Arial" w:cs="Arial" w:eastAsia="Arial" w:hAnsi="Arial"/>
          <w:sz w:val="16"/>
          <w:szCs w:val="16"/>
          <w:i w:val="1"/>
          <w:iCs w:val="1"/>
          <w:color w:val="auto"/>
        </w:rPr>
        <w:t>STOCK LOCKS</w:t>
      </w:r>
      <w:r>
        <w:rPr>
          <w:rFonts w:ascii="Arial" w:cs="Arial" w:eastAsia="Arial" w:hAnsi="Arial"/>
          <w:sz w:val="23"/>
          <w:szCs w:val="23"/>
          <w:i w:val="1"/>
          <w:iCs w:val="1"/>
          <w:color w:val="auto"/>
          <w:vertAlign w:val="superscript"/>
        </w:rPr>
        <w:t>®</w:t>
      </w:r>
      <w:r>
        <w:rPr>
          <w:rFonts w:ascii="Arial" w:cs="Arial" w:eastAsia="Arial" w:hAnsi="Arial"/>
          <w:sz w:val="16"/>
          <w:szCs w:val="16"/>
          <w:color w:val="auto"/>
        </w:rPr>
        <w:t xml:space="preserve"> distribution program.</w:t>
      </w:r>
    </w:p>
    <w:p>
      <w:pPr>
        <w:spacing w:after="0" w:line="26" w:lineRule="exact"/>
        <w:rPr>
          <w:sz w:val="20"/>
          <w:szCs w:val="20"/>
          <w:color w:val="auto"/>
        </w:rPr>
      </w:pPr>
    </w:p>
    <w:p>
      <w:pPr>
        <w:jc w:val="both"/>
        <w:ind w:firstLine="1175"/>
        <w:spacing w:after="0" w:line="257" w:lineRule="auto"/>
        <w:rPr>
          <w:sz w:val="20"/>
          <w:szCs w:val="20"/>
          <w:color w:val="auto"/>
        </w:rPr>
      </w:pPr>
      <w:r>
        <w:rPr>
          <w:rFonts w:ascii="Arial" w:cs="Arial" w:eastAsia="Arial" w:hAnsi="Arial"/>
          <w:sz w:val="18"/>
          <w:szCs w:val="18"/>
          <w:i w:val="1"/>
          <w:iCs w:val="1"/>
          <w:color w:val="auto"/>
        </w:rPr>
        <w:t>Marine Components</w:t>
      </w:r>
      <w:r>
        <w:rPr>
          <w:rFonts w:ascii="Arial" w:cs="Arial" w:eastAsia="Arial" w:hAnsi="Arial"/>
          <w:sz w:val="18"/>
          <w:szCs w:val="18"/>
          <w:color w:val="auto"/>
        </w:rPr>
        <w:t>. Our Marine Components segment manufactures and distributes stainless steel exhaust components, gauges, throttle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wake enhancement systems, trim tabs and related hardware and accessories primarily for performance and ski/wakeboard boats. Our Marine Components segment has a facility in Neenah, Wisconsin and a facility in Grayslake, Illinois which is shared with Security Products. Our specialty Marine Component products are high precision components designed to operate within tight tolerances in the highly demanding marine environment. These products include:</w:t>
      </w:r>
    </w:p>
    <w:p>
      <w:pPr>
        <w:spacing w:after="0" w:line="80" w:lineRule="exact"/>
        <w:rPr>
          <w:sz w:val="20"/>
          <w:szCs w:val="20"/>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original equipment and aftermarket stainless steel exhaust headers, exhaust pipes, mufflers and other exhaust components;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performance gauges such as GPS speedometers and tachometers;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mechanical and electronic controls and throttles;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wake enhancement devices, trim tabs, steering wheels, and billet aluminum accessories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dash panels, LED indicators, and wire harnesses;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grab handles, pin cleats and other accessories.</w:t>
      </w:r>
    </w:p>
    <w:p>
      <w:pPr>
        <w:spacing w:after="0" w:line="25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For information regarding our three principal manufacturing facilities, see “Item 2 –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Our primary raw materials are:</w:t>
      </w:r>
    </w:p>
    <w:p>
      <w:pPr>
        <w:spacing w:after="0" w:line="117" w:lineRule="exact"/>
        <w:rPr>
          <w:sz w:val="20"/>
          <w:szCs w:val="20"/>
          <w:color w:val="auto"/>
        </w:rPr>
      </w:pPr>
    </w:p>
    <w:p>
      <w:pPr>
        <w:ind w:left="1160" w:hanging="57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Products - zinc and brass (for the manufacture of locking mechanisms).</w:t>
      </w:r>
    </w:p>
    <w:p>
      <w:pPr>
        <w:spacing w:after="0" w:line="14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Marine Components - stainless steel (for the manufacture of exhaust headers and pipes and wake enhancement systems), aluminum (for the manufacture of throttles and trim tabs) and other components.</w:t>
      </w:r>
    </w:p>
    <w:p>
      <w:pPr>
        <w:spacing w:after="0" w:line="170" w:lineRule="exact"/>
        <w:rPr>
          <w:sz w:val="20"/>
          <w:szCs w:val="20"/>
          <w:color w:val="auto"/>
        </w:rPr>
      </w:pPr>
    </w:p>
    <w:p>
      <w:pPr>
        <w:jc w:val="both"/>
        <w:ind w:firstLine="1175"/>
        <w:spacing w:after="0" w:line="342" w:lineRule="auto"/>
        <w:rPr>
          <w:sz w:val="20"/>
          <w:szCs w:val="20"/>
          <w:color w:val="auto"/>
        </w:rPr>
      </w:pPr>
      <w:r>
        <w:rPr>
          <w:rFonts w:ascii="Arial" w:cs="Arial" w:eastAsia="Arial" w:hAnsi="Arial"/>
          <w:sz w:val="16"/>
          <w:szCs w:val="16"/>
          <w:color w:val="auto"/>
        </w:rPr>
        <w:t>These raw materials are purchased from several suppliers, are readily available from numerous sources and accounted for approximately 12% of our total cost of sales for 2020. Total material costs, including purchased components, represented approximately 43% of our cost of sales in 2020.</w:t>
      </w:r>
    </w:p>
    <w:p>
      <w:pPr>
        <w:spacing w:after="0" w:line="124" w:lineRule="exact"/>
        <w:rPr>
          <w:sz w:val="20"/>
          <w:szCs w:val="20"/>
          <w:color w:val="auto"/>
        </w:rPr>
      </w:pPr>
    </w:p>
    <w:p>
      <w:pPr>
        <w:ind w:firstLine="1175"/>
        <w:spacing w:after="0" w:line="277" w:lineRule="auto"/>
        <w:rPr>
          <w:sz w:val="20"/>
          <w:szCs w:val="20"/>
          <w:color w:val="auto"/>
        </w:rPr>
      </w:pPr>
      <w:r>
        <w:rPr>
          <w:rFonts w:ascii="Arial" w:cs="Arial" w:eastAsia="Arial" w:hAnsi="Arial"/>
          <w:sz w:val="18"/>
          <w:szCs w:val="18"/>
          <w:color w:val="auto"/>
        </w:rPr>
        <w:t>We occasionally enter into short-term commodity-related raw material supply arrangements to mitigate the impact of future price increases in commodity-related raw materials, including zinc, brass and stainless steel.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jc w:val="both"/>
        <w:spacing w:after="0" w:line="287" w:lineRule="auto"/>
        <w:rPr>
          <w:sz w:val="20"/>
          <w:szCs w:val="20"/>
          <w:color w:val="auto"/>
        </w:rPr>
      </w:pPr>
      <w:r>
        <w:rPr>
          <w:rFonts w:ascii="Arial" w:cs="Arial" w:eastAsia="Arial" w:hAnsi="Arial"/>
          <w:sz w:val="16"/>
          <w:szCs w:val="16"/>
          <w:color w:val="auto"/>
        </w:rPr>
        <w:t>These arrangements generally provide for stated unit prices based upon specified purchase volumes, which help us to stabilize our commodity-related raw material costs to a certain extent. At other times we may make spot market buys of larger quantities of raw materials to take advantage of favorable pricing or volume-based discounts. Markets for the primary commodity-related raw materials used in the manufacture of our locking mechanisms, primarily zinc and brass, remained relatively stable through 2019 and 2020. Similarly, over the same periods, the market for stainless steel, the primary raw material used for the manufacture of marine exhaust headers and pipes and wake enhancement systems, remained relatively stable. While we expect the markets for our primary commodity-related raw materials to remain stable during 2021, we recognize that economic conditions could introduce renewed volatility on these and other manufacturing materials. When purchased on the spot market, each of these raw materials may be subject to sudden and unanticipated price increases. When possible, we seek to mitigate the impact of fluctuations in these raw material costs on our margins through improvements in production efficiencies or other operating cost reductions. In the event we are unable to offset raw material cost increases with other cost reductions, it may be difficult to recover those cost increases through increased product selling prices or raw material surcharges due to the competitive nature of the markets served by our products. Consequently, overall operating margins can be affected by commodity-related raw material cost pressures. Commodity market prices are cyclical, reflecting overall economic trends, specific developments in consuming industries and speculative investor activities.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Trademarks</w:t>
      </w:r>
    </w:p>
    <w:p>
      <w:pPr>
        <w:spacing w:after="0" w:line="117" w:lineRule="exact"/>
        <w:rPr>
          <w:sz w:val="20"/>
          <w:szCs w:val="20"/>
          <w:color w:val="auto"/>
        </w:rPr>
      </w:pPr>
    </w:p>
    <w:p>
      <w:pPr>
        <w:jc w:val="both"/>
        <w:ind w:firstLine="1175"/>
        <w:spacing w:after="0" w:line="342" w:lineRule="auto"/>
        <w:rPr>
          <w:sz w:val="20"/>
          <w:szCs w:val="20"/>
          <w:color w:val="auto"/>
        </w:rPr>
      </w:pPr>
      <w:r>
        <w:rPr>
          <w:rFonts w:ascii="Arial" w:cs="Arial" w:eastAsia="Arial" w:hAnsi="Arial"/>
          <w:sz w:val="16"/>
          <w:szCs w:val="16"/>
          <w:color w:val="auto"/>
        </w:rPr>
        <w:t>We hold a number of patents relating to our component products, certain of which we believe to be important to us and our continuing business activity. Patents generally have a term of 20 years, and our patents have remaining terms ranging from 1 year to 19 years at December 31, 2020.</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xml:space="preserve">Our major trademarks and brand names in addition to </w:t>
      </w:r>
      <w:r>
        <w:rPr>
          <w:rFonts w:ascii="Arial" w:cs="Arial" w:eastAsia="Arial" w:hAnsi="Arial"/>
          <w:sz w:val="18"/>
          <w:szCs w:val="18"/>
          <w:i w:val="1"/>
          <w:iCs w:val="1"/>
          <w:color w:val="auto"/>
        </w:rPr>
        <w:t>CompX</w:t>
      </w:r>
      <w:r>
        <w:rPr>
          <w:rFonts w:ascii="Arial" w:cs="Arial" w:eastAsia="Arial" w:hAnsi="Arial"/>
          <w:sz w:val="15"/>
          <w:szCs w:val="15"/>
          <w:i w:val="1"/>
          <w:iCs w:val="1"/>
          <w:color w:val="auto"/>
        </w:rPr>
        <w:t>®</w:t>
      </w:r>
      <w:r>
        <w:rPr>
          <w:rFonts w:ascii="Arial" w:cs="Arial" w:eastAsia="Arial" w:hAnsi="Arial"/>
          <w:sz w:val="18"/>
          <w:szCs w:val="18"/>
          <w:color w:val="auto"/>
        </w:rPr>
        <w:t xml:space="preserve"> include:</w:t>
      </w:r>
    </w:p>
    <w:p>
      <w:pPr>
        <w:sectPr>
          <w:pgSz w:w="11900" w:h="16838" w:orient="portrait"/>
          <w:cols w:equalWidth="0" w:num="1">
            <w:col w:w="11240"/>
          </w:cols>
          <w:pgMar w:left="320" w:top="341" w:right="33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364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Security Products</w:t>
            </w:r>
          </w:p>
        </w:tc>
        <w:tc>
          <w:tcPr>
            <w:tcW w:w="120" w:type="dxa"/>
            <w:vAlign w:val="bottom"/>
          </w:tcPr>
          <w:p>
            <w:pPr>
              <w:spacing w:after="0"/>
              <w:rPr>
                <w:sz w:val="14"/>
                <w:szCs w:val="14"/>
                <w:color w:val="auto"/>
              </w:rPr>
            </w:pPr>
          </w:p>
        </w:tc>
        <w:tc>
          <w:tcPr>
            <w:tcW w:w="344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Security Products</w:t>
            </w:r>
          </w:p>
        </w:tc>
      </w:tr>
      <w:tr>
        <w:trPr>
          <w:trHeight w:val="195"/>
        </w:trPr>
        <w:tc>
          <w:tcPr>
            <w:tcW w:w="80" w:type="dxa"/>
            <w:vAlign w:val="bottom"/>
          </w:tcPr>
          <w:p>
            <w:pPr>
              <w:spacing w:after="0"/>
              <w:rPr>
                <w:sz w:val="16"/>
                <w:szCs w:val="16"/>
                <w:color w:val="auto"/>
              </w:rPr>
            </w:pPr>
          </w:p>
        </w:tc>
        <w:tc>
          <w:tcPr>
            <w:tcW w:w="3640" w:type="dxa"/>
            <w:vAlign w:val="bottom"/>
          </w:tcPr>
          <w:p>
            <w:pPr>
              <w:spacing w:after="0" w:line="195" w:lineRule="exact"/>
              <w:rPr>
                <w:sz w:val="20"/>
                <w:szCs w:val="20"/>
                <w:color w:val="auto"/>
              </w:rPr>
            </w:pPr>
            <w:r>
              <w:rPr>
                <w:rFonts w:ascii="Arial" w:cs="Arial" w:eastAsia="Arial" w:hAnsi="Arial"/>
                <w:sz w:val="18"/>
                <w:szCs w:val="18"/>
                <w:i w:val="1"/>
                <w:iCs w:val="1"/>
                <w:color w:val="auto"/>
              </w:rPr>
              <w:t>CompX</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Security Products™</w:t>
            </w:r>
          </w:p>
        </w:tc>
        <w:tc>
          <w:tcPr>
            <w:tcW w:w="120" w:type="dxa"/>
            <w:vAlign w:val="bottom"/>
          </w:tcPr>
          <w:p>
            <w:pPr>
              <w:spacing w:after="0"/>
              <w:rPr>
                <w:sz w:val="16"/>
                <w:szCs w:val="16"/>
                <w:color w:val="auto"/>
              </w:rPr>
            </w:pPr>
          </w:p>
        </w:tc>
        <w:tc>
          <w:tcPr>
            <w:tcW w:w="3440" w:type="dxa"/>
            <w:vAlign w:val="bottom"/>
          </w:tcPr>
          <w:p>
            <w:pPr>
              <w:spacing w:after="0" w:line="195" w:lineRule="exact"/>
              <w:rPr>
                <w:sz w:val="20"/>
                <w:szCs w:val="20"/>
                <w:color w:val="auto"/>
              </w:rPr>
            </w:pPr>
            <w:r>
              <w:rPr>
                <w:rFonts w:ascii="Arial" w:cs="Arial" w:eastAsia="Arial" w:hAnsi="Arial"/>
                <w:sz w:val="16"/>
                <w:szCs w:val="16"/>
                <w:i w:val="1"/>
                <w:iCs w:val="1"/>
                <w:color w:val="auto"/>
              </w:rPr>
              <w:t>Lockview</w:t>
            </w:r>
            <w:r>
              <w:rPr>
                <w:rFonts w:ascii="Arial" w:cs="Arial" w:eastAsia="Arial" w:hAnsi="Arial"/>
                <w:sz w:val="22"/>
                <w:szCs w:val="22"/>
                <w:i w:val="1"/>
                <w:iCs w:val="1"/>
                <w:color w:val="auto"/>
                <w:vertAlign w:val="superscript"/>
              </w:rPr>
              <w:t>®</w:t>
            </w:r>
          </w:p>
        </w:tc>
      </w:tr>
      <w:tr>
        <w:trPr>
          <w:trHeight w:val="216"/>
        </w:trPr>
        <w:tc>
          <w:tcPr>
            <w:tcW w:w="3720" w:type="dxa"/>
            <w:vAlign w:val="bottom"/>
            <w:gridSpan w:val="2"/>
          </w:tcPr>
          <w:p>
            <w:pPr>
              <w:ind w:left="80"/>
              <w:spacing w:after="0" w:line="216" w:lineRule="exact"/>
              <w:rPr>
                <w:sz w:val="20"/>
                <w:szCs w:val="20"/>
                <w:color w:val="auto"/>
              </w:rPr>
            </w:pPr>
            <w:r>
              <w:rPr>
                <w:rFonts w:ascii="Arial" w:cs="Arial" w:eastAsia="Arial" w:hAnsi="Arial"/>
                <w:sz w:val="17"/>
                <w:szCs w:val="17"/>
                <w:i w:val="1"/>
                <w:iCs w:val="1"/>
                <w:color w:val="auto"/>
              </w:rPr>
              <w:t>National Cabinet Lock</w:t>
            </w:r>
            <w:r>
              <w:rPr>
                <w:rFonts w:ascii="Arial" w:cs="Arial" w:eastAsia="Arial" w:hAnsi="Arial"/>
                <w:sz w:val="25"/>
                <w:szCs w:val="25"/>
                <w:i w:val="1"/>
                <w:iCs w:val="1"/>
                <w:color w:val="auto"/>
                <w:vertAlign w:val="superscript"/>
              </w:rPr>
              <w:t>®</w:t>
            </w:r>
          </w:p>
        </w:tc>
        <w:tc>
          <w:tcPr>
            <w:tcW w:w="3560" w:type="dxa"/>
            <w:vAlign w:val="bottom"/>
            <w:gridSpan w:val="2"/>
          </w:tcPr>
          <w:p>
            <w:pPr>
              <w:ind w:left="120"/>
              <w:spacing w:after="0" w:line="216" w:lineRule="exact"/>
              <w:rPr>
                <w:sz w:val="20"/>
                <w:szCs w:val="20"/>
                <w:color w:val="auto"/>
              </w:rPr>
            </w:pPr>
            <w:r>
              <w:rPr>
                <w:rFonts w:ascii="Arial" w:cs="Arial" w:eastAsia="Arial" w:hAnsi="Arial"/>
                <w:sz w:val="17"/>
                <w:szCs w:val="17"/>
                <w:i w:val="1"/>
                <w:iCs w:val="1"/>
                <w:color w:val="auto"/>
              </w:rPr>
              <w:t>System 64</w:t>
            </w:r>
            <w:r>
              <w:rPr>
                <w:rFonts w:ascii="Arial" w:cs="Arial" w:eastAsia="Arial" w:hAnsi="Arial"/>
                <w:sz w:val="25"/>
                <w:szCs w:val="25"/>
                <w:i w:val="1"/>
                <w:iCs w:val="1"/>
                <w:color w:val="auto"/>
                <w:vertAlign w:val="superscript"/>
              </w:rPr>
              <w:t>®</w:t>
            </w:r>
          </w:p>
        </w:tc>
      </w:tr>
      <w:tr>
        <w:trPr>
          <w:trHeight w:val="216"/>
        </w:trPr>
        <w:tc>
          <w:tcPr>
            <w:tcW w:w="3720" w:type="dxa"/>
            <w:vAlign w:val="bottom"/>
            <w:gridSpan w:val="2"/>
          </w:tcPr>
          <w:p>
            <w:pPr>
              <w:ind w:left="80"/>
              <w:spacing w:after="0" w:line="216" w:lineRule="exact"/>
              <w:rPr>
                <w:sz w:val="20"/>
                <w:szCs w:val="20"/>
                <w:color w:val="auto"/>
              </w:rPr>
            </w:pPr>
            <w:r>
              <w:rPr>
                <w:rFonts w:ascii="Arial" w:cs="Arial" w:eastAsia="Arial" w:hAnsi="Arial"/>
                <w:sz w:val="17"/>
                <w:szCs w:val="17"/>
                <w:i w:val="1"/>
                <w:iCs w:val="1"/>
                <w:color w:val="auto"/>
              </w:rPr>
              <w:t>Fort Lock</w:t>
            </w:r>
            <w:r>
              <w:rPr>
                <w:rFonts w:ascii="Arial" w:cs="Arial" w:eastAsia="Arial" w:hAnsi="Arial"/>
                <w:sz w:val="25"/>
                <w:szCs w:val="25"/>
                <w:i w:val="1"/>
                <w:iCs w:val="1"/>
                <w:color w:val="auto"/>
                <w:vertAlign w:val="superscript"/>
              </w:rPr>
              <w:t>®</w:t>
            </w:r>
          </w:p>
        </w:tc>
        <w:tc>
          <w:tcPr>
            <w:tcW w:w="3560" w:type="dxa"/>
            <w:vAlign w:val="bottom"/>
            <w:gridSpan w:val="2"/>
          </w:tcPr>
          <w:p>
            <w:pPr>
              <w:ind w:left="120"/>
              <w:spacing w:after="0" w:line="216" w:lineRule="exact"/>
              <w:rPr>
                <w:sz w:val="20"/>
                <w:szCs w:val="20"/>
                <w:color w:val="auto"/>
              </w:rPr>
            </w:pPr>
            <w:r>
              <w:rPr>
                <w:rFonts w:ascii="Arial" w:cs="Arial" w:eastAsia="Arial" w:hAnsi="Arial"/>
                <w:sz w:val="17"/>
                <w:szCs w:val="17"/>
                <w:i w:val="1"/>
                <w:iCs w:val="1"/>
                <w:color w:val="auto"/>
              </w:rPr>
              <w:t>SlamCAM</w:t>
            </w:r>
            <w:r>
              <w:rPr>
                <w:rFonts w:ascii="Arial" w:cs="Arial" w:eastAsia="Arial" w:hAnsi="Arial"/>
                <w:sz w:val="25"/>
                <w:szCs w:val="25"/>
                <w:i w:val="1"/>
                <w:iCs w:val="1"/>
                <w:color w:val="auto"/>
                <w:vertAlign w:val="superscript"/>
              </w:rPr>
              <w:t>®</w:t>
            </w:r>
          </w:p>
        </w:tc>
      </w:tr>
      <w:tr>
        <w:trPr>
          <w:trHeight w:val="216"/>
        </w:trPr>
        <w:tc>
          <w:tcPr>
            <w:tcW w:w="3720" w:type="dxa"/>
            <w:vAlign w:val="bottom"/>
            <w:gridSpan w:val="2"/>
          </w:tcPr>
          <w:p>
            <w:pPr>
              <w:ind w:left="80"/>
              <w:spacing w:after="0" w:line="216" w:lineRule="exact"/>
              <w:rPr>
                <w:sz w:val="20"/>
                <w:szCs w:val="20"/>
                <w:color w:val="auto"/>
              </w:rPr>
            </w:pPr>
            <w:r>
              <w:rPr>
                <w:rFonts w:ascii="Arial" w:cs="Arial" w:eastAsia="Arial" w:hAnsi="Arial"/>
                <w:sz w:val="17"/>
                <w:szCs w:val="17"/>
                <w:i w:val="1"/>
                <w:iCs w:val="1"/>
                <w:color w:val="auto"/>
              </w:rPr>
              <w:t>Timberline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Lock</w:t>
            </w:r>
          </w:p>
        </w:tc>
        <w:tc>
          <w:tcPr>
            <w:tcW w:w="3560" w:type="dxa"/>
            <w:vAlign w:val="bottom"/>
            <w:gridSpan w:val="2"/>
          </w:tcPr>
          <w:p>
            <w:pPr>
              <w:ind w:left="120"/>
              <w:spacing w:after="0" w:line="216" w:lineRule="exact"/>
              <w:rPr>
                <w:sz w:val="20"/>
                <w:szCs w:val="20"/>
                <w:color w:val="auto"/>
              </w:rPr>
            </w:pPr>
            <w:r>
              <w:rPr>
                <w:rFonts w:ascii="Arial" w:cs="Arial" w:eastAsia="Arial" w:hAnsi="Arial"/>
                <w:sz w:val="17"/>
                <w:szCs w:val="17"/>
                <w:i w:val="1"/>
                <w:iCs w:val="1"/>
                <w:color w:val="auto"/>
              </w:rPr>
              <w:t>RegulatoR</w:t>
            </w:r>
            <w:r>
              <w:rPr>
                <w:rFonts w:ascii="Arial" w:cs="Arial" w:eastAsia="Arial" w:hAnsi="Arial"/>
                <w:sz w:val="25"/>
                <w:szCs w:val="25"/>
                <w:i w:val="1"/>
                <w:iCs w:val="1"/>
                <w:color w:val="auto"/>
                <w:vertAlign w:val="superscript"/>
              </w:rPr>
              <w:t>®</w:t>
            </w:r>
          </w:p>
        </w:tc>
      </w:tr>
      <w:tr>
        <w:trPr>
          <w:trHeight w:val="216"/>
        </w:trPr>
        <w:tc>
          <w:tcPr>
            <w:tcW w:w="3720" w:type="dxa"/>
            <w:vAlign w:val="bottom"/>
            <w:gridSpan w:val="2"/>
          </w:tcPr>
          <w:p>
            <w:pPr>
              <w:ind w:left="80"/>
              <w:spacing w:after="0" w:line="216" w:lineRule="exact"/>
              <w:rPr>
                <w:sz w:val="20"/>
                <w:szCs w:val="20"/>
                <w:color w:val="auto"/>
              </w:rPr>
            </w:pPr>
            <w:r>
              <w:rPr>
                <w:rFonts w:ascii="Arial" w:cs="Arial" w:eastAsia="Arial" w:hAnsi="Arial"/>
                <w:sz w:val="17"/>
                <w:szCs w:val="17"/>
                <w:i w:val="1"/>
                <w:iCs w:val="1"/>
                <w:color w:val="auto"/>
              </w:rPr>
              <w:t>Chicago Lock</w:t>
            </w:r>
            <w:r>
              <w:rPr>
                <w:rFonts w:ascii="Arial" w:cs="Arial" w:eastAsia="Arial" w:hAnsi="Arial"/>
                <w:sz w:val="25"/>
                <w:szCs w:val="25"/>
                <w:i w:val="1"/>
                <w:iCs w:val="1"/>
                <w:color w:val="auto"/>
                <w:vertAlign w:val="superscript"/>
              </w:rPr>
              <w:t>®</w:t>
            </w:r>
          </w:p>
        </w:tc>
        <w:tc>
          <w:tcPr>
            <w:tcW w:w="3560" w:type="dxa"/>
            <w:vAlign w:val="bottom"/>
            <w:gridSpan w:val="2"/>
          </w:tcPr>
          <w:p>
            <w:pPr>
              <w:ind w:left="120"/>
              <w:spacing w:after="0" w:line="216" w:lineRule="exact"/>
              <w:rPr>
                <w:sz w:val="20"/>
                <w:szCs w:val="20"/>
                <w:color w:val="auto"/>
              </w:rPr>
            </w:pPr>
            <w:r>
              <w:rPr>
                <w:rFonts w:ascii="Arial" w:cs="Arial" w:eastAsia="Arial" w:hAnsi="Arial"/>
                <w:sz w:val="17"/>
                <w:szCs w:val="17"/>
                <w:i w:val="1"/>
                <w:iCs w:val="1"/>
                <w:color w:val="auto"/>
              </w:rPr>
              <w:t>CompXpress</w:t>
            </w:r>
            <w:r>
              <w:rPr>
                <w:rFonts w:ascii="Arial" w:cs="Arial" w:eastAsia="Arial" w:hAnsi="Arial"/>
                <w:sz w:val="25"/>
                <w:szCs w:val="25"/>
                <w:i w:val="1"/>
                <w:iCs w:val="1"/>
                <w:color w:val="auto"/>
                <w:vertAlign w:val="superscript"/>
              </w:rPr>
              <w:t>®</w:t>
            </w:r>
          </w:p>
        </w:tc>
      </w:tr>
      <w:tr>
        <w:trPr>
          <w:trHeight w:val="216"/>
        </w:trPr>
        <w:tc>
          <w:tcPr>
            <w:tcW w:w="3720" w:type="dxa"/>
            <w:vAlign w:val="bottom"/>
            <w:gridSpan w:val="2"/>
          </w:tcPr>
          <w:p>
            <w:pPr>
              <w:ind w:left="80"/>
              <w:spacing w:after="0" w:line="216" w:lineRule="exact"/>
              <w:rPr>
                <w:sz w:val="20"/>
                <w:szCs w:val="20"/>
                <w:color w:val="auto"/>
              </w:rPr>
            </w:pPr>
            <w:r>
              <w:rPr>
                <w:rFonts w:ascii="Arial" w:cs="Arial" w:eastAsia="Arial" w:hAnsi="Arial"/>
                <w:sz w:val="17"/>
                <w:szCs w:val="17"/>
                <w:i w:val="1"/>
                <w:iCs w:val="1"/>
                <w:color w:val="auto"/>
              </w:rPr>
              <w:t>STOCK LOCKS</w:t>
            </w:r>
            <w:r>
              <w:rPr>
                <w:rFonts w:ascii="Arial" w:cs="Arial" w:eastAsia="Arial" w:hAnsi="Arial"/>
                <w:sz w:val="25"/>
                <w:szCs w:val="25"/>
                <w:i w:val="1"/>
                <w:iCs w:val="1"/>
                <w:color w:val="auto"/>
                <w:vertAlign w:val="superscript"/>
              </w:rPr>
              <w:t>®</w:t>
            </w:r>
          </w:p>
        </w:tc>
        <w:tc>
          <w:tcPr>
            <w:tcW w:w="3560" w:type="dxa"/>
            <w:vAlign w:val="bottom"/>
            <w:gridSpan w:val="2"/>
          </w:tcPr>
          <w:p>
            <w:pPr>
              <w:ind w:left="120"/>
              <w:spacing w:after="0" w:line="216" w:lineRule="exact"/>
              <w:rPr>
                <w:sz w:val="20"/>
                <w:szCs w:val="20"/>
                <w:color w:val="auto"/>
              </w:rPr>
            </w:pPr>
            <w:r>
              <w:rPr>
                <w:rFonts w:ascii="Arial" w:cs="Arial" w:eastAsia="Arial" w:hAnsi="Arial"/>
                <w:sz w:val="17"/>
                <w:szCs w:val="17"/>
                <w:i w:val="1"/>
                <w:iCs w:val="1"/>
                <w:color w:val="auto"/>
              </w:rPr>
              <w:t>GEM</w:t>
            </w:r>
            <w:r>
              <w:rPr>
                <w:rFonts w:ascii="Arial" w:cs="Arial" w:eastAsia="Arial" w:hAnsi="Arial"/>
                <w:sz w:val="25"/>
                <w:szCs w:val="25"/>
                <w:i w:val="1"/>
                <w:iCs w:val="1"/>
                <w:color w:val="auto"/>
                <w:vertAlign w:val="superscript"/>
              </w:rPr>
              <w:t>®</w:t>
            </w:r>
          </w:p>
        </w:tc>
      </w:tr>
      <w:tr>
        <w:trPr>
          <w:trHeight w:val="216"/>
        </w:trPr>
        <w:tc>
          <w:tcPr>
            <w:tcW w:w="3720" w:type="dxa"/>
            <w:vAlign w:val="bottom"/>
            <w:gridSpan w:val="2"/>
          </w:tcPr>
          <w:p>
            <w:pPr>
              <w:ind w:left="80"/>
              <w:spacing w:after="0" w:line="216" w:lineRule="exact"/>
              <w:rPr>
                <w:sz w:val="20"/>
                <w:szCs w:val="20"/>
                <w:color w:val="auto"/>
              </w:rPr>
            </w:pPr>
            <w:r>
              <w:rPr>
                <w:rFonts w:ascii="Arial" w:cs="Arial" w:eastAsia="Arial" w:hAnsi="Arial"/>
                <w:sz w:val="17"/>
                <w:szCs w:val="17"/>
                <w:i w:val="1"/>
                <w:iCs w:val="1"/>
                <w:color w:val="auto"/>
              </w:rPr>
              <w:t>KeSet</w:t>
            </w:r>
            <w:r>
              <w:rPr>
                <w:rFonts w:ascii="Arial" w:cs="Arial" w:eastAsia="Arial" w:hAnsi="Arial"/>
                <w:sz w:val="25"/>
                <w:szCs w:val="25"/>
                <w:i w:val="1"/>
                <w:iCs w:val="1"/>
                <w:color w:val="auto"/>
                <w:vertAlign w:val="superscript"/>
              </w:rPr>
              <w:t>®</w:t>
            </w:r>
          </w:p>
        </w:tc>
        <w:tc>
          <w:tcPr>
            <w:tcW w:w="3560" w:type="dxa"/>
            <w:vAlign w:val="bottom"/>
            <w:gridSpan w:val="2"/>
          </w:tcPr>
          <w:p>
            <w:pPr>
              <w:ind w:left="120"/>
              <w:spacing w:after="0"/>
              <w:rPr>
                <w:sz w:val="20"/>
                <w:szCs w:val="20"/>
                <w:color w:val="auto"/>
              </w:rPr>
            </w:pPr>
            <w:r>
              <w:rPr>
                <w:rFonts w:ascii="Arial" w:cs="Arial" w:eastAsia="Arial" w:hAnsi="Arial"/>
                <w:sz w:val="18"/>
                <w:szCs w:val="18"/>
                <w:i w:val="1"/>
                <w:iCs w:val="1"/>
                <w:color w:val="auto"/>
              </w:rPr>
              <w:t>Turbine™</w:t>
            </w:r>
          </w:p>
        </w:tc>
      </w:tr>
      <w:tr>
        <w:trPr>
          <w:trHeight w:val="216"/>
        </w:trPr>
        <w:tc>
          <w:tcPr>
            <w:tcW w:w="3720" w:type="dxa"/>
            <w:vAlign w:val="bottom"/>
            <w:gridSpan w:val="2"/>
          </w:tcPr>
          <w:p>
            <w:pPr>
              <w:ind w:left="80"/>
              <w:spacing w:after="0" w:line="216" w:lineRule="exact"/>
              <w:rPr>
                <w:sz w:val="20"/>
                <w:szCs w:val="20"/>
                <w:color w:val="auto"/>
              </w:rPr>
            </w:pPr>
            <w:r>
              <w:rPr>
                <w:rFonts w:ascii="Arial" w:cs="Arial" w:eastAsia="Arial" w:hAnsi="Arial"/>
                <w:sz w:val="17"/>
                <w:szCs w:val="17"/>
                <w:i w:val="1"/>
                <w:iCs w:val="1"/>
                <w:color w:val="auto"/>
              </w:rPr>
              <w:t>TuBar</w:t>
            </w:r>
            <w:r>
              <w:rPr>
                <w:rFonts w:ascii="Arial" w:cs="Arial" w:eastAsia="Arial" w:hAnsi="Arial"/>
                <w:sz w:val="25"/>
                <w:szCs w:val="25"/>
                <w:i w:val="1"/>
                <w:iCs w:val="1"/>
                <w:color w:val="auto"/>
                <w:vertAlign w:val="superscript"/>
              </w:rPr>
              <w:t>®</w:t>
            </w:r>
          </w:p>
        </w:tc>
        <w:tc>
          <w:tcPr>
            <w:tcW w:w="3560" w:type="dxa"/>
            <w:vAlign w:val="bottom"/>
            <w:gridSpan w:val="2"/>
          </w:tcPr>
          <w:p>
            <w:pPr>
              <w:ind w:left="120"/>
              <w:spacing w:after="0" w:line="216" w:lineRule="exact"/>
              <w:rPr>
                <w:sz w:val="20"/>
                <w:szCs w:val="20"/>
                <w:color w:val="auto"/>
              </w:rPr>
            </w:pPr>
            <w:r>
              <w:rPr>
                <w:rFonts w:ascii="Arial" w:cs="Arial" w:eastAsia="Arial" w:hAnsi="Arial"/>
                <w:sz w:val="17"/>
                <w:szCs w:val="17"/>
                <w:i w:val="1"/>
                <w:iCs w:val="1"/>
                <w:color w:val="auto"/>
              </w:rPr>
              <w:t>NARC iD</w:t>
            </w:r>
            <w:r>
              <w:rPr>
                <w:rFonts w:ascii="Arial" w:cs="Arial" w:eastAsia="Arial" w:hAnsi="Arial"/>
                <w:sz w:val="25"/>
                <w:szCs w:val="25"/>
                <w:i w:val="1"/>
                <w:iCs w:val="1"/>
                <w:color w:val="auto"/>
                <w:vertAlign w:val="superscript"/>
              </w:rPr>
              <w:t>®</w:t>
            </w:r>
          </w:p>
        </w:tc>
      </w:tr>
      <w:tr>
        <w:trPr>
          <w:trHeight w:val="216"/>
        </w:trPr>
        <w:tc>
          <w:tcPr>
            <w:tcW w:w="3720" w:type="dxa"/>
            <w:vAlign w:val="bottom"/>
            <w:gridSpan w:val="2"/>
          </w:tcPr>
          <w:p>
            <w:pPr>
              <w:ind w:left="80"/>
              <w:spacing w:after="0" w:line="216" w:lineRule="exact"/>
              <w:rPr>
                <w:sz w:val="20"/>
                <w:szCs w:val="20"/>
                <w:color w:val="auto"/>
              </w:rPr>
            </w:pPr>
            <w:r>
              <w:rPr>
                <w:rFonts w:ascii="Arial" w:cs="Arial" w:eastAsia="Arial" w:hAnsi="Arial"/>
                <w:sz w:val="17"/>
                <w:szCs w:val="17"/>
                <w:i w:val="1"/>
                <w:iCs w:val="1"/>
                <w:color w:val="auto"/>
              </w:rPr>
              <w:t>StealthLock</w:t>
            </w:r>
            <w:r>
              <w:rPr>
                <w:rFonts w:ascii="Arial" w:cs="Arial" w:eastAsia="Arial" w:hAnsi="Arial"/>
                <w:sz w:val="25"/>
                <w:szCs w:val="25"/>
                <w:i w:val="1"/>
                <w:iCs w:val="1"/>
                <w:color w:val="auto"/>
                <w:vertAlign w:val="superscript"/>
              </w:rPr>
              <w:t>®</w:t>
            </w:r>
          </w:p>
        </w:tc>
        <w:tc>
          <w:tcPr>
            <w:tcW w:w="3560" w:type="dxa"/>
            <w:vAlign w:val="bottom"/>
            <w:gridSpan w:val="2"/>
          </w:tcPr>
          <w:p>
            <w:pPr>
              <w:ind w:left="120"/>
              <w:spacing w:after="0" w:line="216" w:lineRule="exact"/>
              <w:rPr>
                <w:sz w:val="20"/>
                <w:szCs w:val="20"/>
                <w:color w:val="auto"/>
              </w:rPr>
            </w:pPr>
            <w:r>
              <w:rPr>
                <w:rFonts w:ascii="Arial" w:cs="Arial" w:eastAsia="Arial" w:hAnsi="Arial"/>
                <w:sz w:val="17"/>
                <w:szCs w:val="17"/>
                <w:i w:val="1"/>
                <w:iCs w:val="1"/>
                <w:color w:val="auto"/>
              </w:rPr>
              <w:t>NARC</w:t>
            </w:r>
            <w:r>
              <w:rPr>
                <w:rFonts w:ascii="Arial" w:cs="Arial" w:eastAsia="Arial" w:hAnsi="Arial"/>
                <w:sz w:val="25"/>
                <w:szCs w:val="25"/>
                <w:i w:val="1"/>
                <w:iCs w:val="1"/>
                <w:color w:val="auto"/>
                <w:vertAlign w:val="superscript"/>
              </w:rPr>
              <w:t>®</w:t>
            </w:r>
          </w:p>
        </w:tc>
      </w:tr>
      <w:tr>
        <w:trPr>
          <w:trHeight w:val="216"/>
        </w:trPr>
        <w:tc>
          <w:tcPr>
            <w:tcW w:w="3720" w:type="dxa"/>
            <w:vAlign w:val="bottom"/>
            <w:gridSpan w:val="2"/>
          </w:tcPr>
          <w:p>
            <w:pPr>
              <w:ind w:left="80"/>
              <w:spacing w:after="0" w:line="216" w:lineRule="exact"/>
              <w:rPr>
                <w:sz w:val="20"/>
                <w:szCs w:val="20"/>
                <w:color w:val="auto"/>
              </w:rPr>
            </w:pPr>
            <w:r>
              <w:rPr>
                <w:rFonts w:ascii="Arial" w:cs="Arial" w:eastAsia="Arial" w:hAnsi="Arial"/>
                <w:sz w:val="17"/>
                <w:szCs w:val="17"/>
                <w:i w:val="1"/>
                <w:iCs w:val="1"/>
                <w:color w:val="auto"/>
              </w:rPr>
              <w:t>ACE</w:t>
            </w:r>
            <w:r>
              <w:rPr>
                <w:rFonts w:ascii="Arial" w:cs="Arial" w:eastAsia="Arial" w:hAnsi="Arial"/>
                <w:sz w:val="25"/>
                <w:szCs w:val="25"/>
                <w:i w:val="1"/>
                <w:iCs w:val="1"/>
                <w:color w:val="auto"/>
                <w:vertAlign w:val="superscript"/>
              </w:rPr>
              <w:t>®</w:t>
            </w:r>
          </w:p>
        </w:tc>
        <w:tc>
          <w:tcPr>
            <w:tcW w:w="3560" w:type="dxa"/>
            <w:vAlign w:val="bottom"/>
            <w:gridSpan w:val="2"/>
          </w:tcPr>
          <w:p>
            <w:pPr>
              <w:ind w:left="120"/>
              <w:spacing w:after="0" w:line="216" w:lineRule="exact"/>
              <w:rPr>
                <w:sz w:val="20"/>
                <w:szCs w:val="20"/>
                <w:color w:val="auto"/>
              </w:rPr>
            </w:pPr>
            <w:r>
              <w:rPr>
                <w:rFonts w:ascii="Arial" w:cs="Arial" w:eastAsia="Arial" w:hAnsi="Arial"/>
                <w:sz w:val="17"/>
                <w:szCs w:val="17"/>
                <w:i w:val="1"/>
                <w:iCs w:val="1"/>
                <w:color w:val="auto"/>
              </w:rPr>
              <w:t>ecoForce</w:t>
            </w:r>
            <w:r>
              <w:rPr>
                <w:rFonts w:ascii="Arial" w:cs="Arial" w:eastAsia="Arial" w:hAnsi="Arial"/>
                <w:sz w:val="25"/>
                <w:szCs w:val="25"/>
                <w:i w:val="1"/>
                <w:iCs w:val="1"/>
                <w:color w:val="auto"/>
                <w:vertAlign w:val="superscript"/>
              </w:rPr>
              <w:t>®</w:t>
            </w:r>
          </w:p>
        </w:tc>
      </w:tr>
      <w:tr>
        <w:trPr>
          <w:trHeight w:val="216"/>
        </w:trPr>
        <w:tc>
          <w:tcPr>
            <w:tcW w:w="3720" w:type="dxa"/>
            <w:vAlign w:val="bottom"/>
            <w:gridSpan w:val="2"/>
          </w:tcPr>
          <w:p>
            <w:pPr>
              <w:ind w:left="80"/>
              <w:spacing w:after="0" w:line="216" w:lineRule="exact"/>
              <w:rPr>
                <w:sz w:val="20"/>
                <w:szCs w:val="20"/>
                <w:color w:val="auto"/>
              </w:rPr>
            </w:pPr>
            <w:r>
              <w:rPr>
                <w:rFonts w:ascii="Arial" w:cs="Arial" w:eastAsia="Arial" w:hAnsi="Arial"/>
                <w:sz w:val="17"/>
                <w:szCs w:val="17"/>
                <w:i w:val="1"/>
                <w:iCs w:val="1"/>
                <w:color w:val="auto"/>
              </w:rPr>
              <w:t>ACE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II</w:t>
            </w: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348"/>
        </w:trPr>
        <w:tc>
          <w:tcPr>
            <w:tcW w:w="3720" w:type="dxa"/>
            <w:vAlign w:val="bottom"/>
            <w:gridSpan w:val="2"/>
          </w:tcPr>
          <w:p>
            <w:pPr>
              <w:ind w:left="80"/>
              <w:spacing w:after="0"/>
              <w:rPr>
                <w:sz w:val="20"/>
                <w:szCs w:val="20"/>
                <w:color w:val="auto"/>
              </w:rPr>
            </w:pPr>
            <w:r>
              <w:rPr>
                <w:rFonts w:ascii="Arial" w:cs="Arial" w:eastAsia="Arial" w:hAnsi="Arial"/>
                <w:sz w:val="18"/>
                <w:szCs w:val="18"/>
                <w:i w:val="1"/>
                <w:iCs w:val="1"/>
                <w:color w:val="auto"/>
              </w:rPr>
              <w:t>CompX eLock</w:t>
            </w:r>
            <w:r>
              <w:rPr>
                <w:rFonts w:ascii="Arial" w:cs="Arial" w:eastAsia="Arial" w:hAnsi="Arial"/>
                <w:sz w:val="26"/>
                <w:szCs w:val="26"/>
                <w:i w:val="1"/>
                <w:iCs w:val="1"/>
                <w:color w:val="auto"/>
                <w:vertAlign w:val="superscript"/>
              </w:rPr>
              <w:t>®</w:t>
            </w: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5"/>
        </w:trPr>
        <w:tc>
          <w:tcPr>
            <w:tcW w:w="3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Sales, Marketing and Distribution</w:t>
            </w: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Marine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24003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91" w:lineRule="auto"/>
        <w:rPr>
          <w:sz w:val="20"/>
          <w:szCs w:val="20"/>
          <w:color w:val="auto"/>
        </w:rPr>
      </w:pPr>
      <w:r>
        <w:rPr>
          <w:rFonts w:ascii="Arial" w:cs="Arial" w:eastAsia="Arial" w:hAnsi="Arial"/>
          <w:sz w:val="18"/>
          <w:szCs w:val="18"/>
          <w:i w:val="1"/>
          <w:iCs w:val="1"/>
          <w:color w:val="auto"/>
        </w:rPr>
        <w:t>CompX Marine</w:t>
      </w:r>
      <w:r>
        <w:rPr>
          <w:rFonts w:ascii="Arial" w:cs="Arial" w:eastAsia="Arial" w:hAnsi="Arial"/>
          <w:sz w:val="26"/>
          <w:szCs w:val="26"/>
          <w:i w:val="1"/>
          <w:iCs w:val="1"/>
          <w:color w:val="auto"/>
          <w:vertAlign w:val="superscript"/>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 Marine</w:t>
      </w:r>
      <w:r>
        <w:rPr>
          <w:rFonts w:ascii="Arial" w:cs="Arial" w:eastAsia="Arial" w:hAnsi="Arial"/>
          <w:sz w:val="15"/>
          <w:szCs w:val="15"/>
          <w:i w:val="1"/>
          <w:iCs w:val="1"/>
          <w:color w:val="auto"/>
        </w:rPr>
        <w:t>®</w:t>
      </w:r>
    </w:p>
    <w:p>
      <w:pPr>
        <w:spacing w:after="0" w:line="182" w:lineRule="auto"/>
        <w:rPr>
          <w:sz w:val="20"/>
          <w:szCs w:val="20"/>
          <w:color w:val="auto"/>
        </w:rPr>
      </w:pPr>
      <w:r>
        <w:rPr>
          <w:rFonts w:ascii="Arial" w:cs="Arial" w:eastAsia="Arial" w:hAnsi="Arial"/>
          <w:sz w:val="18"/>
          <w:szCs w:val="18"/>
          <w:i w:val="1"/>
          <w:iCs w:val="1"/>
          <w:color w:val="auto"/>
        </w:rPr>
        <w:t>Livorsi</w:t>
      </w:r>
      <w:r>
        <w:rPr>
          <w:rFonts w:ascii="Arial" w:cs="Arial" w:eastAsia="Arial" w:hAnsi="Arial"/>
          <w:sz w:val="26"/>
          <w:szCs w:val="26"/>
          <w:color w:val="auto"/>
          <w:vertAlign w:val="superscript"/>
        </w:rPr>
        <w:t>®</w:t>
      </w:r>
      <w:r>
        <w:rPr>
          <w:rFonts w:ascii="Arial" w:cs="Arial" w:eastAsia="Arial" w:hAnsi="Arial"/>
          <w:sz w:val="18"/>
          <w:szCs w:val="18"/>
          <w:i w:val="1"/>
          <w:iCs w:val="1"/>
          <w:color w:val="auto"/>
        </w:rPr>
        <w:t xml:space="preserve"> Marine</w:t>
      </w:r>
    </w:p>
    <w:p>
      <w:pPr>
        <w:spacing w:after="0" w:line="181" w:lineRule="auto"/>
        <w:rPr>
          <w:sz w:val="20"/>
          <w:szCs w:val="20"/>
          <w:color w:val="auto"/>
        </w:rPr>
      </w:pPr>
      <w:r>
        <w:rPr>
          <w:rFonts w:ascii="Arial" w:cs="Arial" w:eastAsia="Arial" w:hAnsi="Arial"/>
          <w:sz w:val="17"/>
          <w:szCs w:val="17"/>
          <w:i w:val="1"/>
          <w:iCs w:val="1"/>
          <w:color w:val="auto"/>
        </w:rPr>
        <w:t>Livorsi II</w:t>
      </w:r>
      <w:r>
        <w:rPr>
          <w:rFonts w:ascii="Arial" w:cs="Arial" w:eastAsia="Arial" w:hAnsi="Arial"/>
          <w:sz w:val="25"/>
          <w:szCs w:val="25"/>
          <w:color w:val="auto"/>
          <w:vertAlign w:val="superscript"/>
        </w:rPr>
        <w:t>®</w:t>
      </w:r>
      <w:r>
        <w:rPr>
          <w:rFonts w:ascii="Arial" w:cs="Arial" w:eastAsia="Arial" w:hAnsi="Arial"/>
          <w:sz w:val="17"/>
          <w:szCs w:val="17"/>
          <w:i w:val="1"/>
          <w:iCs w:val="1"/>
          <w:color w:val="auto"/>
        </w:rPr>
        <w:t xml:space="preserve"> Marine</w:t>
      </w:r>
    </w:p>
    <w:p>
      <w:pPr>
        <w:spacing w:after="0" w:line="180" w:lineRule="auto"/>
        <w:rPr>
          <w:sz w:val="20"/>
          <w:szCs w:val="20"/>
          <w:color w:val="auto"/>
        </w:rPr>
      </w:pPr>
      <w:r>
        <w:rPr>
          <w:rFonts w:ascii="Arial" w:cs="Arial" w:eastAsia="Arial" w:hAnsi="Arial"/>
          <w:sz w:val="17"/>
          <w:szCs w:val="17"/>
          <w:i w:val="1"/>
          <w:iCs w:val="1"/>
          <w:color w:val="auto"/>
        </w:rPr>
        <w:t>CMI Industrial</w:t>
      </w:r>
      <w:r>
        <w:rPr>
          <w:rFonts w:ascii="Arial" w:cs="Arial" w:eastAsia="Arial" w:hAnsi="Arial"/>
          <w:sz w:val="25"/>
          <w:szCs w:val="25"/>
          <w:i w:val="1"/>
          <w:iCs w:val="1"/>
          <w:color w:val="auto"/>
          <w:vertAlign w:val="superscript"/>
        </w:rPr>
        <w:t>®</w:t>
      </w:r>
    </w:p>
    <w:p>
      <w:pPr>
        <w:spacing w:after="0" w:line="181" w:lineRule="auto"/>
        <w:rPr>
          <w:sz w:val="20"/>
          <w:szCs w:val="20"/>
          <w:color w:val="auto"/>
        </w:rPr>
      </w:pPr>
      <w:r>
        <w:rPr>
          <w:rFonts w:ascii="Arial" w:cs="Arial" w:eastAsia="Arial" w:hAnsi="Arial"/>
          <w:sz w:val="17"/>
          <w:szCs w:val="17"/>
          <w:i w:val="1"/>
          <w:iCs w:val="1"/>
          <w:color w:val="auto"/>
        </w:rPr>
        <w:t>Custom Marine</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Stainless Exhaust</w:t>
      </w:r>
    </w:p>
    <w:p>
      <w:pPr>
        <w:spacing w:after="0" w:line="196" w:lineRule="auto"/>
        <w:rPr>
          <w:sz w:val="20"/>
          <w:szCs w:val="20"/>
          <w:color w:val="auto"/>
        </w:rPr>
      </w:pPr>
      <w:r>
        <w:rPr>
          <w:rFonts w:ascii="Arial" w:cs="Arial" w:eastAsia="Arial" w:hAnsi="Arial"/>
          <w:sz w:val="16"/>
          <w:szCs w:val="16"/>
          <w:i w:val="1"/>
          <w:iCs w:val="1"/>
          <w:color w:val="auto"/>
        </w:rPr>
        <w:t>The #1 Choice in Performance Boating</w:t>
      </w:r>
      <w:r>
        <w:rPr>
          <w:rFonts w:ascii="Arial" w:cs="Arial" w:eastAsia="Arial" w:hAnsi="Arial"/>
          <w:sz w:val="23"/>
          <w:szCs w:val="23"/>
          <w:i w:val="1"/>
          <w:iCs w:val="1"/>
          <w:color w:val="auto"/>
          <w:vertAlign w:val="superscript"/>
        </w:rPr>
        <w:t>®</w:t>
      </w:r>
    </w:p>
    <w:p>
      <w:pPr>
        <w:spacing w:after="0" w:line="180" w:lineRule="auto"/>
        <w:rPr>
          <w:sz w:val="20"/>
          <w:szCs w:val="20"/>
          <w:color w:val="auto"/>
        </w:rPr>
      </w:pPr>
      <w:r>
        <w:rPr>
          <w:rFonts w:ascii="Arial" w:cs="Arial" w:eastAsia="Arial" w:hAnsi="Arial"/>
          <w:sz w:val="17"/>
          <w:szCs w:val="17"/>
          <w:i w:val="1"/>
          <w:iCs w:val="1"/>
          <w:color w:val="auto"/>
        </w:rPr>
        <w:t>Mega Rim</w:t>
      </w:r>
      <w:r>
        <w:rPr>
          <w:rFonts w:ascii="Arial" w:cs="Arial" w:eastAsia="Arial" w:hAnsi="Arial"/>
          <w:sz w:val="25"/>
          <w:szCs w:val="25"/>
          <w:i w:val="1"/>
          <w:iCs w:val="1"/>
          <w:color w:val="auto"/>
          <w:vertAlign w:val="superscript"/>
        </w:rPr>
        <w:t>®</w:t>
      </w:r>
    </w:p>
    <w:p>
      <w:pPr>
        <w:spacing w:after="0" w:line="180" w:lineRule="auto"/>
        <w:rPr>
          <w:sz w:val="20"/>
          <w:szCs w:val="20"/>
          <w:color w:val="auto"/>
        </w:rPr>
      </w:pPr>
      <w:r>
        <w:rPr>
          <w:rFonts w:ascii="Arial" w:cs="Arial" w:eastAsia="Arial" w:hAnsi="Arial"/>
          <w:sz w:val="17"/>
          <w:szCs w:val="17"/>
          <w:i w:val="1"/>
          <w:iCs w:val="1"/>
          <w:color w:val="auto"/>
        </w:rPr>
        <w:t>Race Rim</w:t>
      </w:r>
      <w:r>
        <w:rPr>
          <w:rFonts w:ascii="Arial" w:cs="Arial" w:eastAsia="Arial" w:hAnsi="Arial"/>
          <w:sz w:val="25"/>
          <w:szCs w:val="25"/>
          <w:i w:val="1"/>
          <w:iCs w:val="1"/>
          <w:color w:val="auto"/>
          <w:vertAlign w:val="superscript"/>
        </w:rPr>
        <w:t>®</w:t>
      </w:r>
    </w:p>
    <w:p>
      <w:pPr>
        <w:spacing w:after="0" w:line="181" w:lineRule="auto"/>
        <w:rPr>
          <w:sz w:val="20"/>
          <w:szCs w:val="20"/>
          <w:color w:val="auto"/>
        </w:rPr>
      </w:pPr>
      <w:r>
        <w:rPr>
          <w:rFonts w:ascii="Arial" w:cs="Arial" w:eastAsia="Arial" w:hAnsi="Arial"/>
          <w:sz w:val="17"/>
          <w:szCs w:val="17"/>
          <w:i w:val="1"/>
          <w:iCs w:val="1"/>
          <w:color w:val="auto"/>
        </w:rPr>
        <w:t>Vantage View</w:t>
      </w:r>
      <w:r>
        <w:rPr>
          <w:rFonts w:ascii="Arial" w:cs="Arial" w:eastAsia="Arial" w:hAnsi="Arial"/>
          <w:sz w:val="25"/>
          <w:szCs w:val="25"/>
          <w:i w:val="1"/>
          <w:iCs w:val="1"/>
          <w:color w:val="auto"/>
          <w:vertAlign w:val="superscript"/>
        </w:rPr>
        <w:t>®</w:t>
      </w:r>
    </w:p>
    <w:p>
      <w:pPr>
        <w:spacing w:after="0"/>
        <w:rPr>
          <w:sz w:val="20"/>
          <w:szCs w:val="20"/>
          <w:color w:val="auto"/>
        </w:rPr>
      </w:pPr>
      <w:r>
        <w:rPr>
          <w:rFonts w:ascii="Arial" w:cs="Arial" w:eastAsia="Arial" w:hAnsi="Arial"/>
          <w:sz w:val="18"/>
          <w:szCs w:val="18"/>
          <w:i w:val="1"/>
          <w:iCs w:val="1"/>
          <w:color w:val="auto"/>
        </w:rPr>
        <w:t>GEN-X</w:t>
      </w:r>
      <w:r>
        <w:rPr>
          <w:rFonts w:ascii="Arial" w:cs="Arial" w:eastAsia="Arial" w:hAnsi="Arial"/>
          <w:sz w:val="26"/>
          <w:szCs w:val="26"/>
          <w:i w:val="1"/>
          <w:iCs w:val="1"/>
          <w:color w:val="auto"/>
          <w:vertAlign w:val="superscript"/>
        </w:rPr>
        <w:t>®</w:t>
      </w:r>
    </w:p>
    <w:p>
      <w:pPr>
        <w:spacing w:after="0" w:line="927" w:lineRule="exact"/>
        <w:rPr>
          <w:sz w:val="20"/>
          <w:szCs w:val="20"/>
          <w:color w:val="auto"/>
        </w:rPr>
      </w:pPr>
    </w:p>
    <w:p>
      <w:pPr>
        <w:sectPr>
          <w:pgSz w:w="11900" w:h="16838" w:orient="portrait"/>
          <w:cols w:equalWidth="0" w:num="2">
            <w:col w:w="7280" w:space="100"/>
            <w:col w:w="3860"/>
          </w:cols>
          <w:pgMar w:left="320" w:top="341" w:right="339" w:bottom="1440" w:gutter="0" w:footer="0" w:header="0"/>
          <w:type w:val="continuous"/>
        </w:sectPr>
      </w:pPr>
    </w:p>
    <w:p>
      <w:pPr>
        <w:jc w:val="both"/>
        <w:ind w:right="20" w:firstLine="1175"/>
        <w:spacing w:after="0" w:line="263" w:lineRule="auto"/>
        <w:rPr>
          <w:sz w:val="20"/>
          <w:szCs w:val="20"/>
          <w:color w:val="auto"/>
        </w:rPr>
      </w:pPr>
      <w:r>
        <w:rPr>
          <w:rFonts w:ascii="Arial" w:cs="Arial" w:eastAsia="Arial" w:hAnsi="Arial"/>
          <w:sz w:val="18"/>
          <w:szCs w:val="18"/>
          <w:color w:val="auto"/>
        </w:rPr>
        <w:t>A majority of our component sales are direct to large OEM customers through our factory-based sales and marketing professionals supported by engineers working in concert with field salespeople and independent manufacturer’s representatives. We select manufacturer’s representatives based on special skills in certain markets or relationships with current or potential customers.</w:t>
      </w:r>
    </w:p>
    <w:p>
      <w:pPr>
        <w:spacing w:after="0" w:line="184" w:lineRule="exact"/>
        <w:rPr>
          <w:sz w:val="20"/>
          <w:szCs w:val="20"/>
          <w:color w:val="auto"/>
        </w:rPr>
      </w:pPr>
    </w:p>
    <w:p>
      <w:pPr>
        <w:jc w:val="both"/>
        <w:ind w:firstLine="1175"/>
        <w:spacing w:after="0" w:line="259" w:lineRule="auto"/>
        <w:rPr>
          <w:sz w:val="20"/>
          <w:szCs w:val="20"/>
          <w:color w:val="auto"/>
        </w:rPr>
      </w:pPr>
      <w:r>
        <w:rPr>
          <w:rFonts w:ascii="Arial" w:cs="Arial" w:eastAsia="Arial" w:hAnsi="Arial"/>
          <w:sz w:val="18"/>
          <w:szCs w:val="18"/>
          <w:color w:val="auto"/>
        </w:rPr>
        <w:t>In addition to sales to large OEM customers, a substantial portion of our Security Products sales are made through distributors. We have a significant North American market share of cabinet lock security product sales as a result of the locksmith distribution channel. We support our locksmith distributor sales with a line of standardized products used by the largest segments of the marketplace. These products are packaged and merchandised for easy availability and handling by distributors and end users.</w:t>
      </w:r>
    </w:p>
    <w:p>
      <w:pPr>
        <w:spacing w:after="0" w:line="187" w:lineRule="exact"/>
        <w:rPr>
          <w:sz w:val="20"/>
          <w:szCs w:val="20"/>
          <w:color w:val="auto"/>
        </w:rPr>
      </w:pPr>
    </w:p>
    <w:p>
      <w:pPr>
        <w:jc w:val="both"/>
        <w:ind w:right="20" w:firstLine="1175"/>
        <w:spacing w:after="0" w:line="277" w:lineRule="auto"/>
        <w:rPr>
          <w:sz w:val="20"/>
          <w:szCs w:val="20"/>
          <w:color w:val="auto"/>
        </w:rPr>
      </w:pPr>
      <w:r>
        <w:rPr>
          <w:rFonts w:ascii="Arial" w:cs="Arial" w:eastAsia="Arial" w:hAnsi="Arial"/>
          <w:sz w:val="18"/>
          <w:szCs w:val="18"/>
          <w:color w:val="auto"/>
        </w:rPr>
        <w:t>We sell to a diverse customer base with only one customer representing 10% or more of our sales in 2020 (United States Postal Service representing 17%). Our largest ten customers accounted for approximately 48% of our sales in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jc w:val="both"/>
        <w:ind w:firstLine="1175"/>
        <w:spacing w:after="0" w:line="257" w:lineRule="auto"/>
        <w:rPr>
          <w:sz w:val="20"/>
          <w:szCs w:val="20"/>
          <w:color w:val="auto"/>
        </w:rPr>
      </w:pPr>
      <w:r>
        <w:rPr>
          <w:rFonts w:ascii="Arial" w:cs="Arial" w:eastAsia="Arial" w:hAnsi="Arial"/>
          <w:sz w:val="18"/>
          <w:szCs w:val="18"/>
          <w:color w:val="auto"/>
        </w:rPr>
        <w:t>The markets in which we participate are highly competitive. We compete primarily on the basis of product design, including space utilization and aesthetic factors, product quality and durability, price, on-time delivery, service and technical support. We focus our efforts on the middle and high-end segments of the market, where product design, quality, durability and service are valued by the customer. Our Security Products segment competes against a number of domestic and foreign manufacturers. Our Marine Components segment competes with small domestic manufacturers and is minimally affected by foreign competitors.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Environmental Matters</w:t>
      </w:r>
    </w:p>
    <w:p>
      <w:pPr>
        <w:spacing w:after="0" w:line="117" w:lineRule="exact"/>
        <w:rPr>
          <w:sz w:val="20"/>
          <w:szCs w:val="20"/>
          <w:color w:val="auto"/>
        </w:rPr>
      </w:pPr>
    </w:p>
    <w:p>
      <w:pPr>
        <w:jc w:val="both"/>
        <w:ind w:firstLine="1175"/>
        <w:spacing w:after="0" w:line="273" w:lineRule="auto"/>
        <w:rPr>
          <w:sz w:val="20"/>
          <w:szCs w:val="20"/>
          <w:color w:val="auto"/>
        </w:rPr>
      </w:pPr>
      <w:r>
        <w:rPr>
          <w:rFonts w:ascii="Arial" w:cs="Arial" w:eastAsia="Arial" w:hAnsi="Arial"/>
          <w:sz w:val="17"/>
          <w:szCs w:val="17"/>
          <w:color w:val="auto"/>
        </w:rPr>
        <w:t>Our operations are subject to federal, state and local laws and regulations relating to the use, storage, handling, generation, transportation, treatment, emission, discharge, disposal, remediation of and exposure to hazardous and non-hazardous substances, materials and wastes (“Environmental Laws”). Our operations also are subject to federal, state and local laws and regulations relating to worker health and safety. We believe we are in substantial compliance with all such laws and regulations. To date, the costs of maintaining compliance with such laws and regulations have not significantly impacted our results. We currently do not anticipate any significant costs or expenses relating to such matters; however, it is possible future laws and regulations may require us to incur significant additional expenditures.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117" w:lineRule="exact"/>
        <w:rPr>
          <w:sz w:val="20"/>
          <w:szCs w:val="20"/>
          <w:color w:val="auto"/>
        </w:rPr>
      </w:pPr>
    </w:p>
    <w:p>
      <w:pPr>
        <w:jc w:val="both"/>
        <w:ind w:firstLine="1175"/>
        <w:spacing w:after="0" w:line="257" w:lineRule="auto"/>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 Our operating results depend in part on our ability to successfully manage our human capital resources, including attracting,</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identifying, and retaining key talent. We have a well-trained labor force with a substantial number of long-tenured employees. We provide competitive compensation and benefits to our employees. In addition to salaries, these programs can include annual bonuses, defined contribution plans with employer matching opportunities, healthcare and insurance benefits, health savings and flexible spending accounts, paid time off, family leave, family care resources, employee assistance programs, and tuition assistance.</w:t>
      </w:r>
    </w:p>
    <w:p>
      <w:pPr>
        <w:spacing w:after="0" w:line="188" w:lineRule="exact"/>
        <w:rPr>
          <w:sz w:val="20"/>
          <w:szCs w:val="20"/>
          <w:color w:val="auto"/>
        </w:rPr>
      </w:pPr>
    </w:p>
    <w:p>
      <w:pPr>
        <w:jc w:val="both"/>
        <w:ind w:right="20" w:firstLine="1175"/>
        <w:spacing w:after="0" w:line="277" w:lineRule="auto"/>
        <w:rPr>
          <w:sz w:val="20"/>
          <w:szCs w:val="20"/>
          <w:color w:val="auto"/>
        </w:rPr>
      </w:pPr>
      <w:r>
        <w:rPr>
          <w:rFonts w:ascii="Arial" w:cs="Arial" w:eastAsia="Arial" w:hAnsi="Arial"/>
          <w:sz w:val="18"/>
          <w:szCs w:val="18"/>
          <w:color w:val="auto"/>
        </w:rPr>
        <w:t>As of December 31, 2020, we employed 513 people, all in the United States. We strive to maintain good relationships with all of our employees at each of our facilities.</w:t>
      </w:r>
    </w:p>
    <w:p>
      <w:pPr>
        <w:spacing w:after="0" w:line="170" w:lineRule="exact"/>
        <w:rPr>
          <w:sz w:val="20"/>
          <w:szCs w:val="20"/>
          <w:color w:val="auto"/>
        </w:rPr>
      </w:pPr>
    </w:p>
    <w:p>
      <w:pPr>
        <w:jc w:val="both"/>
        <w:ind w:firstLine="1175"/>
        <w:spacing w:after="0" w:line="296" w:lineRule="auto"/>
        <w:rPr>
          <w:sz w:val="20"/>
          <w:szCs w:val="20"/>
          <w:color w:val="auto"/>
        </w:rPr>
      </w:pPr>
      <w:r>
        <w:rPr>
          <w:rFonts w:ascii="Arial" w:cs="Arial" w:eastAsia="Arial" w:hAnsi="Arial"/>
          <w:sz w:val="16"/>
          <w:szCs w:val="16"/>
          <w:i w:val="1"/>
          <w:iCs w:val="1"/>
          <w:color w:val="auto"/>
        </w:rPr>
        <w:t xml:space="preserve">Health and Safety </w:t>
      </w:r>
      <w:r>
        <w:rPr>
          <w:rFonts w:ascii="Arial" w:cs="Arial" w:eastAsia="Arial" w:hAnsi="Arial"/>
          <w:sz w:val="16"/>
          <w:szCs w:val="16"/>
          <w:color w:val="auto"/>
        </w:rPr>
        <w:t>– Protecting the health and safety of our employees, our customers, our business partners and the natural environment is</w:t>
      </w:r>
      <w:r>
        <w:rPr>
          <w:rFonts w:ascii="Arial" w:cs="Arial" w:eastAsia="Arial" w:hAnsi="Arial"/>
          <w:sz w:val="16"/>
          <w:szCs w:val="16"/>
          <w:i w:val="1"/>
          <w:iCs w:val="1"/>
          <w:color w:val="auto"/>
        </w:rPr>
        <w:t xml:space="preserve"> </w:t>
      </w:r>
      <w:r>
        <w:rPr>
          <w:rFonts w:ascii="Arial" w:cs="Arial" w:eastAsia="Arial" w:hAnsi="Arial"/>
          <w:sz w:val="16"/>
          <w:szCs w:val="16"/>
          <w:color w:val="auto"/>
        </w:rPr>
        <w:t>one of our core values. We are committed to conducting our business in ways that provide all personnel with a safe and healthy work environment and have established safety and environmental programs and goals to achieve such results. We expect our manufacturing facilities to produce our products safely and in compliance with local permits and policies intended to protect the environment and we have established global policies designed to promote such compliance. We require our employees to comply with legal and regulatory requirements and our policies, standards and practices.</w:t>
      </w:r>
    </w:p>
    <w:p>
      <w:pPr>
        <w:spacing w:after="0" w:line="161" w:lineRule="exact"/>
        <w:rPr>
          <w:sz w:val="20"/>
          <w:szCs w:val="20"/>
          <w:color w:val="auto"/>
        </w:rPr>
      </w:pPr>
    </w:p>
    <w:p>
      <w:pPr>
        <w:jc w:val="both"/>
        <w:ind w:firstLine="1175"/>
        <w:spacing w:after="0" w:line="257" w:lineRule="auto"/>
        <w:rPr>
          <w:sz w:val="20"/>
          <w:szCs w:val="20"/>
          <w:color w:val="auto"/>
        </w:rPr>
      </w:pPr>
      <w:r>
        <w:rPr>
          <w:rFonts w:ascii="Arial" w:cs="Arial" w:eastAsia="Arial" w:hAnsi="Arial"/>
          <w:sz w:val="18"/>
          <w:szCs w:val="18"/>
          <w:i w:val="1"/>
          <w:iCs w:val="1"/>
          <w:color w:val="auto"/>
        </w:rPr>
        <w:t xml:space="preserve">Diversity and Inclusion </w:t>
      </w:r>
      <w:r>
        <w:rPr>
          <w:rFonts w:ascii="Arial" w:cs="Arial" w:eastAsia="Arial" w:hAnsi="Arial"/>
          <w:sz w:val="18"/>
          <w:szCs w:val="18"/>
          <w:color w:val="auto"/>
        </w:rPr>
        <w:t>– We recognize that everyone deserves respect and equal treatment. We embrace diversity and collaboration in our</w:t>
      </w:r>
      <w:r>
        <w:rPr>
          <w:rFonts w:ascii="Arial" w:cs="Arial" w:eastAsia="Arial" w:hAnsi="Arial"/>
          <w:sz w:val="18"/>
          <w:szCs w:val="18"/>
          <w:i w:val="1"/>
          <w:iCs w:val="1"/>
          <w:color w:val="auto"/>
        </w:rPr>
        <w:t xml:space="preserve"> </w:t>
      </w:r>
      <w:r>
        <w:rPr>
          <w:rFonts w:ascii="Arial" w:cs="Arial" w:eastAsia="Arial" w:hAnsi="Arial"/>
          <w:sz w:val="18"/>
          <w:szCs w:val="18"/>
          <w:color w:val="auto"/>
        </w:rPr>
        <w:t>workforce and our business initiatives. We are an equal opportunity employer and we base employment decisions on merit, competence and qualifications, without regard to race, color, national origin, gender, age, religion, disability, sex, sexual orientation or other characteristics protected by applicable law in the jurisdictions in which we operate. We promote a respectful, diverse and inclusive workplace in which all individuals are treated with respect and dignity.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(“ESG”)</w:t>
      </w:r>
    </w:p>
    <w:p>
      <w:pPr>
        <w:spacing w:after="0" w:line="225" w:lineRule="exact"/>
        <w:rPr>
          <w:sz w:val="20"/>
          <w:szCs w:val="20"/>
          <w:color w:val="auto"/>
        </w:rPr>
      </w:pPr>
    </w:p>
    <w:p>
      <w:pPr>
        <w:jc w:val="both"/>
        <w:ind w:firstLine="1175"/>
        <w:spacing w:after="0" w:line="301" w:lineRule="auto"/>
        <w:rPr>
          <w:sz w:val="20"/>
          <w:szCs w:val="20"/>
          <w:color w:val="auto"/>
        </w:rPr>
      </w:pPr>
      <w:r>
        <w:rPr>
          <w:rFonts w:ascii="Arial" w:cs="Arial" w:eastAsia="Arial" w:hAnsi="Arial"/>
          <w:sz w:val="16"/>
          <w:szCs w:val="16"/>
          <w:color w:val="auto"/>
        </w:rPr>
        <w:t>We seek to operate our business in line with sound ESG principles that include corporate governance, social responsibility, sustainability, and cybersecurity. At our facilities, we undertake various environmental sustainability programs, and we promote social responsibility and volunteerism through programs designed to support and give back to the local communities in which we operate. At a corporate level, we engage in periodic reviews of our cybersecurity program, including cybersecurity risk and threats, and have established stock ownership guidelines for our non-employee directors.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Website and Available Information</w:t>
      </w:r>
    </w:p>
    <w:p>
      <w:pPr>
        <w:spacing w:after="0" w:line="117" w:lineRule="exact"/>
        <w:rPr>
          <w:sz w:val="20"/>
          <w:szCs w:val="20"/>
          <w:color w:val="auto"/>
        </w:rPr>
      </w:pPr>
    </w:p>
    <w:p>
      <w:pPr>
        <w:jc w:val="both"/>
        <w:ind w:firstLine="1175"/>
        <w:spacing w:after="0" w:line="270" w:lineRule="auto"/>
        <w:rPr>
          <w:sz w:val="20"/>
          <w:szCs w:val="20"/>
          <w:color w:val="auto"/>
        </w:rPr>
      </w:pPr>
      <w:r>
        <w:rPr>
          <w:rFonts w:ascii="Arial" w:cs="Arial" w:eastAsia="Arial" w:hAnsi="Arial"/>
          <w:sz w:val="17"/>
          <w:szCs w:val="17"/>
          <w:color w:val="auto"/>
        </w:rPr>
        <w:t xml:space="preserve">Our fiscal year end is always the Sunday closest to December 31, and our operations are reported on a 52 or 53-week fiscal year. For presentation purposes, annual and quarterly information in this Form 10-K are presented as ended on March 31, June 30, September 30, and December 31, as applicable. The actual date of our fiscal years ended December 31, 2018, 2019 and 2020 are December 30, 2018, December 29, 2019, and January 3, 2021, respectively. Our fiscal year ending December 31, 2020 was a 53-week year. We furnish our stockholders with annual reports containing audited financial statements. In addition, we file annual, quarterly and current reports; proxy and information statements and other information with the SEC. We also make our annual report on Form 10-K, quarterly reports on Form 10-Q, current reports on Form 8-K and all related amendments, available free of charge through our website at </w:t>
      </w:r>
      <w:r>
        <w:rPr>
          <w:rFonts w:ascii="Arial" w:cs="Arial" w:eastAsia="Arial" w:hAnsi="Arial"/>
          <w:sz w:val="17"/>
          <w:szCs w:val="17"/>
          <w:u w:val="single" w:color="auto"/>
          <w:color w:val="auto"/>
        </w:rPr>
        <w:t>www.compx.com</w:t>
      </w:r>
      <w:r>
        <w:rPr>
          <w:rFonts w:ascii="Arial" w:cs="Arial" w:eastAsia="Arial" w:hAnsi="Arial"/>
          <w:sz w:val="17"/>
          <w:szCs w:val="17"/>
          <w:color w:val="auto"/>
        </w:rPr>
        <w:t xml:space="preserve"> as soon as reasonably practical after they have been filed with the SEC. We also provide to anyone, without charge, copies of the documents upon written request. Requests should be directed to the attention of the Corporate Secretary at our address on the cover page of this Form 10-K.</w:t>
      </w:r>
    </w:p>
    <w:p>
      <w:pPr>
        <w:spacing w:after="0" w:line="181" w:lineRule="exact"/>
        <w:rPr>
          <w:sz w:val="20"/>
          <w:szCs w:val="20"/>
          <w:color w:val="auto"/>
        </w:rPr>
      </w:pPr>
    </w:p>
    <w:p>
      <w:pPr>
        <w:jc w:val="both"/>
        <w:ind w:right="20" w:firstLine="1175"/>
        <w:spacing w:after="0" w:line="277" w:lineRule="auto"/>
        <w:rPr>
          <w:sz w:val="20"/>
          <w:szCs w:val="20"/>
          <w:color w:val="auto"/>
        </w:rPr>
      </w:pPr>
      <w:r>
        <w:rPr>
          <w:rFonts w:ascii="Arial" w:cs="Arial" w:eastAsia="Arial" w:hAnsi="Arial"/>
          <w:sz w:val="18"/>
          <w:szCs w:val="18"/>
          <w:color w:val="auto"/>
        </w:rPr>
        <w:t>Additional information, including our Audit Committee Charter, our Code of Business Conduct and Ethics and our Corporate Governance Guidelines, can also be found on our website. Information contained on our website is not a part of this Annual Report.</w:t>
      </w:r>
    </w:p>
    <w:p>
      <w:pPr>
        <w:spacing w:after="0" w:line="170" w:lineRule="exact"/>
        <w:rPr>
          <w:sz w:val="20"/>
          <w:szCs w:val="20"/>
          <w:color w:val="auto"/>
        </w:rPr>
      </w:pPr>
    </w:p>
    <w:p>
      <w:pPr>
        <w:jc w:val="both"/>
        <w:ind w:firstLine="1175"/>
        <w:spacing w:after="0" w:line="277" w:lineRule="auto"/>
        <w:rPr>
          <w:sz w:val="20"/>
          <w:szCs w:val="20"/>
          <w:color w:val="auto"/>
        </w:rPr>
      </w:pPr>
      <w:r>
        <w:rPr>
          <w:rFonts w:ascii="Arial" w:cs="Arial" w:eastAsia="Arial" w:hAnsi="Arial"/>
          <w:sz w:val="18"/>
          <w:szCs w:val="18"/>
          <w:color w:val="auto"/>
        </w:rPr>
        <w:t xml:space="preserve">We are an electronic filer. The SEC maintains an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that contains reports, proxy and information statements and other information regarding issuers, such as us, that file electronically with the SEC.</w:t>
      </w:r>
    </w:p>
    <w:p>
      <w:pPr>
        <w:spacing w:after="0" w:line="31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1175"/>
        <w:spacing w:after="0" w:line="286" w:lineRule="auto"/>
        <w:rPr>
          <w:sz w:val="20"/>
          <w:szCs w:val="20"/>
          <w:color w:val="auto"/>
        </w:rPr>
      </w:pPr>
      <w:r>
        <w:rPr>
          <w:rFonts w:ascii="Arial" w:cs="Arial" w:eastAsia="Arial" w:hAnsi="Arial"/>
          <w:sz w:val="17"/>
          <w:szCs w:val="17"/>
          <w:color w:val="auto"/>
        </w:rPr>
        <w:t>Listed below are certain risk factors associated with us and our businesses. In addition to the potential effect of these risk factors discussed below, any risk factor which could result in reduced earnings, or increased operating losses, or reduced liquidity, could in turn adversely affect our ability to service our liabilities or pay dividends on our common stock or adversely affect the quoted market prices for our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mature and highly competitive markets, resulting in pricing pressure and the need to continuously reduce costs.</w:t>
      </w:r>
    </w:p>
    <w:p>
      <w:pPr>
        <w:spacing w:after="0" w:line="117" w:lineRule="exact"/>
        <w:rPr>
          <w:sz w:val="20"/>
          <w:szCs w:val="20"/>
          <w:color w:val="auto"/>
        </w:rPr>
      </w:pPr>
    </w:p>
    <w:p>
      <w:pPr>
        <w:jc w:val="both"/>
        <w:ind w:firstLine="1175"/>
        <w:spacing w:after="0" w:line="259" w:lineRule="auto"/>
        <w:rPr>
          <w:sz w:val="20"/>
          <w:szCs w:val="20"/>
          <w:color w:val="auto"/>
        </w:rPr>
      </w:pPr>
      <w:r>
        <w:rPr>
          <w:rFonts w:ascii="Arial" w:cs="Arial" w:eastAsia="Arial" w:hAnsi="Arial"/>
          <w:sz w:val="18"/>
          <w:szCs w:val="18"/>
          <w:color w:val="auto"/>
        </w:rPr>
        <w:t>Many of the markets we serve are highly competitive, with a number of competitors offering similar products. We focus our efforts on the middle and high-end segment of the market where we feel that we can compete due to the importance of product design, quality and durability to the customer. However, our ability to effectively compete is impacted by a number of factors. The occurrence of any of these factors could result in reduced earnings or operating losses.</w:t>
      </w:r>
    </w:p>
    <w:p>
      <w:pPr>
        <w:spacing w:after="0" w:line="79" w:lineRule="exact"/>
        <w:rPr>
          <w:sz w:val="20"/>
          <w:szCs w:val="20"/>
          <w:color w:val="auto"/>
        </w:rPr>
      </w:pPr>
    </w:p>
    <w:p>
      <w:pPr>
        <w:ind w:left="1160" w:hanging="57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Competitors may be able to drive down prices for our products beyond our ability to adjust costs because their costs are lower than ours, especially products sourced from Asia.</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Competitors’ financial, technological and other resources may be greater than our resources, which may enable them to more effectively withstand changes in market conditions.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Competitors may be able to respond more quickly than we can to new or emerging technologies and changes in customer requirements.</w:t>
      </w:r>
    </w:p>
    <w:p>
      <w:pPr>
        <w:spacing w:after="0" w:line="167" w:lineRule="exact"/>
        <w:rPr>
          <w:rFonts w:ascii="Arial" w:cs="Arial" w:eastAsia="Arial" w:hAnsi="Arial"/>
          <w:sz w:val="16"/>
          <w:szCs w:val="16"/>
          <w:color w:val="auto"/>
        </w:rPr>
      </w:pPr>
    </w:p>
    <w:p>
      <w:pPr>
        <w:ind w:left="1160" w:hanging="57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reduction of our market share with one or more of our key customers, or a reduction in one or more of our key customers’ market share for their end-use products, may reduce demand for our products.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New competitors could emerge by modifying their existing production facilities to manufacture products that compete with our products.</w:t>
      </w:r>
    </w:p>
    <w:p>
      <w:pPr>
        <w:spacing w:after="0" w:line="167" w:lineRule="exact"/>
        <w:rPr>
          <w:rFonts w:ascii="Arial" w:cs="Arial" w:eastAsia="Arial" w:hAnsi="Arial"/>
          <w:sz w:val="16"/>
          <w:szCs w:val="16"/>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sustain a cost structure that enables us to be competitive.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Customers may no longer value our product design, quality or durability over the lower cost products of our competitors.</w:t>
      </w:r>
    </w:p>
    <w:p>
      <w:pPr>
        <w:spacing w:after="0" w:line="252" w:lineRule="exact"/>
        <w:rPr>
          <w:rFonts w:ascii="Arial" w:cs="Arial" w:eastAsia="Arial" w:hAnsi="Arial"/>
          <w:sz w:val="18"/>
          <w:szCs w:val="18"/>
          <w:color w:val="auto"/>
        </w:rPr>
      </w:pPr>
    </w:p>
    <w:p>
      <w:pPr>
        <w:ind w:left="5580" w:hanging="106"/>
        <w:spacing w:after="0"/>
        <w:tabs>
          <w:tab w:leader="none" w:pos="5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Our development of innovative features for current products is critical to sustaining and growing our sales.</w:t>
      </w:r>
    </w:p>
    <w:p>
      <w:pPr>
        <w:spacing w:after="0" w:line="117" w:lineRule="exact"/>
        <w:rPr>
          <w:sz w:val="20"/>
          <w:szCs w:val="20"/>
          <w:color w:val="auto"/>
        </w:rPr>
      </w:pPr>
    </w:p>
    <w:p>
      <w:pPr>
        <w:jc w:val="both"/>
        <w:ind w:firstLine="1175"/>
        <w:spacing w:after="0" w:line="268" w:lineRule="auto"/>
        <w:rPr>
          <w:sz w:val="20"/>
          <w:szCs w:val="20"/>
          <w:color w:val="auto"/>
        </w:rPr>
      </w:pPr>
      <w:r>
        <w:rPr>
          <w:rFonts w:ascii="Arial" w:cs="Arial" w:eastAsia="Arial" w:hAnsi="Arial"/>
          <w:sz w:val="17"/>
          <w:szCs w:val="17"/>
          <w:color w:val="auto"/>
        </w:rPr>
        <w:t>Historically, our ability to provide value-added custom engineered products that address requirements of technology and space utilization has been a key element of our success. We spend a significant amount of time and effort to refine, improve and adapt our existing products for new customers and applications. Since expenditures for these types of activities are not considered research and development expense under accounting principles generally accepted in the United States of America (“GAAP”), the amount of our research and development expenditures, which is not significant, is not indicative of the overall effort involved in the development of new product features. The introduction of new product features requires the coordination of the design, manufacturing and marketing of the new product features with current and potential customers. The ability to coordinate these activities with current and potential customers may be affected by factors beyond our control. While we will continue to emphasize the introduction of innovative new product features that target customer-specific opportunities, we do not know if any new product features we introduce will achieve the same degree of success that we have achieved with our existing products. Introduction of new product features typically requires us to increase production volume on a timely basis while maintaining product quality. Manufacturers often encounter difficulties in increasing production volumes, including delays, quality control problems and shortages of qualified personnel or raw materials. As we attempt to introduce new product features in the future, we do not know if we will be able to increase production volumes without encountering these or other problems, which might negatively impact our financial condition or results of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Higher costs or limited availability of our raw materials could negatively impact our financial results.</w:t>
      </w:r>
    </w:p>
    <w:p>
      <w:pPr>
        <w:spacing w:after="0" w:line="117" w:lineRule="exact"/>
        <w:rPr>
          <w:sz w:val="20"/>
          <w:szCs w:val="20"/>
          <w:color w:val="auto"/>
        </w:rPr>
      </w:pPr>
    </w:p>
    <w:p>
      <w:pPr>
        <w:jc w:val="both"/>
        <w:ind w:firstLine="1175"/>
        <w:spacing w:after="0" w:line="255" w:lineRule="auto"/>
        <w:rPr>
          <w:sz w:val="20"/>
          <w:szCs w:val="20"/>
          <w:color w:val="auto"/>
        </w:rPr>
      </w:pPr>
      <w:r>
        <w:rPr>
          <w:rFonts w:ascii="Arial" w:cs="Arial" w:eastAsia="Arial" w:hAnsi="Arial"/>
          <w:sz w:val="18"/>
          <w:szCs w:val="18"/>
          <w:color w:val="auto"/>
        </w:rPr>
        <w:t>Certain raw materials used in our products are commodities that are subject to significant fluctuations in price in response to world-wide supply and demand as well as speculative investor activity. Zinc and brass are the principal raw materials used in the manufacture of security products. Stainless steel and aluminum are the major raw materials used in the manufacture of marine components. These raw materials are purchased from several suppliers and are generally readily available from numerous sources. We occasionally enter into short-term raw material supply arrangements to mitigate the impact of future increases in commodity-related raw material costs. Materials purchased outside of these arrangements are sometimes subject to unanticipated and sudden price increases.</w:t>
      </w:r>
    </w:p>
    <w:p>
      <w:pPr>
        <w:spacing w:after="0" w:line="84" w:lineRule="exact"/>
        <w:rPr>
          <w:sz w:val="20"/>
          <w:szCs w:val="20"/>
          <w:color w:val="auto"/>
        </w:rPr>
      </w:pPr>
    </w:p>
    <w:p>
      <w:pPr>
        <w:jc w:val="both"/>
        <w:ind w:firstLine="1175"/>
        <w:spacing w:after="0" w:line="255" w:lineRule="auto"/>
        <w:rPr>
          <w:sz w:val="20"/>
          <w:szCs w:val="20"/>
          <w:color w:val="auto"/>
        </w:rPr>
      </w:pPr>
      <w:r>
        <w:rPr>
          <w:rFonts w:ascii="Arial" w:cs="Arial" w:eastAsia="Arial" w:hAnsi="Arial"/>
          <w:sz w:val="18"/>
          <w:szCs w:val="18"/>
          <w:color w:val="auto"/>
        </w:rPr>
        <w:t>Certain components used in our products are manufactured by foreign suppliers located in China and elsewhere. Global economic and political conditions, including natural disasters, terrorist acts, global conflicts and public heath crises such as pandemics, could prevent our vendors from being able to supply these components. Should our vendors not be able to meet their supply obligations or should we be otherwise unable to obtain necessary raw materials or components, we may incur higher supply costs or may be required to reduce production levels, either of which may decrease our liquidity or negatively impact our financial condition or results of operations as we may be unable to offset the higher costs with increases in our selling prices or reductions in other operating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has affected our operations and may continue to affect our operations during 2021.</w:t>
      </w:r>
    </w:p>
    <w:p>
      <w:pPr>
        <w:spacing w:after="0" w:line="225" w:lineRule="exact"/>
        <w:rPr>
          <w:sz w:val="20"/>
          <w:szCs w:val="20"/>
          <w:color w:val="auto"/>
        </w:rPr>
      </w:pPr>
    </w:p>
    <w:p>
      <w:pPr>
        <w:jc w:val="both"/>
        <w:ind w:firstLine="1175"/>
        <w:spacing w:after="0" w:line="255" w:lineRule="auto"/>
        <w:rPr>
          <w:sz w:val="20"/>
          <w:szCs w:val="20"/>
          <w:color w:val="auto"/>
        </w:rPr>
      </w:pPr>
      <w:r>
        <w:rPr>
          <w:rFonts w:ascii="Arial" w:cs="Arial" w:eastAsia="Arial" w:hAnsi="Arial"/>
          <w:sz w:val="18"/>
          <w:szCs w:val="18"/>
          <w:color w:val="auto"/>
        </w:rPr>
        <w:t>Our results of operations during 2020 were significantly impacted by the COVID-19 pandemic, primarily in the second and third quarters, specifically through reduced demand for many of our products resulting from the rapid contraction of the global economy. The extent of the COVID-19 impact on our future operations will depend on the time period and degree to which the COVID-19 pandemic persists in the global economy thereby reducing customer demand for certain of our segments’ products, including the timing and extent to which our customers’ operations continue to be impacted, our customers’ perception as to when consumer demand for their products will return to pre-pandemic levels and on any future disruptions in our operations or our suppliers’ operations, all of which are difficult to predict.</w:t>
      </w:r>
    </w:p>
    <w:p>
      <w:pPr>
        <w:spacing w:after="0" w:line="192" w:lineRule="exact"/>
        <w:rPr>
          <w:sz w:val="20"/>
          <w:szCs w:val="20"/>
          <w:color w:val="auto"/>
        </w:rPr>
      </w:pPr>
    </w:p>
    <w:p>
      <w:pPr>
        <w:jc w:val="both"/>
        <w:ind w:firstLine="1175"/>
        <w:spacing w:after="0" w:line="257" w:lineRule="auto"/>
        <w:rPr>
          <w:sz w:val="20"/>
          <w:szCs w:val="20"/>
          <w:color w:val="auto"/>
        </w:rPr>
      </w:pPr>
      <w:r>
        <w:rPr>
          <w:rFonts w:ascii="Arial" w:cs="Arial" w:eastAsia="Arial" w:hAnsi="Arial"/>
          <w:sz w:val="18"/>
          <w:szCs w:val="18"/>
          <w:color w:val="auto"/>
        </w:rPr>
        <w:t>We have 513 employees and operate three facilities, each of which specializes in certain manufacturing processes and is therefore dependent upon the other facilities to some extent to manufacture finished goods. With the onset of COVID-19, within each facility we enhanced cleaning and sanitization procedures, mandated social distancing and implemented other health and safety protocols. We are designated an essential business in the states where we operate and are therefore permitted to fully operate during the pandemic, but because the COVID-19 pandemic affected the health and safety of our employees, we temporarily closed our Illinois facility for one week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the second quarter. It is possible we may have additional temporary closures at one or more of our facilities for the health and safety of our workforce before the end of the pandemic if conditions warrant.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Compliance and Regulatory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protect our intellectual property rights or claims by others that we infringe their intellectual property rights could substantially harm our business.</w:t>
      </w:r>
    </w:p>
    <w:p>
      <w:pPr>
        <w:spacing w:after="0" w:line="62" w:lineRule="exact"/>
        <w:rPr>
          <w:sz w:val="20"/>
          <w:szCs w:val="20"/>
          <w:color w:val="auto"/>
        </w:rPr>
      </w:pPr>
    </w:p>
    <w:p>
      <w:pPr>
        <w:jc w:val="both"/>
        <w:ind w:firstLine="1175"/>
        <w:spacing w:after="0" w:line="291" w:lineRule="auto"/>
        <w:rPr>
          <w:sz w:val="20"/>
          <w:szCs w:val="20"/>
          <w:color w:val="auto"/>
        </w:rPr>
      </w:pPr>
      <w:r>
        <w:rPr>
          <w:rFonts w:ascii="Arial" w:cs="Arial" w:eastAsia="Arial" w:hAnsi="Arial"/>
          <w:sz w:val="16"/>
          <w:szCs w:val="16"/>
          <w:color w:val="auto"/>
        </w:rPr>
        <w:t>We rely on patent, trademark and trade secret laws in the United States and similar laws in other countries to establish and maintain our intellectual property rights in our technology and designs. Despite these measures, any of our intellectual property rights could be challenged, invalidated, circumvented or misappropriated. Others may independently discover our trade secrets and proprietary information, and in such cases we could not assert any trade secret rights against such parties. Further, we do not know if any of our pending trademark or patent applications will be approved. Costly and time-consuming litigation could be necessary to enforce and determine the scope of our intellectual property rights. In addition, the laws of certain countries do not protect intellectual property rights to the same extent as the laws of the United States. Therefore, in certain jurisdictions, we may be unable to protect our technology and designs adequately against unauthorized third party use, which could adversely affect our competitive position.</w:t>
      </w:r>
    </w:p>
    <w:p>
      <w:pPr>
        <w:spacing w:after="0" w:line="166" w:lineRule="exact"/>
        <w:rPr>
          <w:sz w:val="20"/>
          <w:szCs w:val="20"/>
          <w:color w:val="auto"/>
        </w:rPr>
      </w:pPr>
    </w:p>
    <w:p>
      <w:pPr>
        <w:jc w:val="both"/>
        <w:ind w:firstLine="1175"/>
        <w:spacing w:after="0" w:line="255" w:lineRule="auto"/>
        <w:rPr>
          <w:sz w:val="20"/>
          <w:szCs w:val="20"/>
          <w:color w:val="auto"/>
        </w:rPr>
      </w:pPr>
      <w:r>
        <w:rPr>
          <w:rFonts w:ascii="Arial" w:cs="Arial" w:eastAsia="Arial" w:hAnsi="Arial"/>
          <w:sz w:val="18"/>
          <w:szCs w:val="18"/>
          <w:color w:val="auto"/>
        </w:rPr>
        <w:t>Third parties may claim that we or our customers are infringing upon their intellectual property rights. Even if we believe that such claims are without merit, they can be time-consuming and costly to defend and distract our management’s and technical staff’s attention and resources. Claims of intellectual property infringement also might require us to redesign affected technology, enter into costly settlement or license agreements or pay costly damage awards, or face a temporary or permanent injunction prohibiting us from marketing or selling certain of our technology. If we cannot or do not license the infringed technology on reasonable pricing terms or at all, or substitute similar technology from another source, our business could be adversely impacted.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climate change legislation could negatively impact our financial results or limit our ability to operate our businesses.</w:t>
      </w:r>
    </w:p>
    <w:p>
      <w:pPr>
        <w:spacing w:after="0" w:line="117" w:lineRule="exact"/>
        <w:rPr>
          <w:sz w:val="20"/>
          <w:szCs w:val="20"/>
          <w:color w:val="auto"/>
        </w:rPr>
      </w:pPr>
    </w:p>
    <w:p>
      <w:pPr>
        <w:jc w:val="both"/>
        <w:ind w:firstLine="1175"/>
        <w:spacing w:after="0" w:line="255" w:lineRule="auto"/>
        <w:rPr>
          <w:sz w:val="20"/>
          <w:szCs w:val="20"/>
          <w:color w:val="auto"/>
        </w:rPr>
      </w:pPr>
      <w:r>
        <w:rPr>
          <w:rFonts w:ascii="Arial" w:cs="Arial" w:eastAsia="Arial" w:hAnsi="Arial"/>
          <w:sz w:val="18"/>
          <w:szCs w:val="18"/>
          <w:color w:val="auto"/>
        </w:rPr>
        <w:t>All of our production facilities are located in the United States and we believe all of our production facilities are in substantial compliance with applicable environmental laws. To date, legislation and regulatory actions related to climate change have not had a material adverse effect on our financial results. However, if new legislation or regulatory actions related to climate change were to be enacted or implemented, it could negatively impact our future results from operations through increased costs of production, particularly as it relates to our energy requirements. If such increased costs of production were to materialize, we may be unable to pass price increases on to our customers to compensate for increased production costs, which may decrease our liquidity, operating income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failures or cyber security breaches could have a material adverse effect on our operations.</w:t>
      </w:r>
    </w:p>
    <w:p>
      <w:pPr>
        <w:spacing w:after="0" w:line="117" w:lineRule="exact"/>
        <w:rPr>
          <w:sz w:val="20"/>
          <w:szCs w:val="20"/>
          <w:color w:val="auto"/>
        </w:rPr>
      </w:pPr>
    </w:p>
    <w:p>
      <w:pPr>
        <w:jc w:val="both"/>
        <w:ind w:firstLine="1175"/>
        <w:spacing w:after="0" w:line="272" w:lineRule="auto"/>
        <w:rPr>
          <w:sz w:val="20"/>
          <w:szCs w:val="20"/>
          <w:color w:val="auto"/>
        </w:rPr>
      </w:pPr>
      <w:r>
        <w:rPr>
          <w:rFonts w:ascii="Arial" w:cs="Arial" w:eastAsia="Arial" w:hAnsi="Arial"/>
          <w:sz w:val="17"/>
          <w:szCs w:val="17"/>
          <w:color w:val="auto"/>
        </w:rPr>
        <w:t>We rely on information technology systems to manage, process and analyze data, as well as to facilitate the manufacture and distribution of our products to and from our plants. We receive, process and ship orders, manage the billing of and collections from our customers, and manage the accounting for and payment to our vendors. Although we have systems and procedures in place to protect our information technology systems, there can be no assurance that such systems and procedures would be sufficiently effective. Therefore, any of our information technology systems may be susceptible to outages, disruptions, or destruction as well as cyber security breaches or attacks, resulting in a disruption of our business operations, injury to people, harm to the environment or our assets, and/or the inability to access our information technology systems. If any of these events were to occur, our results of operations and financial condition could be adversely affected.</w:t>
      </w:r>
    </w:p>
    <w:p>
      <w:pPr>
        <w:spacing w:after="0" w:line="28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1B</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firstLine="1175"/>
        <w:spacing w:after="0" w:line="277" w:lineRule="auto"/>
        <w:rPr>
          <w:sz w:val="20"/>
          <w:szCs w:val="20"/>
          <w:color w:val="auto"/>
        </w:rPr>
      </w:pPr>
      <w:r>
        <w:rPr>
          <w:rFonts w:ascii="Arial" w:cs="Arial" w:eastAsia="Arial" w:hAnsi="Arial"/>
          <w:sz w:val="18"/>
          <w:szCs w:val="18"/>
          <w:color w:val="auto"/>
        </w:rPr>
        <w:t>Our principal executive offices are located in leased space at 5430 LBJ Freeway, Dallas, Texas 75240. The following table sets forth the location, size and business operating segment for each of our principal operating facilities.</w:t>
      </w:r>
    </w:p>
    <w:p>
      <w:pPr>
        <w:spacing w:after="0" w:line="149"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Facility Name</w:t>
            </w:r>
          </w:p>
        </w:tc>
        <w:tc>
          <w:tcPr>
            <w:tcW w:w="120" w:type="dxa"/>
            <w:vAlign w:val="bottom"/>
            <w:vMerge w:val="restart"/>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100" w:type="dxa"/>
            <w:vAlign w:val="bottom"/>
          </w:tcPr>
          <w:p>
            <w:pPr>
              <w:spacing w:after="0"/>
              <w:rPr>
                <w:sz w:val="14"/>
                <w:szCs w:val="14"/>
                <w:color w:val="auto"/>
              </w:rPr>
            </w:pPr>
          </w:p>
        </w:tc>
        <w:tc>
          <w:tcPr>
            <w:tcW w:w="246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Location</w:t>
            </w:r>
          </w:p>
        </w:tc>
        <w:tc>
          <w:tcPr>
            <w:tcW w:w="120" w:type="dxa"/>
            <w:vAlign w:val="bottom"/>
            <w:vMerge w:val="restart"/>
          </w:tcPr>
          <w:p>
            <w:pPr>
              <w:spacing w:after="0"/>
              <w:rPr>
                <w:sz w:val="14"/>
                <w:szCs w:val="14"/>
                <w:color w:val="auto"/>
              </w:rPr>
            </w:pPr>
          </w:p>
        </w:tc>
        <w:tc>
          <w:tcPr>
            <w:tcW w:w="1460" w:type="dxa"/>
            <w:vAlign w:val="bottom"/>
          </w:tcPr>
          <w:p>
            <w:pPr>
              <w:jc w:val="right"/>
              <w:ind w:right="517"/>
              <w:spacing w:after="0"/>
              <w:rPr>
                <w:sz w:val="20"/>
                <w:szCs w:val="20"/>
                <w:color w:val="auto"/>
              </w:rPr>
            </w:pPr>
            <w:r>
              <w:rPr>
                <w:rFonts w:ascii="Arial" w:cs="Arial" w:eastAsia="Arial" w:hAnsi="Arial"/>
                <w:sz w:val="14"/>
                <w:szCs w:val="14"/>
                <w:b w:val="1"/>
                <w:bCs w:val="1"/>
                <w:color w:val="auto"/>
              </w:rPr>
              <w:t>Size</w:t>
            </w:r>
          </w:p>
        </w:tc>
        <w:tc>
          <w:tcPr>
            <w:tcW w:w="0" w:type="dxa"/>
            <w:vAlign w:val="bottom"/>
          </w:tcPr>
          <w:p>
            <w:pPr>
              <w:spacing w:after="0"/>
              <w:rPr>
                <w:sz w:val="1"/>
                <w:szCs w:val="1"/>
                <w:color w:val="auto"/>
              </w:rPr>
            </w:pPr>
          </w:p>
        </w:tc>
      </w:tr>
      <w:tr>
        <w:trPr>
          <w:trHeight w:val="171"/>
        </w:trPr>
        <w:tc>
          <w:tcPr>
            <w:tcW w:w="260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4"/>
                <w:szCs w:val="14"/>
                <w:color w:val="auto"/>
              </w:rPr>
            </w:pPr>
          </w:p>
        </w:tc>
        <w:tc>
          <w:tcPr>
            <w:tcW w:w="24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(square feet)</w:t>
            </w:r>
          </w:p>
        </w:tc>
        <w:tc>
          <w:tcPr>
            <w:tcW w:w="0" w:type="dxa"/>
            <w:vAlign w:val="bottom"/>
          </w:tcPr>
          <w:p>
            <w:pPr>
              <w:spacing w:after="0"/>
              <w:rPr>
                <w:sz w:val="1"/>
                <w:szCs w:val="1"/>
                <w:color w:val="auto"/>
              </w:rPr>
            </w:pPr>
          </w:p>
        </w:tc>
      </w:tr>
      <w:tr>
        <w:trPr>
          <w:trHeight w:val="331"/>
        </w:trPr>
        <w:tc>
          <w:tcPr>
            <w:tcW w:w="2720" w:type="dxa"/>
            <w:vAlign w:val="bottom"/>
            <w:gridSpan w:val="3"/>
          </w:tcPr>
          <w:p>
            <w:pPr>
              <w:spacing w:after="0"/>
              <w:rPr>
                <w:sz w:val="20"/>
                <w:szCs w:val="20"/>
                <w:color w:val="auto"/>
              </w:rPr>
            </w:pPr>
            <w:r>
              <w:rPr>
                <w:rFonts w:ascii="Arial" w:cs="Arial" w:eastAsia="Arial" w:hAnsi="Arial"/>
                <w:sz w:val="18"/>
                <w:szCs w:val="18"/>
                <w:color w:val="auto"/>
              </w:rPr>
              <w:t>Owned Facilities: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720" w:type="dxa"/>
            <w:vAlign w:val="bottom"/>
            <w:gridSpan w:val="3"/>
          </w:tcPr>
          <w:p>
            <w:pPr>
              <w:ind w:left="440"/>
              <w:spacing w:after="0"/>
              <w:rPr>
                <w:sz w:val="20"/>
                <w:szCs w:val="20"/>
                <w:color w:val="auto"/>
              </w:rPr>
            </w:pPr>
            <w:r>
              <w:rPr>
                <w:rFonts w:ascii="Arial" w:cs="Arial" w:eastAsia="Arial" w:hAnsi="Arial"/>
                <w:sz w:val="18"/>
                <w:szCs w:val="18"/>
                <w:color w:val="auto"/>
              </w:rPr>
              <w:t xml:space="preserve">National </w:t>
            </w:r>
            <w:r>
              <w:rPr>
                <w:rFonts w:ascii="Arial" w:cs="Arial" w:eastAsia="Arial" w:hAnsi="Arial"/>
                <w:sz w:val="26"/>
                <w:szCs w:val="26"/>
                <w:color w:val="auto"/>
                <w:vertAlign w:val="superscript"/>
              </w:rPr>
              <w:t>(1)</w:t>
            </w:r>
          </w:p>
        </w:tc>
        <w:tc>
          <w:tcPr>
            <w:tcW w:w="1680" w:type="dxa"/>
            <w:vAlign w:val="bottom"/>
          </w:tcPr>
          <w:p>
            <w:pPr>
              <w:jc w:val="center"/>
              <w:spacing w:after="0"/>
              <w:rPr>
                <w:sz w:val="20"/>
                <w:szCs w:val="20"/>
                <w:color w:val="auto"/>
              </w:rPr>
            </w:pPr>
            <w:r>
              <w:rPr>
                <w:rFonts w:ascii="Arial" w:cs="Arial" w:eastAsia="Arial" w:hAnsi="Arial"/>
                <w:sz w:val="18"/>
                <w:szCs w:val="18"/>
                <w:color w:val="auto"/>
                <w:w w:val="83"/>
              </w:rPr>
              <w:t>SP</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Mauldin, SC</w:t>
            </w:r>
          </w:p>
        </w:tc>
        <w:tc>
          <w:tcPr>
            <w:tcW w:w="1460" w:type="dxa"/>
            <w:vAlign w:val="bottom"/>
          </w:tcPr>
          <w:p>
            <w:pPr>
              <w:jc w:val="right"/>
              <w:spacing w:after="0"/>
              <w:rPr>
                <w:sz w:val="20"/>
                <w:szCs w:val="20"/>
                <w:color w:val="auto"/>
              </w:rPr>
            </w:pPr>
            <w:r>
              <w:rPr>
                <w:rFonts w:ascii="Arial" w:cs="Arial" w:eastAsia="Arial" w:hAnsi="Arial"/>
                <w:sz w:val="18"/>
                <w:szCs w:val="18"/>
                <w:color w:val="auto"/>
              </w:rPr>
              <w:t>198,000</w:t>
            </w:r>
          </w:p>
        </w:tc>
        <w:tc>
          <w:tcPr>
            <w:tcW w:w="0" w:type="dxa"/>
            <w:vAlign w:val="bottom"/>
          </w:tcPr>
          <w:p>
            <w:pPr>
              <w:spacing w:after="0"/>
              <w:rPr>
                <w:sz w:val="1"/>
                <w:szCs w:val="1"/>
                <w:color w:val="auto"/>
              </w:rPr>
            </w:pPr>
          </w:p>
        </w:tc>
      </w:tr>
      <w:tr>
        <w:trPr>
          <w:trHeight w:val="270"/>
        </w:trPr>
        <w:tc>
          <w:tcPr>
            <w:tcW w:w="2720" w:type="dxa"/>
            <w:vAlign w:val="bottom"/>
            <w:gridSpan w:val="3"/>
          </w:tcPr>
          <w:p>
            <w:pPr>
              <w:ind w:left="440"/>
              <w:spacing w:after="0" w:line="270" w:lineRule="exact"/>
              <w:rPr>
                <w:sz w:val="20"/>
                <w:szCs w:val="20"/>
                <w:color w:val="auto"/>
              </w:rPr>
            </w:pPr>
            <w:r>
              <w:rPr>
                <w:rFonts w:ascii="Arial" w:cs="Arial" w:eastAsia="Arial" w:hAnsi="Arial"/>
                <w:sz w:val="18"/>
                <w:szCs w:val="18"/>
                <w:color w:val="auto"/>
              </w:rPr>
              <w:t>Grayslake</w:t>
            </w:r>
            <w:r>
              <w:rPr>
                <w:rFonts w:ascii="Arial" w:cs="Arial" w:eastAsia="Arial" w:hAnsi="Arial"/>
                <w:sz w:val="26"/>
                <w:szCs w:val="26"/>
                <w:color w:val="auto"/>
                <w:vertAlign w:val="superscript"/>
              </w:rPr>
              <w:t>(1)</w:t>
            </w: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SP/MC</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Grayslake, IL</w:t>
            </w:r>
          </w:p>
        </w:tc>
        <w:tc>
          <w:tcPr>
            <w:tcW w:w="1460" w:type="dxa"/>
            <w:vAlign w:val="bottom"/>
          </w:tcPr>
          <w:p>
            <w:pPr>
              <w:jc w:val="right"/>
              <w:spacing w:after="0"/>
              <w:rPr>
                <w:sz w:val="20"/>
                <w:szCs w:val="20"/>
                <w:color w:val="auto"/>
              </w:rPr>
            </w:pPr>
            <w:r>
              <w:rPr>
                <w:rFonts w:ascii="Arial" w:cs="Arial" w:eastAsia="Arial" w:hAnsi="Arial"/>
                <w:sz w:val="18"/>
                <w:szCs w:val="18"/>
                <w:color w:val="auto"/>
              </w:rPr>
              <w:t>133,000</w:t>
            </w:r>
          </w:p>
        </w:tc>
        <w:tc>
          <w:tcPr>
            <w:tcW w:w="0" w:type="dxa"/>
            <w:vAlign w:val="bottom"/>
          </w:tcPr>
          <w:p>
            <w:pPr>
              <w:spacing w:after="0"/>
              <w:rPr>
                <w:sz w:val="1"/>
                <w:szCs w:val="1"/>
                <w:color w:val="auto"/>
              </w:rPr>
            </w:pPr>
          </w:p>
        </w:tc>
      </w:tr>
      <w:tr>
        <w:trPr>
          <w:trHeight w:val="348"/>
        </w:trPr>
        <w:tc>
          <w:tcPr>
            <w:tcW w:w="2720" w:type="dxa"/>
            <w:vAlign w:val="bottom"/>
            <w:gridSpan w:val="3"/>
          </w:tcPr>
          <w:p>
            <w:pPr>
              <w:ind w:left="440"/>
              <w:spacing w:after="0"/>
              <w:rPr>
                <w:sz w:val="20"/>
                <w:szCs w:val="20"/>
                <w:color w:val="auto"/>
              </w:rPr>
            </w:pPr>
            <w:r>
              <w:rPr>
                <w:rFonts w:ascii="Arial" w:cs="Arial" w:eastAsia="Arial" w:hAnsi="Arial"/>
                <w:sz w:val="18"/>
                <w:szCs w:val="18"/>
                <w:color w:val="auto"/>
              </w:rPr>
              <w:t>Custom</w:t>
            </w:r>
            <w:r>
              <w:rPr>
                <w:rFonts w:ascii="Arial" w:cs="Arial" w:eastAsia="Arial" w:hAnsi="Arial"/>
                <w:sz w:val="26"/>
                <w:szCs w:val="26"/>
                <w:color w:val="auto"/>
                <w:vertAlign w:val="superscript"/>
              </w:rPr>
              <w:t>(1)</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MC</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Neenah, WI</w:t>
            </w:r>
          </w:p>
        </w:tc>
        <w:tc>
          <w:tcPr>
            <w:tcW w:w="1460" w:type="dxa"/>
            <w:vAlign w:val="bottom"/>
          </w:tcPr>
          <w:p>
            <w:pPr>
              <w:jc w:val="right"/>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SP – Security Products business segment</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MC – Marine Components business segment</w:t>
      </w:r>
    </w:p>
    <w:p>
      <w:pPr>
        <w:ind w:left="1960" w:hanging="575"/>
        <w:spacing w:after="0" w:line="180" w:lineRule="auto"/>
        <w:tabs>
          <w:tab w:leader="none" w:pos="1960" w:val="left"/>
        </w:tabs>
        <w:numPr>
          <w:ilvl w:val="0"/>
          <w:numId w:val="9"/>
        </w:numPr>
        <w:rPr>
          <w:rFonts w:ascii="Arial" w:cs="Arial" w:eastAsia="Arial" w:hAnsi="Arial"/>
          <w:sz w:val="26"/>
          <w:szCs w:val="26"/>
          <w:color w:val="auto"/>
          <w:vertAlign w:val="superscript"/>
        </w:rPr>
      </w:pPr>
      <w:r>
        <w:rPr>
          <w:rFonts w:ascii="Arial" w:cs="Arial" w:eastAsia="Arial" w:hAnsi="Arial"/>
          <w:sz w:val="18"/>
          <w:szCs w:val="18"/>
          <w:color w:val="auto"/>
        </w:rPr>
        <w:t>ISO-9001 registered facilities</w:t>
      </w:r>
    </w:p>
    <w:p>
      <w:pPr>
        <w:spacing w:after="0" w:line="20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We believe all of our facilities are well maintained and satisfactory for their intended purposes.</w:t>
      </w:r>
    </w:p>
    <w:p>
      <w:pPr>
        <w:spacing w:after="0" w:line="32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firstLine="1175"/>
        <w:spacing w:after="0" w:line="259" w:lineRule="auto"/>
        <w:rPr>
          <w:sz w:val="20"/>
          <w:szCs w:val="20"/>
          <w:color w:val="auto"/>
        </w:rPr>
      </w:pPr>
      <w:r>
        <w:rPr>
          <w:rFonts w:ascii="Arial" w:cs="Arial" w:eastAsia="Arial" w:hAnsi="Arial"/>
          <w:sz w:val="18"/>
          <w:szCs w:val="18"/>
          <w:color w:val="auto"/>
        </w:rPr>
        <w:t>We are involved, from time to time, in various environmental, contractual, product liability, patent (or intellectual property), employment and other claims and disputes incidental to our business. See Note 10 to the Consolidated Financial Statements. We currently believe the disposition of all claims and disputes, individually or in the aggregate, should not have a material adverse effect on our consolidated financial condition, results of operations or liquidity.</w:t>
      </w:r>
    </w:p>
    <w:p>
      <w:pPr>
        <w:spacing w:after="0" w:line="29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AND RELATED STOCKHOLDER MATTERS</w:t>
      </w:r>
    </w:p>
    <w:p>
      <w:pPr>
        <w:spacing w:after="0" w:line="121" w:lineRule="exact"/>
        <w:rPr>
          <w:sz w:val="20"/>
          <w:szCs w:val="20"/>
          <w:color w:val="auto"/>
        </w:rPr>
      </w:pPr>
    </w:p>
    <w:p>
      <w:pPr>
        <w:jc w:val="both"/>
        <w:ind w:right="20" w:firstLine="1175"/>
        <w:spacing w:after="0" w:line="277" w:lineRule="auto"/>
        <w:rPr>
          <w:sz w:val="20"/>
          <w:szCs w:val="20"/>
          <w:color w:val="auto"/>
        </w:rPr>
      </w:pPr>
      <w:r>
        <w:rPr>
          <w:rFonts w:ascii="Arial" w:cs="Arial" w:eastAsia="Arial" w:hAnsi="Arial"/>
          <w:sz w:val="18"/>
          <w:szCs w:val="18"/>
          <w:b w:val="1"/>
          <w:bCs w:val="1"/>
          <w:i w:val="1"/>
          <w:iCs w:val="1"/>
          <w:color w:val="auto"/>
        </w:rPr>
        <w:t xml:space="preserve">Common Stock and Dividends. </w:t>
      </w:r>
      <w:r>
        <w:rPr>
          <w:rFonts w:ascii="Arial" w:cs="Arial" w:eastAsia="Arial" w:hAnsi="Arial"/>
          <w:sz w:val="18"/>
          <w:szCs w:val="18"/>
          <w:color w:val="auto"/>
        </w:rPr>
        <w:t>Our Class A common stock is listed and traded on the NYSE American (symbol: CIX). As of February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24, 2021, there were approximately 18 holders of record of CompX Class A common stock.</w:t>
      </w:r>
    </w:p>
    <w:p>
      <w:pPr>
        <w:spacing w:after="0" w:line="170" w:lineRule="exact"/>
        <w:rPr>
          <w:sz w:val="20"/>
          <w:szCs w:val="20"/>
          <w:color w:val="auto"/>
        </w:rPr>
      </w:pPr>
    </w:p>
    <w:p>
      <w:pPr>
        <w:jc w:val="both"/>
        <w:ind w:firstLine="1175"/>
        <w:spacing w:after="0" w:line="313" w:lineRule="auto"/>
        <w:rPr>
          <w:sz w:val="20"/>
          <w:szCs w:val="20"/>
          <w:color w:val="auto"/>
        </w:rPr>
      </w:pPr>
      <w:r>
        <w:rPr>
          <w:rFonts w:ascii="Arial" w:cs="Arial" w:eastAsia="Arial" w:hAnsi="Arial"/>
          <w:sz w:val="16"/>
          <w:szCs w:val="16"/>
          <w:b w:val="1"/>
          <w:bCs w:val="1"/>
          <w:i w:val="1"/>
          <w:iCs w:val="1"/>
          <w:color w:val="auto"/>
        </w:rPr>
        <w:t>Performance Graph</w:t>
      </w:r>
      <w:r>
        <w:rPr>
          <w:rFonts w:ascii="Arial" w:cs="Arial" w:eastAsia="Arial" w:hAnsi="Arial"/>
          <w:sz w:val="16"/>
          <w:szCs w:val="16"/>
          <w:color w:val="auto"/>
        </w:rPr>
        <w:t>. Set forth below is a line graph comparing the yearly change in our cumulative total stockholder returns on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common stock against the cumulative total return of the Russell 2000 Index and an index of a self-selected peer group of companies for the period from December 31, 2015 through December 31, 2020. The peer group index is comprised of The Eastern Company and Strattec Security Corporation. The graph shows the value at December 31 of each year assuming an original investment of $100 at December 31, 2015 and reinvestment of dividends.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rPr>
              <w:t>CompX International Inc.</w:t>
            </w:r>
          </w:p>
        </w:tc>
        <w:tc>
          <w:tcPr>
            <w:tcW w:w="1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04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Borders>
              <w:top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93"/>
              </w:rPr>
              <w:t>100</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144</w:t>
            </w:r>
          </w:p>
        </w:tc>
        <w:tc>
          <w:tcPr>
            <w:tcW w:w="20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120</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125</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136</w:t>
            </w:r>
          </w:p>
        </w:tc>
        <w:tc>
          <w:tcPr>
            <w:tcW w:w="220" w:type="dxa"/>
            <w:vAlign w:val="bottom"/>
          </w:tcPr>
          <w:p>
            <w:pPr>
              <w:spacing w:after="0"/>
              <w:rPr>
                <w:sz w:val="16"/>
                <w:szCs w:val="16"/>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137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Russell 2000 Index</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100</w:t>
            </w: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Peer Group</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100</w:t>
            </w:r>
          </w:p>
        </w:tc>
        <w:tc>
          <w:tcPr>
            <w:tcW w:w="2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8900" cy="3583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68900" cy="358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1175"/>
        <w:spacing w:after="0" w:line="286" w:lineRule="auto"/>
        <w:rPr>
          <w:sz w:val="20"/>
          <w:szCs w:val="20"/>
          <w:color w:val="auto"/>
        </w:rPr>
      </w:pPr>
      <w:r>
        <w:rPr>
          <w:rFonts w:ascii="Arial" w:cs="Arial" w:eastAsia="Arial" w:hAnsi="Arial"/>
          <w:sz w:val="17"/>
          <w:szCs w:val="17"/>
          <w:b w:val="1"/>
          <w:bCs w:val="1"/>
          <w:i w:val="1"/>
          <w:iCs w:val="1"/>
          <w:color w:val="auto"/>
        </w:rPr>
        <w:t xml:space="preserve">Equity compensation plan information. </w:t>
      </w:r>
      <w:r>
        <w:rPr>
          <w:rFonts w:ascii="Arial" w:cs="Arial" w:eastAsia="Arial" w:hAnsi="Arial"/>
          <w:sz w:val="17"/>
          <w:szCs w:val="17"/>
          <w:color w:val="auto"/>
        </w:rPr>
        <w:t>We have a share based incentive compensation plan, approved by our stockholders,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an aggregate of 200,000 shares of our common stock can be awarded to non-employee members of our board of directors. At December 31, 2020, 140,950 shares are available for award under this plan. See Note 8 to the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tabs>
          <w:tab w:leader="none" w:pos="13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firstLine="1175"/>
        <w:spacing w:after="0" w:line="277"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Item 7 - “Management’s Discussion and Analysis of Financial Condition and Results of Operations.”</w:t>
      </w:r>
    </w:p>
    <w:p>
      <w:pPr>
        <w:spacing w:after="0" w:line="170" w:lineRule="exact"/>
        <w:rPr>
          <w:sz w:val="20"/>
          <w:szCs w:val="20"/>
          <w:color w:val="auto"/>
        </w:rPr>
      </w:pPr>
    </w:p>
    <w:p>
      <w:pPr>
        <w:ind w:right="20" w:firstLine="1175"/>
        <w:spacing w:after="0" w:line="277" w:lineRule="auto"/>
        <w:rPr>
          <w:sz w:val="20"/>
          <w:szCs w:val="20"/>
          <w:color w:val="auto"/>
        </w:rPr>
      </w:pPr>
      <w:r>
        <w:rPr>
          <w:rFonts w:ascii="Arial" w:cs="Arial" w:eastAsia="Arial" w:hAnsi="Arial"/>
          <w:sz w:val="18"/>
          <w:szCs w:val="18"/>
          <w:color w:val="auto"/>
        </w:rPr>
        <w:t>Our fiscal year end is always the Sunday closest to December 31, and our operations are reported on a 52 or 53-week fiscal year. 2020 was a 53-week year; all other years shown are 52-week years.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center"/>
              <w:ind w:left="393"/>
              <w:spacing w:after="0"/>
              <w:rPr>
                <w:sz w:val="20"/>
                <w:szCs w:val="20"/>
                <w:color w:val="auto"/>
              </w:rPr>
            </w:pPr>
            <w:r>
              <w:rPr>
                <w:rFonts w:ascii="Arial" w:cs="Arial" w:eastAsia="Arial" w:hAnsi="Arial"/>
                <w:sz w:val="14"/>
                <w:szCs w:val="14"/>
                <w:b w:val="1"/>
                <w:bCs w:val="1"/>
                <w:color w:val="auto"/>
                <w:w w:val="90"/>
              </w:rPr>
              <w:t>Years ended December 31,</w:t>
            </w: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9"/>
              </w:rPr>
              <w:t>2018</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4"/>
          </w:tcPr>
          <w:p>
            <w:pPr>
              <w:jc w:val="center"/>
              <w:ind w:left="393"/>
              <w:spacing w:after="0"/>
              <w:rPr>
                <w:sz w:val="20"/>
                <w:szCs w:val="20"/>
                <w:color w:val="auto"/>
              </w:rPr>
            </w:pPr>
            <w:r>
              <w:rPr>
                <w:rFonts w:ascii="Arial" w:cs="Arial" w:eastAsia="Arial" w:hAnsi="Arial"/>
                <w:sz w:val="14"/>
                <w:szCs w:val="14"/>
                <w:b w:val="1"/>
                <w:bCs w:val="1"/>
                <w:color w:val="auto"/>
                <w:w w:val="92"/>
              </w:rPr>
              <w:t>(In millions, except per share data)</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108.9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112.0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118.2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124.2</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35.2</w:t>
            </w: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38.3</w:t>
            </w:r>
          </w:p>
        </w:tc>
        <w:tc>
          <w:tcPr>
            <w:tcW w:w="4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39.0</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17.8</w:t>
            </w:r>
          </w:p>
        </w:tc>
        <w:tc>
          <w:tcPr>
            <w:tcW w:w="4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17.7</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Non-operating income - interest income</w:t>
            </w: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15.3</w:t>
            </w:r>
          </w:p>
        </w:tc>
        <w:tc>
          <w:tcPr>
            <w:tcW w:w="4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86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Diluted earnings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.84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1.06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1.23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1.29</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Cash dividends</w:t>
            </w: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12.4</w:t>
            </w:r>
          </w:p>
        </w:tc>
        <w:tc>
          <w:tcPr>
            <w:tcW w:w="4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860" w:type="dxa"/>
            <w:vAlign w:val="bottom"/>
          </w:tcPr>
          <w:p>
            <w:pPr>
              <w:spacing w:after="0"/>
              <w:rPr>
                <w:sz w:val="20"/>
                <w:szCs w:val="20"/>
                <w:color w:val="auto"/>
              </w:rPr>
            </w:pPr>
            <w:r>
              <w:rPr>
                <w:rFonts w:ascii="Arial" w:cs="Arial" w:eastAsia="Arial" w:hAnsi="Arial"/>
                <w:sz w:val="18"/>
                <w:szCs w:val="18"/>
                <w:b w:val="1"/>
                <w:bCs w:val="1"/>
                <w:color w:val="auto"/>
              </w:rPr>
              <w:t>Balance Sheet Data (at year end):</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Cash and other 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59.2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56.4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76.3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95.1</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144.0</w:t>
            </w: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151.0</w:t>
            </w:r>
          </w:p>
        </w:tc>
        <w:tc>
          <w:tcPr>
            <w:tcW w:w="34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166.4</w:t>
            </w:r>
          </w:p>
        </w:tc>
        <w:tc>
          <w:tcPr>
            <w:tcW w:w="4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178.5</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13.7</w:t>
            </w:r>
          </w:p>
        </w:tc>
        <w:tc>
          <w:tcPr>
            <w:tcW w:w="4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125.8</w:t>
            </w: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136.6</w:t>
            </w:r>
          </w:p>
        </w:tc>
        <w:tc>
          <w:tcPr>
            <w:tcW w:w="34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149.6</w:t>
            </w:r>
          </w:p>
        </w:tc>
        <w:tc>
          <w:tcPr>
            <w:tcW w:w="4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162.2</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860" w:type="dxa"/>
            <w:vAlign w:val="bottom"/>
          </w:tcPr>
          <w:p>
            <w:pPr>
              <w:spacing w:after="0"/>
              <w:rPr>
                <w:sz w:val="20"/>
                <w:szCs w:val="20"/>
                <w:color w:val="auto"/>
              </w:rPr>
            </w:pPr>
            <w:r>
              <w:rPr>
                <w:rFonts w:ascii="Arial" w:cs="Arial" w:eastAsia="Arial" w:hAnsi="Arial"/>
                <w:sz w:val="18"/>
                <w:szCs w:val="18"/>
                <w:b w:val="1"/>
                <w:bCs w:val="1"/>
                <w:color w:val="auto"/>
              </w:rPr>
              <w:t>Statements of Cash Flow Data:</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50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13.9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12.6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17.2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18.5</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50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3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43"/>
        </w:trPr>
        <w:tc>
          <w:tcPr>
            <w:tcW w:w="4860" w:type="dxa"/>
            <w:vAlign w:val="bottom"/>
          </w:tcPr>
          <w:p>
            <w:pPr>
              <w:ind w:left="50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tabs>
          <w:tab w:leader="none" w:pos="13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ind w:firstLine="1175"/>
        <w:spacing w:after="0" w:line="257" w:lineRule="auto"/>
        <w:rPr>
          <w:sz w:val="20"/>
          <w:szCs w:val="20"/>
          <w:color w:val="auto"/>
        </w:rPr>
      </w:pPr>
      <w:r>
        <w:rPr>
          <w:rFonts w:ascii="Arial" w:cs="Arial" w:eastAsia="Arial" w:hAnsi="Arial"/>
          <w:sz w:val="18"/>
          <w:szCs w:val="18"/>
          <w:color w:val="auto"/>
        </w:rPr>
        <w:t>We are a leading manufacturer of engineered components utilized in a variety of applications and industries. Through our Security Products segment we manufacture mechanical and electrical cabinet locks and other locking mechanisms used in recreational transportation, postal, office and institutional furniture, cabinetry, tool storage and healthcare applications. We also manufacture stainless steel exhaust systems, gauges, throttle controls, wake enhancement systems, trim tabs and related hardware and accessories for the recreational marine and other industries through our Marine Components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Overview</w:t>
      </w:r>
    </w:p>
    <w:p>
      <w:pPr>
        <w:spacing w:after="0" w:line="229" w:lineRule="exact"/>
        <w:rPr>
          <w:sz w:val="20"/>
          <w:szCs w:val="20"/>
          <w:color w:val="auto"/>
        </w:rPr>
      </w:pPr>
    </w:p>
    <w:p>
      <w:pPr>
        <w:jc w:val="both"/>
        <w:ind w:firstLine="1175"/>
        <w:spacing w:after="0" w:line="272" w:lineRule="auto"/>
        <w:rPr>
          <w:sz w:val="20"/>
          <w:szCs w:val="20"/>
          <w:color w:val="auto"/>
        </w:rPr>
      </w:pPr>
      <w:r>
        <w:rPr>
          <w:rFonts w:ascii="Arial" w:cs="Arial" w:eastAsia="Arial" w:hAnsi="Arial"/>
          <w:sz w:val="17"/>
          <w:szCs w:val="17"/>
          <w:color w:val="auto"/>
        </w:rPr>
        <w:t>We experienced normal sales volumes and operations during the first quarter of 2020. Beginning in late March 2020 as a result of the COVID-19 pandemic, we began receiving requests from certain customers of both our Security Products and Marine Components segments to postpone shipments, in some cases because our customers’ production facilities were temporarily closed. The second quarter of 2020 sustained the greatest impact from COVID-19 related order cancellations and delays. In the third and fourth quarters, Marine Components experienced significant recovery in sales, while Security Products sales generally recovered, though not to pre-pandemic levels. We reported operating income of $11.8 million in 2020 compared to operating income of $17.7 million in 2019 and $17.8 million in 2018. The decrease in operating income in 2020 over 2019 is primarily due to a decline in net sales and gross margins discussed below. Operating income in 2019 was comparable to operating income in 2018.</w:t>
      </w:r>
    </w:p>
    <w:p>
      <w:pPr>
        <w:spacing w:after="0" w:line="177" w:lineRule="exact"/>
        <w:rPr>
          <w:sz w:val="20"/>
          <w:szCs w:val="20"/>
          <w:color w:val="auto"/>
        </w:rPr>
      </w:pPr>
    </w:p>
    <w:p>
      <w:pPr>
        <w:jc w:val="both"/>
        <w:ind w:firstLine="1175"/>
        <w:spacing w:after="0" w:line="259" w:lineRule="auto"/>
        <w:rPr>
          <w:sz w:val="20"/>
          <w:szCs w:val="20"/>
          <w:color w:val="auto"/>
        </w:rPr>
      </w:pPr>
      <w:r>
        <w:rPr>
          <w:rFonts w:ascii="Arial" w:cs="Arial" w:eastAsia="Arial" w:hAnsi="Arial"/>
          <w:sz w:val="18"/>
          <w:szCs w:val="18"/>
          <w:color w:val="auto"/>
        </w:rPr>
        <w:t>Our product offerings consist of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- 2020 Compared to 2019 and 2019 Compared to 2018</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0"/>
              </w:rPr>
              <w:t>Years ended December 31,</w:t>
            </w:r>
          </w:p>
        </w:tc>
        <w:tc>
          <w:tcPr>
            <w:tcW w:w="7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 Change</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2018-19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2019-20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(In millions)</w:t>
            </w: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114.5</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Arial" w:cs="Arial" w:eastAsia="Arial" w:hAnsi="Arial"/>
                <w:sz w:val="18"/>
                <w:szCs w:val="18"/>
                <w:color w:val="auto"/>
              </w:rPr>
              <w:t>Net sales</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118.2</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124.2</w:t>
            </w:r>
          </w:p>
        </w:tc>
        <w:tc>
          <w:tcPr>
            <w:tcW w:w="5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Arial" w:cs="Arial" w:eastAsia="Arial" w:hAnsi="Arial"/>
                <w:sz w:val="18"/>
                <w:szCs w:val="18"/>
                <w:color w:val="auto"/>
              </w:rPr>
              <w:t>Cost of sales</w:t>
            </w:r>
          </w:p>
        </w:tc>
        <w:tc>
          <w:tcPr>
            <w:tcW w:w="1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453"/>
        </w:trPr>
        <w:tc>
          <w:tcPr>
            <w:tcW w:w="3500" w:type="dxa"/>
            <w:vAlign w:val="bottom"/>
          </w:tcPr>
          <w:p>
            <w:pPr>
              <w:ind w:left="380"/>
              <w:spacing w:after="0"/>
              <w:rPr>
                <w:sz w:val="20"/>
                <w:szCs w:val="20"/>
                <w:color w:val="auto"/>
              </w:rPr>
            </w:pPr>
            <w:r>
              <w:rPr>
                <w:rFonts w:ascii="Arial" w:cs="Arial" w:eastAsia="Arial" w:hAnsi="Arial"/>
                <w:sz w:val="18"/>
                <w:szCs w:val="18"/>
                <w:color w:val="auto"/>
              </w:rPr>
              <w:t>Gross margin</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38.3</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452"/>
        </w:trPr>
        <w:tc>
          <w:tcPr>
            <w:tcW w:w="350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17.8</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Percent of net sales:</w:t>
            </w: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71.3</w:t>
            </w:r>
          </w:p>
        </w:tc>
        <w:tc>
          <w:tcPr>
            <w:tcW w:w="5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00" w:type="dxa"/>
            <w:vAlign w:val="bottom"/>
          </w:tcPr>
          <w:p>
            <w:pPr>
              <w:ind w:left="380"/>
              <w:spacing w:after="0"/>
              <w:rPr>
                <w:sz w:val="20"/>
                <w:szCs w:val="20"/>
                <w:color w:val="auto"/>
              </w:rPr>
            </w:pPr>
            <w:r>
              <w:rPr>
                <w:rFonts w:ascii="Arial" w:cs="Arial" w:eastAsia="Arial" w:hAnsi="Arial"/>
                <w:sz w:val="18"/>
                <w:szCs w:val="18"/>
                <w:color w:val="auto"/>
              </w:rPr>
              <w:t>Cost of sales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380"/>
              <w:spacing w:after="0"/>
              <w:rPr>
                <w:sz w:val="20"/>
                <w:szCs w:val="20"/>
                <w:color w:val="auto"/>
              </w:rPr>
            </w:pPr>
            <w:r>
              <w:rPr>
                <w:rFonts w:ascii="Arial" w:cs="Arial" w:eastAsia="Arial" w:hAnsi="Arial"/>
                <w:sz w:val="18"/>
                <w:szCs w:val="18"/>
                <w:color w:val="auto"/>
              </w:rPr>
              <w:t>Gross margin</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28.7</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380"/>
              <w:spacing w:after="0"/>
              <w:rPr>
                <w:sz w:val="20"/>
                <w:szCs w:val="20"/>
                <w:color w:val="auto"/>
              </w:rPr>
            </w:pPr>
            <w:r>
              <w:rPr>
                <w:rFonts w:ascii="Arial" w:cs="Arial" w:eastAsia="Arial" w:hAnsi="Arial"/>
                <w:sz w:val="18"/>
                <w:szCs w:val="18"/>
                <w:color w:val="auto"/>
              </w:rPr>
              <w:t>Operating costs and expenses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1175"/>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decreased approximately $9.7 million in 2020 compared to 2019 primarily due to lower Security Products sales across</w:t>
      </w:r>
      <w:r>
        <w:rPr>
          <w:rFonts w:ascii="Arial" w:cs="Arial" w:eastAsia="Arial" w:hAnsi="Arial"/>
          <w:sz w:val="18"/>
          <w:szCs w:val="18"/>
          <w:i w:val="1"/>
          <w:iCs w:val="1"/>
          <w:color w:val="auto"/>
        </w:rPr>
        <w:t xml:space="preserve"> </w:t>
      </w:r>
      <w:r>
        <w:rPr>
          <w:rFonts w:ascii="Arial" w:cs="Arial" w:eastAsia="Arial" w:hAnsi="Arial"/>
          <w:sz w:val="18"/>
          <w:szCs w:val="18"/>
          <w:color w:val="auto"/>
        </w:rPr>
        <w:t>a variety of markets due to reduced demand resulting from the COVID-19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pandemic, offset slightly by higher Marine Component sales to the towboat market. Relative changes in selling prices did not have a material impact on net sales comparisons.</w:t>
      </w:r>
    </w:p>
    <w:p>
      <w:pPr>
        <w:spacing w:after="0" w:line="170" w:lineRule="exact"/>
        <w:rPr>
          <w:sz w:val="20"/>
          <w:szCs w:val="20"/>
          <w:color w:val="auto"/>
        </w:rPr>
      </w:pPr>
    </w:p>
    <w:p>
      <w:pPr>
        <w:jc w:val="both"/>
        <w:ind w:right="20" w:firstLine="1175"/>
        <w:spacing w:after="0" w:line="277" w:lineRule="auto"/>
        <w:rPr>
          <w:sz w:val="20"/>
          <w:szCs w:val="20"/>
          <w:color w:val="auto"/>
        </w:rPr>
      </w:pPr>
      <w:r>
        <w:rPr>
          <w:rFonts w:ascii="Arial" w:cs="Arial" w:eastAsia="Arial" w:hAnsi="Arial"/>
          <w:sz w:val="18"/>
          <w:szCs w:val="18"/>
          <w:color w:val="auto"/>
        </w:rPr>
        <w:t>Net sales increased approximately $6.0 million in 2019 compared to 2018 primarily due to higher Marine Components sales to the towboat market. Relative changes in selling prices did not have a material impact on net sales comparisons.</w:t>
      </w:r>
    </w:p>
    <w:p>
      <w:pPr>
        <w:spacing w:after="0" w:line="170"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i w:val="1"/>
          <w:iCs w:val="1"/>
          <w:color w:val="auto"/>
        </w:rPr>
        <w:t xml:space="preserve">Cost of Sales and Gross Margin. </w:t>
      </w:r>
      <w:r>
        <w:rPr>
          <w:rFonts w:ascii="Arial" w:cs="Arial" w:eastAsia="Arial" w:hAnsi="Arial"/>
          <w:sz w:val="18"/>
          <w:szCs w:val="18"/>
          <w:color w:val="auto"/>
        </w:rPr>
        <w:t>Cost of sales decreased in 2020 compared to 2019 primarily due to the effects of lower sales for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slightly offset by the higher Marine Component sales discussed above. Gross margin as a percentage of sales decreased over the same period primarily as a result of lower gross margin percentage at Security Products.</w:t>
      </w:r>
    </w:p>
    <w:p>
      <w:pPr>
        <w:spacing w:after="0" w:line="184" w:lineRule="exact"/>
        <w:rPr>
          <w:sz w:val="20"/>
          <w:szCs w:val="20"/>
          <w:color w:val="auto"/>
        </w:rPr>
      </w:pPr>
    </w:p>
    <w:p>
      <w:pPr>
        <w:jc w:val="both"/>
        <w:ind w:firstLine="1175"/>
        <w:spacing w:after="0" w:line="286" w:lineRule="auto"/>
        <w:rPr>
          <w:sz w:val="20"/>
          <w:szCs w:val="20"/>
          <w:color w:val="auto"/>
        </w:rPr>
      </w:pPr>
      <w:r>
        <w:rPr>
          <w:rFonts w:ascii="Arial" w:cs="Arial" w:eastAsia="Arial" w:hAnsi="Arial"/>
          <w:sz w:val="17"/>
          <w:szCs w:val="17"/>
          <w:color w:val="auto"/>
        </w:rPr>
        <w:t>Cost of sales increased in 2019 compared to 2018 due to the effects of increased sales for both Security Products and Marine Components and increased labor costs at Security Products. As a result, gross margin as a percentage of sales decreased over the same period. The decrease in gross margin percentage is the result of the decline in Security Products gross margin percentage in 2019 as compared to 2018.</w:t>
      </w:r>
    </w:p>
    <w:p>
      <w:pPr>
        <w:spacing w:after="0" w:line="165" w:lineRule="exact"/>
        <w:rPr>
          <w:sz w:val="20"/>
          <w:szCs w:val="20"/>
          <w:color w:val="auto"/>
        </w:rPr>
      </w:pPr>
    </w:p>
    <w:p>
      <w:pPr>
        <w:jc w:val="both"/>
        <w:ind w:firstLine="1175"/>
        <w:spacing w:after="0" w:line="301" w:lineRule="auto"/>
        <w:rPr>
          <w:sz w:val="20"/>
          <w:szCs w:val="20"/>
          <w:color w:val="auto"/>
        </w:rPr>
      </w:pPr>
      <w:r>
        <w:rPr>
          <w:rFonts w:ascii="Arial" w:cs="Arial" w:eastAsia="Arial" w:hAnsi="Arial"/>
          <w:sz w:val="16"/>
          <w:szCs w:val="16"/>
          <w:i w:val="1"/>
          <w:iCs w:val="1"/>
          <w:color w:val="auto"/>
        </w:rPr>
        <w:t>Operating Costs and Expenses</w:t>
      </w:r>
      <w:r>
        <w:rPr>
          <w:rFonts w:ascii="Arial" w:cs="Arial" w:eastAsia="Arial" w:hAnsi="Arial"/>
          <w:sz w:val="16"/>
          <w:szCs w:val="16"/>
          <w:color w:val="auto"/>
        </w:rPr>
        <w:t>. Operating costs and expenses consist primarily of sales and administrative-related personnel costs, sales</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commissions and advertising expenses directly related to product sales and administrative costs relating to business unit and corporate management activities, as well as gains and losses on sales of property and equipment. Operating costs and expenses as a percentage of sales increased in 2020 compared to 2019 due to the effect of lower sales. Operating costs and expenses as a percentage of sales in 2019 were comparable to 2018.</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 xml:space="preserve">Operating Income. </w:t>
      </w:r>
      <w:r>
        <w:rPr>
          <w:rFonts w:ascii="Arial" w:cs="Arial" w:eastAsia="Arial" w:hAnsi="Arial"/>
          <w:sz w:val="17"/>
          <w:szCs w:val="17"/>
          <w:color w:val="auto"/>
        </w:rPr>
        <w:t>As a percentage of net sales, operating income decreased from 2019 to 2020 and decreased from 2018 to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margins were primarily impacted by the factors impacting cost of sales, gross margin and operating costs discussed above.</w:t>
      </w:r>
    </w:p>
    <w:p>
      <w:pPr>
        <w:spacing w:after="0" w:line="211" w:lineRule="exact"/>
        <w:rPr>
          <w:sz w:val="20"/>
          <w:szCs w:val="20"/>
          <w:color w:val="auto"/>
        </w:rPr>
      </w:pPr>
    </w:p>
    <w:p>
      <w:pPr>
        <w:jc w:val="both"/>
        <w:ind w:firstLine="1175"/>
        <w:spacing w:after="0" w:line="270"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profitability primarily depends on our ability to utilize our production capacity effectively, which is affected by, among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things, the demand for our products and our ability to control our manufacturing costs, primarily comprised of labor costs and materials. The materials used in our products consist of purchased components and raw materials some of which are subject to fluctuations in the commodity markets such as zinc, brass and stainless steel. Total material costs represented approximately 43% of our cost of sales in 2020, with commodity-related raw materials accounting for approximately 12% of our cost of sales. During 2019 and 2020, markets for the primary commodity-related raw materials used in the manufacture of our locking mechanisms, primarily zinc and brass, remained relatively stable. Over those same periods, the market for stainless steel, the primary raw material used for the manufacture of marine exhaust headers and pipes and wake enhancement systems, also remained relatively stable. While we expect the markets for our primary commodity-related raw materials to remain stable during 2021, we recognize that economic conditions could introduce renewed volatility on these and other manufacturing materials.</w:t>
      </w:r>
    </w:p>
    <w:p>
      <w:pPr>
        <w:spacing w:after="0" w:line="181" w:lineRule="exact"/>
        <w:rPr>
          <w:sz w:val="20"/>
          <w:szCs w:val="20"/>
          <w:color w:val="auto"/>
        </w:rPr>
      </w:pPr>
    </w:p>
    <w:p>
      <w:pPr>
        <w:jc w:val="both"/>
        <w:ind w:firstLine="1175"/>
        <w:spacing w:after="0" w:line="277" w:lineRule="auto"/>
        <w:rPr>
          <w:sz w:val="20"/>
          <w:szCs w:val="20"/>
          <w:color w:val="auto"/>
        </w:rPr>
      </w:pPr>
      <w:r>
        <w:rPr>
          <w:rFonts w:ascii="Arial" w:cs="Arial" w:eastAsia="Arial" w:hAnsi="Arial"/>
          <w:sz w:val="18"/>
          <w:szCs w:val="18"/>
          <w:color w:val="auto"/>
        </w:rPr>
        <w:t>We occasionally enter into short-term commodity-related raw material supply arrangements to mitigate the impact of future increases in commodity related raw material costs. See Item 1 - “Business- Raw Materials.”</w:t>
      </w:r>
    </w:p>
    <w:p>
      <w:pPr>
        <w:spacing w:after="0" w:line="170" w:lineRule="exact"/>
        <w:rPr>
          <w:sz w:val="20"/>
          <w:szCs w:val="20"/>
          <w:color w:val="auto"/>
        </w:rPr>
      </w:pPr>
    </w:p>
    <w:p>
      <w:pPr>
        <w:jc w:val="both"/>
        <w:ind w:firstLine="1292"/>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 2020 decreased compared to 2019 primarily due to lower average loan balances and lower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on our loan to an affiliate as well as lower interest rates on our cash investments. Interest income in 2019 increased compared to 2018 primarily due to higher average loan balances and higher interest rates on our loan to an affiliate as well as higher average investment balances and higher interest rates on our cash investments. See Note 9 to the Consolidated Financial Statements.</w:t>
      </w:r>
    </w:p>
    <w:p>
      <w:pPr>
        <w:spacing w:after="0" w:line="187" w:lineRule="exact"/>
        <w:rPr>
          <w:sz w:val="20"/>
          <w:szCs w:val="20"/>
          <w:color w:val="auto"/>
        </w:rPr>
      </w:pPr>
    </w:p>
    <w:p>
      <w:pPr>
        <w:jc w:val="both"/>
        <w:ind w:firstLine="1175"/>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 income tax rate of 21% 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Note 7 to the Consolidated Financial Statements. As a member of the group of companies consolidated for U.S. federal income tax purposes with Contran, the parent of our consolidated U.S. federal income tax group, we compute our provision for income taxes on a separate company basis, using the tax elections made by Contran.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ind w:firstLine="1175"/>
        <w:spacing w:after="0" w:line="279" w:lineRule="auto"/>
        <w:rPr>
          <w:sz w:val="20"/>
          <w:szCs w:val="20"/>
          <w:color w:val="auto"/>
        </w:rPr>
      </w:pPr>
      <w:r>
        <w:rPr>
          <w:rFonts w:ascii="Arial" w:cs="Arial" w:eastAsia="Arial" w:hAnsi="Arial"/>
          <w:sz w:val="17"/>
          <w:szCs w:val="17"/>
          <w:color w:val="auto"/>
        </w:rPr>
        <w:t>Our effective income tax rate was 25% in 2018 and 24% in each of 2019 and 2020. Our effective income tax rate was lower in 2019 as compared to 2018 primarily due to recognizing a current cash tax benefit of $0.2 million in 2019 resulting from a deduction under the foreign derived intangible income provisions ($0.1 million of such current cash tax benefit is related to 2018). See Notes 7 and 10 to our Consolidated Financial Statements. We currently expect our effective income tax rate for 2021 to be comparable to our effective income tax rate for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21" w:lineRule="exact"/>
        <w:rPr>
          <w:sz w:val="20"/>
          <w:szCs w:val="20"/>
          <w:color w:val="auto"/>
        </w:rPr>
      </w:pPr>
    </w:p>
    <w:p>
      <w:pPr>
        <w:jc w:val="both"/>
        <w:ind w:firstLine="1175"/>
        <w:spacing w:after="0" w:line="277" w:lineRule="auto"/>
        <w:rPr>
          <w:sz w:val="20"/>
          <w:szCs w:val="20"/>
          <w:color w:val="auto"/>
        </w:rPr>
      </w:pPr>
      <w:r>
        <w:rPr>
          <w:rFonts w:ascii="Arial" w:cs="Arial" w:eastAsia="Arial" w:hAnsi="Arial"/>
          <w:sz w:val="18"/>
          <w:szCs w:val="18"/>
          <w:color w:val="auto"/>
        </w:rPr>
        <w:t>The key performance indicator for our segments is the level of their operating income (see discussion below). For additional information regarding our segments refer to Note 2 to our Consolidated Financial Statements.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110"/>
              <w:spacing w:after="0"/>
              <w:rPr>
                <w:sz w:val="20"/>
                <w:szCs w:val="20"/>
                <w:color w:val="auto"/>
              </w:rPr>
            </w:pPr>
            <w:r>
              <w:rPr>
                <w:rFonts w:ascii="Arial" w:cs="Arial" w:eastAsia="Arial" w:hAnsi="Arial"/>
                <w:sz w:val="14"/>
                <w:szCs w:val="14"/>
                <w:b w:val="1"/>
                <w:bCs w:val="1"/>
                <w:color w:val="auto"/>
                <w:w w:val="90"/>
              </w:rPr>
              <w:t>Years ended December 31,</w:t>
            </w:r>
          </w:p>
        </w:tc>
        <w:tc>
          <w:tcPr>
            <w:tcW w:w="7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 Change</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3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2018-19</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4"/>
                <w:szCs w:val="14"/>
                <w:b w:val="1"/>
                <w:bCs w:val="1"/>
                <w:color w:val="auto"/>
                <w:w w:val="97"/>
              </w:rPr>
              <w:t>2019-20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00" w:type="dxa"/>
            <w:vAlign w:val="bottom"/>
            <w:vMerge w:val="restart"/>
          </w:tcPr>
          <w:p>
            <w:pPr>
              <w:spacing w:after="0"/>
              <w:rPr>
                <w:sz w:val="20"/>
                <w:szCs w:val="20"/>
                <w:color w:val="auto"/>
              </w:rPr>
            </w:pPr>
            <w:r>
              <w:rPr>
                <w:rFonts w:ascii="Arial" w:cs="Arial" w:eastAsia="Arial" w:hAnsi="Arial"/>
                <w:sz w:val="18"/>
                <w:szCs w:val="18"/>
                <w:color w:val="auto"/>
              </w:rPr>
              <w:t>Security Products:</w:t>
            </w:r>
          </w:p>
        </w:tc>
        <w:tc>
          <w:tcPr>
            <w:tcW w:w="10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5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87.9</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(12) %</w:t>
            </w:r>
          </w:p>
        </w:tc>
        <w:tc>
          <w:tcPr>
            <w:tcW w:w="0" w:type="dxa"/>
            <w:vAlign w:val="bottom"/>
          </w:tcPr>
          <w:p>
            <w:pPr>
              <w:spacing w:after="0"/>
              <w:rPr>
                <w:sz w:val="1"/>
                <w:szCs w:val="1"/>
                <w:color w:val="auto"/>
              </w:rPr>
            </w:pPr>
          </w:p>
        </w:tc>
      </w:tr>
      <w:tr>
        <w:trPr>
          <w:trHeight w:val="225"/>
        </w:trPr>
        <w:tc>
          <w:tcPr>
            <w:tcW w:w="3500" w:type="dxa"/>
            <w:vAlign w:val="bottom"/>
          </w:tcPr>
          <w:p>
            <w:pPr>
              <w:ind w:left="380"/>
              <w:spacing w:after="0"/>
              <w:rPr>
                <w:sz w:val="20"/>
                <w:szCs w:val="20"/>
                <w:color w:val="auto"/>
              </w:rPr>
            </w:pPr>
            <w:r>
              <w:rPr>
                <w:rFonts w:ascii="Arial" w:cs="Arial" w:eastAsia="Arial" w:hAnsi="Arial"/>
                <w:sz w:val="18"/>
                <w:szCs w:val="18"/>
                <w:color w:val="auto"/>
              </w:rPr>
              <w:t>Net sales</w:t>
            </w:r>
          </w:p>
        </w:tc>
        <w:tc>
          <w:tcPr>
            <w:tcW w:w="16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98.4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99.3</w:t>
            </w:r>
          </w:p>
        </w:tc>
        <w:tc>
          <w:tcPr>
            <w:tcW w:w="5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900" w:type="dxa"/>
            <w:vAlign w:val="bottom"/>
            <w:gridSpan w:val="3"/>
          </w:tcPr>
          <w:p>
            <w:pPr>
              <w:jc w:val="right"/>
              <w:ind w:right="260"/>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380"/>
              <w:spacing w:after="0"/>
              <w:rPr>
                <w:sz w:val="20"/>
                <w:szCs w:val="20"/>
                <w:color w:val="auto"/>
              </w:rPr>
            </w:pPr>
            <w:r>
              <w:rPr>
                <w:rFonts w:ascii="Arial" w:cs="Arial" w:eastAsia="Arial" w:hAnsi="Arial"/>
                <w:sz w:val="18"/>
                <w:szCs w:val="18"/>
                <w:color w:val="auto"/>
              </w:rPr>
              <w:t>Cost of sales</w:t>
            </w:r>
          </w:p>
        </w:tc>
        <w:tc>
          <w:tcPr>
            <w:tcW w:w="10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65.5</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8"/>
        </w:trPr>
        <w:tc>
          <w:tcPr>
            <w:tcW w:w="3500" w:type="dxa"/>
            <w:vAlign w:val="bottom"/>
          </w:tcPr>
          <w:p>
            <w:pPr>
              <w:ind w:left="740"/>
              <w:spacing w:after="0"/>
              <w:rPr>
                <w:sz w:val="20"/>
                <w:szCs w:val="20"/>
                <w:color w:val="auto"/>
              </w:rPr>
            </w:pPr>
            <w:r>
              <w:rPr>
                <w:rFonts w:ascii="Arial" w:cs="Arial" w:eastAsia="Arial" w:hAnsi="Arial"/>
                <w:sz w:val="18"/>
                <w:szCs w:val="18"/>
                <w:color w:val="auto"/>
              </w:rPr>
              <w:t>Gross margin</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32.9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1900" w:type="dxa"/>
            <w:vAlign w:val="bottom"/>
            <w:gridSpan w:val="3"/>
          </w:tcPr>
          <w:p>
            <w:pPr>
              <w:jc w:val="right"/>
              <w:ind w:right="4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34"/>
        </w:trPr>
        <w:tc>
          <w:tcPr>
            <w:tcW w:w="3500" w:type="dxa"/>
            <w:vAlign w:val="bottom"/>
          </w:tcPr>
          <w:p>
            <w:pPr>
              <w:ind w:left="380"/>
              <w:spacing w:after="0"/>
              <w:rPr>
                <w:sz w:val="20"/>
                <w:szCs w:val="20"/>
                <w:color w:val="auto"/>
              </w:rPr>
            </w:pPr>
            <w:r>
              <w:rPr>
                <w:rFonts w:ascii="Arial" w:cs="Arial" w:eastAsia="Arial" w:hAnsi="Arial"/>
                <w:sz w:val="18"/>
                <w:szCs w:val="18"/>
                <w:color w:val="auto"/>
              </w:rPr>
              <w:t>Operating costs and expenses</w:t>
            </w:r>
          </w:p>
        </w:tc>
        <w:tc>
          <w:tcPr>
            <w:tcW w:w="10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11.0</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3"/>
        </w:trPr>
        <w:tc>
          <w:tcPr>
            <w:tcW w:w="3500" w:type="dxa"/>
            <w:vAlign w:val="bottom"/>
          </w:tcPr>
          <w:p>
            <w:pPr>
              <w:ind w:left="740"/>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21.9</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1900" w:type="dxa"/>
            <w:vAlign w:val="bottom"/>
            <w:gridSpan w:val="3"/>
          </w:tcPr>
          <w:p>
            <w:pPr>
              <w:jc w:val="right"/>
              <w:ind w:right="4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3500" w:type="dxa"/>
            <w:vAlign w:val="bottom"/>
          </w:tcPr>
          <w:p>
            <w:pPr>
              <w:spacing w:after="0"/>
              <w:rPr>
                <w:sz w:val="20"/>
                <w:szCs w:val="20"/>
                <w:color w:val="auto"/>
              </w:rPr>
            </w:pPr>
            <w:r>
              <w:rPr>
                <w:rFonts w:ascii="Arial" w:cs="Arial" w:eastAsia="Arial" w:hAnsi="Arial"/>
                <w:sz w:val="18"/>
                <w:szCs w:val="18"/>
                <w:color w:val="auto"/>
              </w:rPr>
              <w:t>Gross margin</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33.4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560" w:type="dxa"/>
            <w:vAlign w:val="bottom"/>
          </w:tcPr>
          <w:p>
            <w:pPr>
              <w:jc w:val="right"/>
              <w:ind w:right="173"/>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22.3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175"/>
        <w:spacing w:after="0" w:line="289" w:lineRule="auto"/>
        <w:rPr>
          <w:sz w:val="20"/>
          <w:szCs w:val="20"/>
          <w:color w:val="auto"/>
        </w:rPr>
      </w:pPr>
      <w:r>
        <w:rPr>
          <w:rFonts w:ascii="Arial" w:cs="Arial" w:eastAsia="Arial" w:hAnsi="Arial"/>
          <w:sz w:val="16"/>
          <w:szCs w:val="16"/>
          <w:i w:val="1"/>
          <w:iCs w:val="1"/>
          <w:color w:val="auto"/>
        </w:rPr>
        <w:t xml:space="preserve">Security Products. </w:t>
      </w:r>
      <w:r>
        <w:rPr>
          <w:rFonts w:ascii="Arial" w:cs="Arial" w:eastAsia="Arial" w:hAnsi="Arial"/>
          <w:sz w:val="16"/>
          <w:szCs w:val="16"/>
          <w:color w:val="auto"/>
        </w:rPr>
        <w:t>Security Products net sales decreased 12% to $87.9 million in 2020 compared to $99.3 million in 2019. Certain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market segments were slower to recover from the negative impact of COVID-19, primarily in the second and third quarters, including transportation which had $4.4 million lower sales than the 2019, distribution customers which were $2.5 million lower than 2019, and office furniture which was $1.8 million lower than the same period in 2019. Gross margin and operating income margin for 2020 declined as compared to 2019 primarily due to lower sales and higher cost inventory produced during the second and third quarters and sold in the last half of the year. Security Products inventory produced during the second and third quarters of 2020 had a higher carrying value compared to prior periods due to higher cost per unit of production as a result of lower production volumes during these quarters of 2020. This negatively impacted our gross margin and operating income margin as this higher cost inventory was sold during the last half of 2020. Additionally, gross margin and operating income margin were unfavorably impacted by employer paid medical costs, unrelated to the pandemic, which increased $2.1 million in 2020 compared to 2019.</w:t>
      </w:r>
    </w:p>
    <w:p>
      <w:pPr>
        <w:spacing w:after="0" w:line="166" w:lineRule="exact"/>
        <w:rPr>
          <w:sz w:val="20"/>
          <w:szCs w:val="20"/>
          <w:color w:val="auto"/>
        </w:rPr>
      </w:pPr>
    </w:p>
    <w:p>
      <w:pPr>
        <w:jc w:val="both"/>
        <w:ind w:firstLine="1175"/>
        <w:spacing w:after="0" w:line="301" w:lineRule="auto"/>
        <w:rPr>
          <w:sz w:val="20"/>
          <w:szCs w:val="20"/>
          <w:color w:val="auto"/>
        </w:rPr>
      </w:pPr>
      <w:r>
        <w:rPr>
          <w:rFonts w:ascii="Arial" w:cs="Arial" w:eastAsia="Arial" w:hAnsi="Arial"/>
          <w:sz w:val="16"/>
          <w:szCs w:val="16"/>
          <w:color w:val="auto"/>
        </w:rPr>
        <w:t>Security Products net sales increased 1% to $99.3 million in 2019 compared to $98.4 million in 2018, primarily due to higher sales to government security and medical cart manufacturing markets, partially offset by lower sales to the transportation, electronic control panel and distribution markets. As a percentage of sales, gross margin and operating income for 2019 declined as compared to 2018 primarily due to increased labor rates and associated payroll costs resulting from regional pressure on wages for certain skilled labor positions, partially offset by favorable medical costs.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110"/>
              <w:spacing w:after="0"/>
              <w:rPr>
                <w:sz w:val="20"/>
                <w:szCs w:val="20"/>
                <w:color w:val="auto"/>
              </w:rPr>
            </w:pPr>
            <w:r>
              <w:rPr>
                <w:rFonts w:ascii="Arial" w:cs="Arial" w:eastAsia="Arial" w:hAnsi="Arial"/>
                <w:sz w:val="14"/>
                <w:szCs w:val="14"/>
                <w:b w:val="1"/>
                <w:bCs w:val="1"/>
                <w:color w:val="auto"/>
                <w:w w:val="90"/>
              </w:rPr>
              <w:t>Years ended December 31,</w:t>
            </w:r>
          </w:p>
        </w:tc>
        <w:tc>
          <w:tcPr>
            <w:tcW w:w="7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 Change</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13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2018-19</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93"/>
              <w:spacing w:after="0"/>
              <w:rPr>
                <w:sz w:val="20"/>
                <w:szCs w:val="20"/>
                <w:color w:val="auto"/>
              </w:rPr>
            </w:pPr>
            <w:r>
              <w:rPr>
                <w:rFonts w:ascii="Arial" w:cs="Arial" w:eastAsia="Arial" w:hAnsi="Arial"/>
                <w:sz w:val="14"/>
                <w:szCs w:val="14"/>
                <w:b w:val="1"/>
                <w:bCs w:val="1"/>
                <w:color w:val="auto"/>
                <w:w w:val="97"/>
              </w:rPr>
              <w:t>2019-20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00" w:type="dxa"/>
            <w:vAlign w:val="bottom"/>
            <w:vMerge w:val="restart"/>
          </w:tcPr>
          <w:p>
            <w:pPr>
              <w:spacing w:after="0"/>
              <w:rPr>
                <w:sz w:val="20"/>
                <w:szCs w:val="20"/>
                <w:color w:val="auto"/>
              </w:rPr>
            </w:pPr>
            <w:r>
              <w:rPr>
                <w:rFonts w:ascii="Arial" w:cs="Arial" w:eastAsia="Arial" w:hAnsi="Arial"/>
                <w:sz w:val="18"/>
                <w:szCs w:val="18"/>
                <w:color w:val="auto"/>
              </w:rPr>
              <w:t>Marine Components:</w:t>
            </w:r>
          </w:p>
        </w:tc>
        <w:tc>
          <w:tcPr>
            <w:tcW w:w="10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5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26.6</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3500" w:type="dxa"/>
            <w:vAlign w:val="bottom"/>
          </w:tcPr>
          <w:p>
            <w:pPr>
              <w:ind w:left="380"/>
              <w:spacing w:after="0"/>
              <w:rPr>
                <w:sz w:val="20"/>
                <w:szCs w:val="20"/>
                <w:color w:val="auto"/>
              </w:rPr>
            </w:pPr>
            <w:r>
              <w:rPr>
                <w:rFonts w:ascii="Arial" w:cs="Arial" w:eastAsia="Arial" w:hAnsi="Arial"/>
                <w:sz w:val="18"/>
                <w:szCs w:val="18"/>
                <w:color w:val="auto"/>
              </w:rPr>
              <w:t>Net sales</w:t>
            </w:r>
          </w:p>
        </w:tc>
        <w:tc>
          <w:tcPr>
            <w:tcW w:w="16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19.8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24.9</w:t>
            </w:r>
          </w:p>
        </w:tc>
        <w:tc>
          <w:tcPr>
            <w:tcW w:w="5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380"/>
              <w:spacing w:after="0"/>
              <w:rPr>
                <w:sz w:val="20"/>
                <w:szCs w:val="20"/>
                <w:color w:val="auto"/>
              </w:rPr>
            </w:pPr>
            <w:r>
              <w:rPr>
                <w:rFonts w:ascii="Arial" w:cs="Arial" w:eastAsia="Arial" w:hAnsi="Arial"/>
                <w:sz w:val="18"/>
                <w:szCs w:val="18"/>
                <w:color w:val="auto"/>
              </w:rPr>
              <w:t>Cost of sales</w:t>
            </w:r>
          </w:p>
        </w:tc>
        <w:tc>
          <w:tcPr>
            <w:tcW w:w="10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14.4</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500" w:type="dxa"/>
            <w:vAlign w:val="bottom"/>
          </w:tcPr>
          <w:p>
            <w:pPr>
              <w:ind w:left="740"/>
              <w:spacing w:after="0"/>
              <w:rPr>
                <w:sz w:val="20"/>
                <w:szCs w:val="20"/>
                <w:color w:val="auto"/>
              </w:rPr>
            </w:pPr>
            <w:r>
              <w:rPr>
                <w:rFonts w:ascii="Arial" w:cs="Arial" w:eastAsia="Arial" w:hAnsi="Arial"/>
                <w:sz w:val="18"/>
                <w:szCs w:val="18"/>
                <w:color w:val="auto"/>
              </w:rPr>
              <w:t>Gross margin</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380"/>
              <w:spacing w:after="0"/>
              <w:rPr>
                <w:sz w:val="20"/>
                <w:szCs w:val="20"/>
                <w:color w:val="auto"/>
              </w:rPr>
            </w:pPr>
            <w:r>
              <w:rPr>
                <w:rFonts w:ascii="Arial" w:cs="Arial" w:eastAsia="Arial" w:hAnsi="Arial"/>
                <w:sz w:val="18"/>
                <w:szCs w:val="18"/>
                <w:color w:val="auto"/>
              </w:rPr>
              <w:t>Operating costs and expenses</w:t>
            </w:r>
          </w:p>
        </w:tc>
        <w:tc>
          <w:tcPr>
            <w:tcW w:w="10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740"/>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3500" w:type="dxa"/>
            <w:vAlign w:val="bottom"/>
          </w:tcPr>
          <w:p>
            <w:pPr>
              <w:spacing w:after="0"/>
              <w:rPr>
                <w:sz w:val="20"/>
                <w:szCs w:val="20"/>
                <w:color w:val="auto"/>
              </w:rPr>
            </w:pPr>
            <w:r>
              <w:rPr>
                <w:rFonts w:ascii="Arial" w:cs="Arial" w:eastAsia="Arial" w:hAnsi="Arial"/>
                <w:sz w:val="18"/>
                <w:szCs w:val="18"/>
                <w:color w:val="auto"/>
              </w:rPr>
              <w:t>Gross margin</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27.2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26.4</w:t>
            </w:r>
          </w:p>
        </w:tc>
        <w:tc>
          <w:tcPr>
            <w:tcW w:w="560" w:type="dxa"/>
            <w:vAlign w:val="bottom"/>
          </w:tcPr>
          <w:p>
            <w:pPr>
              <w:jc w:val="right"/>
              <w:ind w:right="173"/>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13.8</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175"/>
        <w:spacing w:after="0" w:line="296" w:lineRule="auto"/>
        <w:rPr>
          <w:sz w:val="20"/>
          <w:szCs w:val="20"/>
          <w:color w:val="auto"/>
        </w:rPr>
      </w:pPr>
      <w:r>
        <w:rPr>
          <w:rFonts w:ascii="Arial" w:cs="Arial" w:eastAsia="Arial" w:hAnsi="Arial"/>
          <w:sz w:val="16"/>
          <w:szCs w:val="16"/>
          <w:i w:val="1"/>
          <w:iCs w:val="1"/>
          <w:color w:val="auto"/>
        </w:rPr>
        <w:t xml:space="preserve">Marine Components. </w:t>
      </w:r>
      <w:r>
        <w:rPr>
          <w:rFonts w:ascii="Arial" w:cs="Arial" w:eastAsia="Arial" w:hAnsi="Arial"/>
          <w:sz w:val="16"/>
          <w:szCs w:val="16"/>
          <w:color w:val="auto"/>
        </w:rPr>
        <w:t>Marine Components net sales increased 7% in 2020 as compared to 2019 primarily due to increased sales of $2.9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to the towboat market, primarily wake enhancement systems and surf pipes to an original equipment boat manufacturer, predominantly in the second half of the year. Gross margin as a percentage of sales in 2020 was slightly below 2019 due to higher cost inventory produced during the second quarter and sold in the third quarter of the year, as well as higher depreciation expense resulting from the timing of capital expenditures. Operating income as a percentage of net sales increased in 2020 compared to 2019 principally due to the slight decrease in operating costs and expenses.</w:t>
      </w:r>
    </w:p>
    <w:p>
      <w:pPr>
        <w:spacing w:after="0" w:line="161" w:lineRule="exact"/>
        <w:rPr>
          <w:sz w:val="20"/>
          <w:szCs w:val="20"/>
          <w:color w:val="auto"/>
        </w:rPr>
      </w:pPr>
    </w:p>
    <w:p>
      <w:pPr>
        <w:jc w:val="both"/>
        <w:ind w:firstLine="1175"/>
        <w:spacing w:after="0" w:line="259" w:lineRule="auto"/>
        <w:rPr>
          <w:sz w:val="20"/>
          <w:szCs w:val="20"/>
          <w:color w:val="auto"/>
        </w:rPr>
      </w:pPr>
      <w:r>
        <w:rPr>
          <w:rFonts w:ascii="Arial" w:cs="Arial" w:eastAsia="Arial" w:hAnsi="Arial"/>
          <w:sz w:val="18"/>
          <w:szCs w:val="18"/>
          <w:color w:val="auto"/>
        </w:rPr>
        <w:t>Marine Components net sales increased 26% in 2019 as compared to 2018 primarily due to increased sales to the towboat market, primarily wake enhancement systems and surf pipes to an original equipment boat manufacturer. Gross margin as a percentage of sales in 2019 was comparable to 2018. Operating income as a percentage of net sales increased in 2019 compared to 2018 principally due to improved coverage on operating costs and expenses facilitated by higher production volumes.</w:t>
      </w:r>
    </w:p>
    <w:p>
      <w:pPr>
        <w:spacing w:after="0" w:line="187" w:lineRule="exact"/>
        <w:rPr>
          <w:sz w:val="20"/>
          <w:szCs w:val="20"/>
          <w:color w:val="auto"/>
        </w:rPr>
      </w:pPr>
    </w:p>
    <w:p>
      <w:pPr>
        <w:jc w:val="both"/>
        <w:ind w:firstLine="1175"/>
        <w:spacing w:after="0" w:line="253" w:lineRule="auto"/>
        <w:rPr>
          <w:sz w:val="20"/>
          <w:szCs w:val="20"/>
          <w:color w:val="auto"/>
        </w:rPr>
      </w:pPr>
      <w:r>
        <w:rPr>
          <w:rFonts w:ascii="Arial" w:cs="Arial" w:eastAsia="Arial" w:hAnsi="Arial"/>
          <w:sz w:val="18"/>
          <w:szCs w:val="18"/>
          <w:i w:val="1"/>
          <w:iCs w:val="1"/>
          <w:color w:val="auto"/>
        </w:rPr>
        <w:t xml:space="preserve">Outlook. </w:t>
      </w:r>
      <w:r>
        <w:rPr>
          <w:rFonts w:ascii="Arial" w:cs="Arial" w:eastAsia="Arial" w:hAnsi="Arial"/>
          <w:sz w:val="18"/>
          <w:szCs w:val="18"/>
          <w:color w:val="auto"/>
        </w:rPr>
        <w:t>In the second half of 2020, our sales began to recover from the historically low levels we experienced during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with sales steadily improving for the remainder of the year. The COVID-19 pandemic continues to impact our operations and demand for our products particularly in the transportation, office furniture and distribution markets served by our Security Products segment. In the second half of the year, our manufacturing operations returned to more normal production rates as demand from our customers began to return, although for our Security Products segment, below pre-pandemic levels. Our global and domestic supply chains remain intact, and we have experienced minimal supply chain disruptions. The markets we sell to have recovered to varying degrees, and we continue to work closely with all our customers and monitor their progress as they continue to adjust their operations. Even with the severe downturn during the second quarter, Marine Component segment sales outpaced prior year as demand for recreational boats increased as people sought socially distanced, outdoor activities. We expect these trends to continue for at least the first part of 2021.</w:t>
      </w:r>
    </w:p>
    <w:p>
      <w:pPr>
        <w:spacing w:after="0" w:line="196" w:lineRule="exact"/>
        <w:rPr>
          <w:sz w:val="20"/>
          <w:szCs w:val="20"/>
          <w:color w:val="auto"/>
        </w:rPr>
      </w:pPr>
    </w:p>
    <w:p>
      <w:pPr>
        <w:jc w:val="both"/>
        <w:ind w:firstLine="1175"/>
        <w:spacing w:after="0" w:line="259" w:lineRule="auto"/>
        <w:rPr>
          <w:sz w:val="20"/>
          <w:szCs w:val="20"/>
          <w:color w:val="auto"/>
        </w:rPr>
      </w:pPr>
      <w:r>
        <w:rPr>
          <w:rFonts w:ascii="Arial" w:cs="Arial" w:eastAsia="Arial" w:hAnsi="Arial"/>
          <w:sz w:val="18"/>
          <w:szCs w:val="18"/>
          <w:color w:val="auto"/>
        </w:rPr>
        <w:t>Considerable effort continues at all our locations to manage COVID-19 conditions including enhanced health and safety protocols and cleaning and disinfecting efforts. Throughout the course of the COVID-19 pandemic, we have focused our efforts on maintaining efficient operations while closely managing our expenses and capital projects. In this regard, we are constantly evaluating our staffing levels and we believe our current staffing levels are aligned with our sales and production forecasts for the first part of 2021.</w:t>
      </w:r>
    </w:p>
    <w:p>
      <w:pPr>
        <w:spacing w:after="0" w:line="187" w:lineRule="exact"/>
        <w:rPr>
          <w:sz w:val="20"/>
          <w:szCs w:val="20"/>
          <w:color w:val="auto"/>
        </w:rPr>
      </w:pPr>
    </w:p>
    <w:p>
      <w:pPr>
        <w:jc w:val="both"/>
        <w:ind w:firstLine="1175"/>
        <w:spacing w:after="0" w:line="271" w:lineRule="auto"/>
        <w:rPr>
          <w:sz w:val="20"/>
          <w:szCs w:val="20"/>
          <w:color w:val="auto"/>
        </w:rPr>
      </w:pPr>
      <w:r>
        <w:rPr>
          <w:rFonts w:ascii="Arial" w:cs="Arial" w:eastAsia="Arial" w:hAnsi="Arial"/>
          <w:sz w:val="17"/>
          <w:szCs w:val="17"/>
          <w:color w:val="auto"/>
        </w:rPr>
        <w:t>The advance of the COVID-19 pandemic and the global efforts to mitigate its spread have resulted in sharp contractions of vast areas of the global economy and are expected to continue to challenge workers, businesses and governments for the foreseeable future. Government actions in various regions have generally permitted the gradual resumption of commercial activities following various regional shutdowns, but further government action restricting economic activity is possible in an effort to mitigate increases in COVID-19 cases in certain regions. The success and timing of these mitigating actions will depend in part on continued deployment of effective tools to fight COVID-19, including availability of testing, effective treatments and vaccine distribution, before economic growth is likely to return to pre-pandemic levels. Even as these measures are implemented and become effective, they will not directly address the business and employment losses already experienced. As a result, we expect U.S. and worldwide gross domestic product to be significantly impacted for an indeterminate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6" w:name="page17"/>
    <w:bookmarkEnd w:id="16"/>
    <w:p>
      <w:pPr>
        <w:jc w:val="both"/>
        <w:ind w:firstLine="1175"/>
        <w:spacing w:after="0" w:line="270" w:lineRule="auto"/>
        <w:rPr>
          <w:sz w:val="20"/>
          <w:szCs w:val="20"/>
          <w:color w:val="auto"/>
        </w:rPr>
      </w:pPr>
      <w:r>
        <w:rPr>
          <w:rFonts w:ascii="Arial" w:cs="Arial" w:eastAsia="Arial" w:hAnsi="Arial"/>
          <w:sz w:val="17"/>
          <w:szCs w:val="17"/>
          <w:color w:val="auto"/>
        </w:rPr>
        <w:t>Based on current conditions, we expect to report increased revenue and operating income in 2021 compared to 2020 but we do not expect Security Products to return to pre-pandemic levels experienced in 2019. As noted above, our Security Products production volumes remain below 2019 levels. As a result, we expect to continue to experience the negative impact of higher fixed costs per unit of production during 2021 which will continue to challenge gross margins in the segment. The severity of the impact of COVID-19 on 2021 will depend on customer demand for our products, including the timing and extent to which our customers’ operations continue to be impacted, on our customers’ perception as to when consumer demand for their products will return to pre-pandemic levels and on any future disruptions in our operations or our suppliers’ operations, all of which are difficult to predict. Our operations teams meet frequently to ensure we are taking appropriate actions to maintain a safe working environment for all our employees, minimize operational disruptions, manage inventory levels and improve operating margins. It is possible we may temporarily close one or more of our facilities for the health and safety of our employees before the COVID-19 pandemic is over.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1175"/>
        <w:spacing w:after="0" w:line="273" w:lineRule="auto"/>
        <w:rPr>
          <w:sz w:val="20"/>
          <w:szCs w:val="20"/>
          <w:color w:val="auto"/>
        </w:rPr>
      </w:pPr>
      <w:r>
        <w:rPr>
          <w:rFonts w:ascii="Arial" w:cs="Arial" w:eastAsia="Arial" w:hAnsi="Arial"/>
          <w:sz w:val="17"/>
          <w:szCs w:val="17"/>
          <w:color w:val="auto"/>
        </w:rPr>
        <w:t>Our significant accounting policies are more fully described in Note 1 to our Consolidated Financial Statements. Our Consolidated Financial Statements have been prepared in conformity with accounting principles generally accepted in the United States of America (GAAP) which requires us to make estimates, judgments, and assumptions we believe are reasonable based on our historical experience, contract terms, observations of known trends in our company and the industry as a whole and information available from other outside sources. Our estimates affect the reported amounts of assets and liabilities and related disclosures of contingent assets and liabilities at the date of the financial statements, and the reported amounts of revenue and expense during the reporting period. Actual results may differ from initial estimates.</w:t>
      </w:r>
    </w:p>
    <w:p>
      <w:pPr>
        <w:spacing w:after="0" w:line="178"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color w:val="auto"/>
        </w:rPr>
        <w:t>We believe the most critical accounting policies and estimates involving significant judgments and estimates primarily relate to the considerations in the impairment assessments for goodwill and certain long-lived assets. We have discussed the development, selection and disclosure of our critical accounting estimates with the Audit Committee of our Board of Directors.</w:t>
      </w:r>
    </w:p>
    <w:p>
      <w:pPr>
        <w:spacing w:after="0" w:line="76" w:lineRule="exact"/>
        <w:rPr>
          <w:sz w:val="20"/>
          <w:szCs w:val="20"/>
          <w:color w:val="auto"/>
        </w:rPr>
      </w:pPr>
    </w:p>
    <w:p>
      <w:pPr>
        <w:jc w:val="both"/>
        <w:ind w:left="1160" w:hanging="572"/>
        <w:spacing w:after="0" w:line="269"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Goodwill – </w:t>
      </w:r>
      <w:r>
        <w:rPr>
          <w:rFonts w:ascii="Arial" w:cs="Arial" w:eastAsia="Arial" w:hAnsi="Arial"/>
          <w:sz w:val="17"/>
          <w:szCs w:val="17"/>
          <w:color w:val="auto"/>
        </w:rPr>
        <w:t>Our goodwill totaled $23.7 million at December 31, 2020, all relating to our Security Products reporting unit, which</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corresponds to our Security Products operating segment. Goodwill is required to be tested annually or at other times whenever an event occurs or circumstances change that would more-likely-than-not reduce the fair value of a reporting unit below its carrying value. We perform our annual goodwill impairment test in the third quarter of each year, or at other times whenever an event occurs or circumstances change that would more-likely-than-not reduce the fair value of a reporting unit below its carrying value. Such events or circumstances may include: adverse industry or economic trends, lower projections of profitability, or a sustained decline in our market capitalization. These events or circumstances, among other items, may be indications of potential impairment issues which are triggering events requiring the testing of an asset’s carrying value for recoverability. An entity may first assess qualitative factors to determine whether it is necessary to complete the two-step quantitative impairment test using a more-likely-than-not criteria. If an entity believes it is more-likely-than-not the fair value of a reporting unit is greater than its carrying value, including goodwill, the two-step quantitative impairment test can be bypassed. Alternatively, an entity has an unconditional option to bypass the qualitative assessment and proceed directly to performing the two-step quantitative impairment test.</w:t>
      </w:r>
    </w:p>
    <w:p>
      <w:pPr>
        <w:spacing w:after="0" w:line="70" w:lineRule="exact"/>
        <w:rPr>
          <w:rFonts w:ascii="Arial" w:cs="Arial" w:eastAsia="Arial" w:hAnsi="Arial"/>
          <w:sz w:val="17"/>
          <w:szCs w:val="17"/>
          <w:color w:val="auto"/>
        </w:rPr>
      </w:pPr>
    </w:p>
    <w:p>
      <w:pPr>
        <w:jc w:val="both"/>
        <w:ind w:left="1180"/>
        <w:spacing w:after="0" w:line="257" w:lineRule="auto"/>
        <w:rPr>
          <w:rFonts w:ascii="Arial" w:cs="Arial" w:eastAsia="Arial" w:hAnsi="Arial"/>
          <w:sz w:val="17"/>
          <w:szCs w:val="17"/>
          <w:color w:val="auto"/>
        </w:rPr>
      </w:pPr>
      <w:r>
        <w:rPr>
          <w:rFonts w:ascii="Arial" w:cs="Arial" w:eastAsia="Arial" w:hAnsi="Arial"/>
          <w:sz w:val="18"/>
          <w:szCs w:val="18"/>
          <w:color w:val="auto"/>
        </w:rPr>
        <w:t>When performing a qualitative assessment, considerable management judgment is necessary to evaluate the qualitative impact of events and circumstances on the fair value of a reporting unit. Events and circumstances considered in our impairment evaluations, such as historical profits and stability of the markets served, are consistent with factors utilized with our internal projections and operating plan. However, future events and circumstances could result in materially different findings which could result in the recognition of a material goodwill impairment.</w:t>
      </w:r>
    </w:p>
    <w:p>
      <w:pPr>
        <w:spacing w:after="0" w:line="79" w:lineRule="exact"/>
        <w:rPr>
          <w:rFonts w:ascii="Arial" w:cs="Arial" w:eastAsia="Arial" w:hAnsi="Arial"/>
          <w:sz w:val="17"/>
          <w:szCs w:val="17"/>
          <w:color w:val="auto"/>
        </w:rPr>
      </w:pPr>
    </w:p>
    <w:p>
      <w:pPr>
        <w:jc w:val="both"/>
        <w:ind w:left="1180"/>
        <w:spacing w:after="0" w:line="311" w:lineRule="auto"/>
        <w:rPr>
          <w:rFonts w:ascii="Arial" w:cs="Arial" w:eastAsia="Arial" w:hAnsi="Arial"/>
          <w:sz w:val="17"/>
          <w:szCs w:val="17"/>
          <w:color w:val="auto"/>
        </w:rPr>
      </w:pPr>
      <w:r>
        <w:rPr>
          <w:rFonts w:ascii="Arial" w:cs="Arial" w:eastAsia="Arial" w:hAnsi="Arial"/>
          <w:sz w:val="16"/>
          <w:szCs w:val="16"/>
          <w:color w:val="auto"/>
        </w:rPr>
        <w:t>Evaluations of possible impairment utilizing the two-step quantitative impairment test require us to estimate, among other factors: forecasts of future operating results, revenue growth, operating margin, tax rates, capital expenditures, depreciation, working capital, weighted average cost of capital, long-term growth rates, risk premiums, terminal values, and fair values of our reporting units and assets. The</w:t>
      </w:r>
    </w:p>
    <w:p>
      <w:pPr>
        <w:spacing w:after="0" w:line="148" w:lineRule="exact"/>
        <w:rPr>
          <w:rFonts w:ascii="Arial" w:cs="Arial" w:eastAsia="Arial" w:hAnsi="Arial"/>
          <w:sz w:val="17"/>
          <w:szCs w:val="17"/>
          <w:color w:val="auto"/>
        </w:rPr>
      </w:pPr>
    </w:p>
    <w:p>
      <w:pPr>
        <w:ind w:left="5540" w:hanging="111"/>
        <w:spacing w:after="0"/>
        <w:tabs>
          <w:tab w:leader="none" w:pos="5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jc w:val="both"/>
        <w:ind w:left="1180"/>
        <w:spacing w:after="0" w:line="257" w:lineRule="auto"/>
        <w:rPr>
          <w:sz w:val="20"/>
          <w:szCs w:val="20"/>
          <w:color w:val="auto"/>
        </w:rPr>
      </w:pPr>
      <w:r>
        <w:rPr>
          <w:rFonts w:ascii="Arial" w:cs="Arial" w:eastAsia="Arial" w:hAnsi="Arial"/>
          <w:sz w:val="18"/>
          <w:szCs w:val="18"/>
          <w:color w:val="auto"/>
        </w:rPr>
        <w:t>goodwill impairment test is subject to uncertainties arising from such events as changes in competitive conditions, the current general economic environment, material changes in growth rate assumptions that could positively or negatively impact anticipated future operating conditions and cash flows, changes in the discount rate, and the impact of strategic decisions. If any of these factors were to materially change, such change may require revaluation of our goodwill. Changes in estimates or the application of alternative assumptions could produce significantly different results.</w:t>
      </w:r>
    </w:p>
    <w:p>
      <w:pPr>
        <w:spacing w:after="0" w:line="80" w:lineRule="exact"/>
        <w:rPr>
          <w:sz w:val="20"/>
          <w:szCs w:val="20"/>
          <w:color w:val="auto"/>
        </w:rPr>
      </w:pPr>
    </w:p>
    <w:p>
      <w:pPr>
        <w:jc w:val="both"/>
        <w:ind w:left="1180"/>
        <w:spacing w:after="0" w:line="263" w:lineRule="auto"/>
        <w:rPr>
          <w:sz w:val="20"/>
          <w:szCs w:val="20"/>
          <w:color w:val="auto"/>
        </w:rPr>
      </w:pPr>
      <w:r>
        <w:rPr>
          <w:rFonts w:ascii="Arial" w:cs="Arial" w:eastAsia="Arial" w:hAnsi="Arial"/>
          <w:sz w:val="18"/>
          <w:szCs w:val="18"/>
          <w:color w:val="auto"/>
        </w:rPr>
        <w:t>In 2020, we used the qualitative assessment for our annual impairment test and determined it was not necessary to perform the quantitative goodwill impairment test, as we concluded it is more-likely- than-not the fair value of the Security Products reporting unit exceeded its carrying amount. See Notes 1 and 5 to our Consolidated Financial Statements.</w:t>
      </w:r>
    </w:p>
    <w:p>
      <w:pPr>
        <w:spacing w:after="0" w:line="76" w:lineRule="exact"/>
        <w:rPr>
          <w:sz w:val="20"/>
          <w:szCs w:val="20"/>
          <w:color w:val="auto"/>
        </w:rPr>
      </w:pPr>
    </w:p>
    <w:p>
      <w:pPr>
        <w:jc w:val="both"/>
        <w:ind w:left="1160" w:hanging="572"/>
        <w:spacing w:after="0" w:line="259"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Long-lived assets – </w:t>
      </w:r>
      <w:r>
        <w:rPr>
          <w:rFonts w:ascii="Arial" w:cs="Arial" w:eastAsia="Arial" w:hAnsi="Arial"/>
          <w:sz w:val="18"/>
          <w:szCs w:val="18"/>
          <w:color w:val="auto"/>
        </w:rPr>
        <w:t>The net book value of our property and equipment totaled $28.9 million at December 31, 2020. We assess property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for impairment only when circumstances indicate an impairment may exist. Our determination is based upon, among other things, our estimates of the amount of future net cash flows to be generated by the long-lived asset (Level 3 inputs) and our estimates of the current fair value of the asset.</w:t>
      </w:r>
    </w:p>
    <w:p>
      <w:pPr>
        <w:spacing w:after="0" w:line="78" w:lineRule="exact"/>
        <w:rPr>
          <w:rFonts w:ascii="Arial" w:cs="Arial" w:eastAsia="Arial" w:hAnsi="Arial"/>
          <w:sz w:val="18"/>
          <w:szCs w:val="18"/>
          <w:color w:val="auto"/>
        </w:rPr>
      </w:pPr>
    </w:p>
    <w:p>
      <w:pPr>
        <w:jc w:val="both"/>
        <w:ind w:left="1160"/>
        <w:spacing w:after="0" w:line="301" w:lineRule="auto"/>
        <w:rPr>
          <w:rFonts w:ascii="Arial" w:cs="Arial" w:eastAsia="Arial" w:hAnsi="Arial"/>
          <w:sz w:val="18"/>
          <w:szCs w:val="18"/>
          <w:color w:val="auto"/>
        </w:rPr>
      </w:pPr>
      <w:r>
        <w:rPr>
          <w:rFonts w:ascii="Arial" w:cs="Arial" w:eastAsia="Arial" w:hAnsi="Arial"/>
          <w:sz w:val="16"/>
          <w:szCs w:val="16"/>
          <w:color w:val="auto"/>
        </w:rPr>
        <w:t>Significant judgment is required in estimating such cash flows. Adverse changes in such estimates of future net cash flows or estimates of fair value could result in an inability to recover the carrying value of the long-lived asset, thereby possibly requiring an impairment charge to be recognized in the future. We do not assess our property and equipment for impairment unless certain impairment indicators are present. We did not evaluate any long-lived assets for impairment during 2020 because no such impairment indicators were present.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jc w:val="both"/>
        <w:ind w:firstLine="1175"/>
        <w:spacing w:after="0" w:line="255" w:lineRule="auto"/>
        <w:rPr>
          <w:sz w:val="20"/>
          <w:szCs w:val="20"/>
          <w:color w:val="auto"/>
        </w:rPr>
      </w:pPr>
      <w:r>
        <w:rPr>
          <w:rFonts w:ascii="Arial" w:cs="Arial" w:eastAsia="Arial" w:hAnsi="Arial"/>
          <w:sz w:val="18"/>
          <w:szCs w:val="18"/>
          <w:color w:val="auto"/>
        </w:rPr>
        <w:t>Our primary source of liquidity on an on-going basis is our cash flow from operating activities, which is generally used to (i) fund capital expenditures, (ii) repay short-term or long-term indebtedness incurred primarily for capital expenditures, business combinations or buying back shares of our outstanding stock and (iii) provide for the payment of dividends (if declared). From time-to-time, we may incur indebtedness to fund capital expenditures, business combinations or other investment activities. In addition, from time-to-time, we may also sell assets outside the ordinary course of business, the proceeds of which are generally used to repay indebtedness (including indebtedness which may have been collateralized by the assets sold) or to fund capital expenditures or business combinations.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Trends in cash flows from operating activities, excluding changes in assets and liabilities, for the last three years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similar to the trends in our earnings. Depreciation and amortization were comparable in each of 2020, 2019 and 2018. See Note 1 to our Consolidated Financial Statements.</w:t>
      </w:r>
    </w:p>
    <w:p>
      <w:pPr>
        <w:spacing w:after="0" w:line="184" w:lineRule="exact"/>
        <w:rPr>
          <w:sz w:val="20"/>
          <w:szCs w:val="20"/>
          <w:color w:val="auto"/>
        </w:rPr>
      </w:pPr>
    </w:p>
    <w:p>
      <w:pPr>
        <w:jc w:val="both"/>
        <w:ind w:firstLine="1175"/>
        <w:spacing w:after="0" w:line="259" w:lineRule="auto"/>
        <w:rPr>
          <w:sz w:val="20"/>
          <w:szCs w:val="20"/>
          <w:color w:val="auto"/>
        </w:rPr>
      </w:pPr>
      <w:r>
        <w:rPr>
          <w:rFonts w:ascii="Arial" w:cs="Arial" w:eastAsia="Arial" w:hAnsi="Arial"/>
          <w:sz w:val="18"/>
          <w:szCs w:val="18"/>
          <w:color w:val="auto"/>
        </w:rPr>
        <w:t>Changes in assets and liabilities result primarily from the timing of production, sales and purchases. Such changes in assets and liabilities generally tend to even out over time. However, year-to-year relative changes in assets and liabilities can significantly affect the comparability of cash flows from operating activities. Cash provided by operating activities was $15.5 million in 2020 compared to $18.5 million in 2019. The $3.0 million decrease in cash provided by operating activities was primarily the net result of:</w:t>
      </w:r>
    </w:p>
    <w:p>
      <w:pPr>
        <w:spacing w:after="0" w:line="79" w:lineRule="exact"/>
        <w:rPr>
          <w:sz w:val="20"/>
          <w:szCs w:val="20"/>
          <w:color w:val="auto"/>
        </w:rPr>
      </w:pPr>
    </w:p>
    <w:p>
      <w:pPr>
        <w:ind w:left="1160" w:hanging="423"/>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$5.8 million decrease in operating income in 2020,</w:t>
      </w:r>
    </w:p>
    <w:p>
      <w:pPr>
        <w:spacing w:after="0" w:line="144" w:lineRule="exact"/>
        <w:rPr>
          <w:rFonts w:ascii="Arial" w:cs="Arial" w:eastAsia="Arial" w:hAnsi="Arial"/>
          <w:sz w:val="18"/>
          <w:szCs w:val="18"/>
          <w:color w:val="auto"/>
        </w:rPr>
      </w:pPr>
    </w:p>
    <w:p>
      <w:pPr>
        <w:ind w:left="1160" w:hanging="423"/>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$1.0 million decrease in interest received in 2020 due to and lower average interest rates and to a lesser extent lower average loan balances on our loan to an affiliate, partially offset by the relative timing of interest received,</w:t>
      </w:r>
    </w:p>
    <w:p>
      <w:pPr>
        <w:spacing w:after="0" w:line="170" w:lineRule="exact"/>
        <w:rPr>
          <w:rFonts w:ascii="Arial" w:cs="Arial" w:eastAsia="Arial" w:hAnsi="Arial"/>
          <w:sz w:val="18"/>
          <w:szCs w:val="18"/>
          <w:color w:val="auto"/>
        </w:rPr>
      </w:pPr>
    </w:p>
    <w:p>
      <w:pPr>
        <w:ind w:left="5540" w:hanging="111"/>
        <w:spacing w:after="0"/>
        <w:tabs>
          <w:tab w:leader="none" w:pos="5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ind w:left="1160" w:hanging="423"/>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$1.8 million decrease in cash paid for taxes in 2020 due to lower operating income, and</w:t>
      </w:r>
    </w:p>
    <w:p>
      <w:pPr>
        <w:spacing w:after="0" w:line="144" w:lineRule="exact"/>
        <w:rPr>
          <w:rFonts w:ascii="Arial" w:cs="Arial" w:eastAsia="Arial" w:hAnsi="Arial"/>
          <w:sz w:val="18"/>
          <w:szCs w:val="18"/>
          <w:color w:val="auto"/>
        </w:rPr>
      </w:pPr>
    </w:p>
    <w:p>
      <w:pPr>
        <w:ind w:left="1160" w:hanging="423"/>
        <w:spacing w:after="0"/>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higher amount of net cash provided by relative changes in inventories, receivables, payables and non-tax accruals of $2.2 million.</w:t>
      </w:r>
    </w:p>
    <w:p>
      <w:pPr>
        <w:spacing w:after="0" w:line="264" w:lineRule="exact"/>
        <w:rPr>
          <w:sz w:val="20"/>
          <w:szCs w:val="20"/>
          <w:color w:val="auto"/>
        </w:rPr>
      </w:pPr>
    </w:p>
    <w:p>
      <w:pPr>
        <w:ind w:right="20" w:firstLine="1175"/>
        <w:spacing w:after="0" w:line="277" w:lineRule="auto"/>
        <w:rPr>
          <w:sz w:val="20"/>
          <w:szCs w:val="20"/>
          <w:color w:val="auto"/>
        </w:rPr>
      </w:pPr>
      <w:r>
        <w:rPr>
          <w:rFonts w:ascii="Arial" w:cs="Arial" w:eastAsia="Arial" w:hAnsi="Arial"/>
          <w:sz w:val="18"/>
          <w:szCs w:val="18"/>
          <w:color w:val="auto"/>
        </w:rPr>
        <w:t>Cash provided by operating activities was $18.5 million in 2019 compared to $17.2 million in 2018. The $1.3 million increase in cash provided by operating activities was primarily the net result of:</w:t>
      </w:r>
    </w:p>
    <w:p>
      <w:pPr>
        <w:spacing w:after="0" w:line="62" w:lineRule="exact"/>
        <w:rPr>
          <w:sz w:val="20"/>
          <w:szCs w:val="20"/>
          <w:color w:val="auto"/>
        </w:rPr>
      </w:pPr>
    </w:p>
    <w:p>
      <w:pPr>
        <w:ind w:left="1160" w:hanging="423"/>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$1.1 million increase in interest received in 2019,</w:t>
      </w:r>
    </w:p>
    <w:p>
      <w:pPr>
        <w:spacing w:after="0" w:line="144" w:lineRule="exact"/>
        <w:rPr>
          <w:rFonts w:ascii="Arial" w:cs="Arial" w:eastAsia="Arial" w:hAnsi="Arial"/>
          <w:sz w:val="18"/>
          <w:szCs w:val="18"/>
          <w:color w:val="auto"/>
        </w:rPr>
      </w:pPr>
    </w:p>
    <w:p>
      <w:pPr>
        <w:ind w:left="1160" w:hanging="423"/>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$0.7 million increase in cash paid for taxes in 2019 due to the relative timing of payments, and</w:t>
      </w:r>
    </w:p>
    <w:p>
      <w:pPr>
        <w:spacing w:after="0" w:line="144" w:lineRule="exact"/>
        <w:rPr>
          <w:rFonts w:ascii="Arial" w:cs="Arial" w:eastAsia="Arial" w:hAnsi="Arial"/>
          <w:sz w:val="18"/>
          <w:szCs w:val="18"/>
          <w:color w:val="auto"/>
        </w:rPr>
      </w:pPr>
    </w:p>
    <w:p>
      <w:pPr>
        <w:ind w:left="1160" w:hanging="423"/>
        <w:spacing w:after="0"/>
        <w:tabs>
          <w:tab w:leader="none" w:pos="11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lower amount of net cash used by relative changes in inventories, receivables, payables and non-tax accruals of $0.6 million.</w:t>
      </w:r>
    </w:p>
    <w:p>
      <w:pPr>
        <w:spacing w:after="0" w:line="156" w:lineRule="exact"/>
        <w:rPr>
          <w:sz w:val="20"/>
          <w:szCs w:val="20"/>
          <w:color w:val="auto"/>
        </w:rPr>
      </w:pPr>
    </w:p>
    <w:p>
      <w:pPr>
        <w:jc w:val="both"/>
        <w:ind w:firstLine="742"/>
        <w:spacing w:after="0" w:line="263" w:lineRule="auto"/>
        <w:rPr>
          <w:sz w:val="20"/>
          <w:szCs w:val="20"/>
          <w:color w:val="auto"/>
        </w:rPr>
      </w:pPr>
      <w:r>
        <w:rPr>
          <w:rFonts w:ascii="Arial" w:cs="Arial" w:eastAsia="Arial" w:hAnsi="Arial"/>
          <w:sz w:val="18"/>
          <w:szCs w:val="18"/>
          <w:color w:val="auto"/>
        </w:rPr>
        <w:t>Relative changes in working capital can have a significant effect on cash flows from operating activities. As shown below, our total average days sales outstanding decreased from December 31, 2019 to December 31, 2020 primarily as a result of the timing of sales and collections in the last month of 2020 as compared to 2019. For comparative purposes, we have provided 2018 numbers below.</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Days Sales Outstanding:</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1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480" w:type="dxa"/>
            <w:vAlign w:val="bottom"/>
            <w:gridSpan w:val="3"/>
            <w:vMerge w:val="continue"/>
          </w:tcPr>
          <w:p>
            <w:pPr>
              <w:spacing w:after="0"/>
              <w:rPr>
                <w:sz w:val="14"/>
                <w:szCs w:val="14"/>
                <w:color w:val="auto"/>
              </w:rPr>
            </w:pPr>
          </w:p>
        </w:tc>
        <w:tc>
          <w:tcPr>
            <w:tcW w:w="1160" w:type="dxa"/>
            <w:vAlign w:val="bottom"/>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160" w:type="dxa"/>
            <w:vAlign w:val="bottom"/>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Security Products</w:t>
            </w:r>
          </w:p>
        </w:tc>
        <w:tc>
          <w:tcPr>
            <w:tcW w:w="120" w:type="dxa"/>
            <w:vAlign w:val="bottom"/>
          </w:tcPr>
          <w:p>
            <w:pPr>
              <w:spacing w:after="0"/>
              <w:rPr>
                <w:sz w:val="16"/>
                <w:szCs w:val="16"/>
                <w:color w:val="auto"/>
              </w:rPr>
            </w:pPr>
          </w:p>
        </w:tc>
        <w:tc>
          <w:tcPr>
            <w:tcW w:w="116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w w:val="87"/>
              </w:rPr>
              <w:t>43 Days</w:t>
            </w:r>
          </w:p>
        </w:tc>
        <w:tc>
          <w:tcPr>
            <w:tcW w:w="200" w:type="dxa"/>
            <w:vAlign w:val="bottom"/>
          </w:tcPr>
          <w:p>
            <w:pPr>
              <w:spacing w:after="0"/>
              <w:rPr>
                <w:sz w:val="16"/>
                <w:szCs w:val="16"/>
                <w:color w:val="auto"/>
              </w:rPr>
            </w:pPr>
          </w:p>
        </w:tc>
        <w:tc>
          <w:tcPr>
            <w:tcW w:w="1140" w:type="dxa"/>
            <w:vAlign w:val="bottom"/>
            <w:tcBorders>
              <w:top w:val="single" w:sz="8" w:color="auto"/>
            </w:tcBorders>
          </w:tcPr>
          <w:p>
            <w:pPr>
              <w:ind w:left="540"/>
              <w:spacing w:after="0" w:line="195" w:lineRule="exact"/>
              <w:rPr>
                <w:sz w:val="20"/>
                <w:szCs w:val="20"/>
                <w:color w:val="auto"/>
              </w:rPr>
            </w:pPr>
            <w:r>
              <w:rPr>
                <w:rFonts w:ascii="Arial" w:cs="Arial" w:eastAsia="Arial" w:hAnsi="Arial"/>
                <w:sz w:val="18"/>
                <w:szCs w:val="18"/>
                <w:color w:val="auto"/>
                <w:w w:val="87"/>
              </w:rPr>
              <w:t>38 Days</w:t>
            </w:r>
          </w:p>
        </w:tc>
        <w:tc>
          <w:tcPr>
            <w:tcW w:w="120" w:type="dxa"/>
            <w:vAlign w:val="bottom"/>
          </w:tcPr>
          <w:p>
            <w:pPr>
              <w:spacing w:after="0"/>
              <w:rPr>
                <w:sz w:val="16"/>
                <w:szCs w:val="16"/>
                <w:color w:val="auto"/>
              </w:rPr>
            </w:pPr>
          </w:p>
        </w:tc>
        <w:tc>
          <w:tcPr>
            <w:tcW w:w="1160" w:type="dxa"/>
            <w:vAlign w:val="bottom"/>
            <w:tcBorders>
              <w:top w:val="single" w:sz="8" w:color="auto"/>
            </w:tcBorders>
          </w:tcPr>
          <w:p>
            <w:pPr>
              <w:ind w:left="580"/>
              <w:spacing w:after="0" w:line="195" w:lineRule="exact"/>
              <w:rPr>
                <w:sz w:val="20"/>
                <w:szCs w:val="20"/>
                <w:color w:val="auto"/>
              </w:rPr>
            </w:pPr>
            <w:r>
              <w:rPr>
                <w:rFonts w:ascii="Arial" w:cs="Arial" w:eastAsia="Arial" w:hAnsi="Arial"/>
                <w:sz w:val="18"/>
                <w:szCs w:val="18"/>
                <w:color w:val="auto"/>
                <w:w w:val="84"/>
              </w:rPr>
              <w:t>35 Days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Marine Components</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30 Days</w:t>
            </w: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rPr>
              <w:t>27 Days</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w w:val="87"/>
              </w:rPr>
              <w:t>24 Days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ind w:left="560"/>
              <w:spacing w:after="0"/>
              <w:rPr>
                <w:sz w:val="20"/>
                <w:szCs w:val="20"/>
                <w:color w:val="auto"/>
              </w:rPr>
            </w:pPr>
            <w:r>
              <w:rPr>
                <w:rFonts w:ascii="Arial" w:cs="Arial" w:eastAsia="Arial" w:hAnsi="Arial"/>
                <w:sz w:val="18"/>
                <w:szCs w:val="18"/>
                <w:color w:val="auto"/>
              </w:rPr>
              <w:t>40 Days</w:t>
            </w: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rPr>
              <w:t>36 Days</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w w:val="87"/>
              </w:rPr>
              <w:t>33 Days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color w:val="auto"/>
        </w:rPr>
        <w:t>As shown below, our average number of days in inventory decreased from December 31, 2019 to December 31, 2020, particularly for Marine Components. The average number of days in inventory for Marine Components decreased primarily as a result of rapid sales growth in the fourth quarter of 2020. For comparative purposes, we have provided 2018 numbers below.</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Days in Inventory:</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480" w:type="dxa"/>
            <w:vAlign w:val="bottom"/>
            <w:gridSpan w:val="3"/>
            <w:vMerge w:val="continue"/>
          </w:tcPr>
          <w:p>
            <w:pPr>
              <w:spacing w:after="0"/>
              <w:rPr>
                <w:sz w:val="14"/>
                <w:szCs w:val="14"/>
                <w:color w:val="auto"/>
              </w:rPr>
            </w:pPr>
          </w:p>
        </w:tc>
        <w:tc>
          <w:tcPr>
            <w:tcW w:w="1160" w:type="dxa"/>
            <w:vAlign w:val="bottom"/>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160" w:type="dxa"/>
            <w:vAlign w:val="bottom"/>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160" w:type="dxa"/>
            <w:vAlign w:val="bottom"/>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Security Products</w:t>
            </w:r>
          </w:p>
        </w:tc>
        <w:tc>
          <w:tcPr>
            <w:tcW w:w="120" w:type="dxa"/>
            <w:vAlign w:val="bottom"/>
          </w:tcPr>
          <w:p>
            <w:pPr>
              <w:spacing w:after="0"/>
              <w:rPr>
                <w:sz w:val="16"/>
                <w:szCs w:val="16"/>
                <w:color w:val="auto"/>
              </w:rPr>
            </w:pPr>
          </w:p>
        </w:tc>
        <w:tc>
          <w:tcPr>
            <w:tcW w:w="116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w w:val="87"/>
              </w:rPr>
              <w:t>77 Days</w:t>
            </w:r>
          </w:p>
        </w:tc>
        <w:tc>
          <w:tcPr>
            <w:tcW w:w="180" w:type="dxa"/>
            <w:vAlign w:val="bottom"/>
          </w:tcPr>
          <w:p>
            <w:pPr>
              <w:spacing w:after="0"/>
              <w:rPr>
                <w:sz w:val="16"/>
                <w:szCs w:val="16"/>
                <w:color w:val="auto"/>
              </w:rPr>
            </w:pP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76 Days</w:t>
            </w:r>
          </w:p>
        </w:tc>
        <w:tc>
          <w:tcPr>
            <w:tcW w:w="120" w:type="dxa"/>
            <w:vAlign w:val="bottom"/>
          </w:tcPr>
          <w:p>
            <w:pPr>
              <w:spacing w:after="0"/>
              <w:rPr>
                <w:sz w:val="16"/>
                <w:szCs w:val="16"/>
                <w:color w:val="auto"/>
              </w:rPr>
            </w:pPr>
          </w:p>
        </w:tc>
        <w:tc>
          <w:tcPr>
            <w:tcW w:w="1160" w:type="dxa"/>
            <w:vAlign w:val="bottom"/>
            <w:tcBorders>
              <w:top w:val="single" w:sz="8" w:color="auto"/>
            </w:tcBorders>
          </w:tcPr>
          <w:p>
            <w:pPr>
              <w:ind w:left="580"/>
              <w:spacing w:after="0" w:line="195" w:lineRule="exact"/>
              <w:rPr>
                <w:sz w:val="20"/>
                <w:szCs w:val="20"/>
                <w:color w:val="auto"/>
              </w:rPr>
            </w:pPr>
            <w:r>
              <w:rPr>
                <w:rFonts w:ascii="Arial" w:cs="Arial" w:eastAsia="Arial" w:hAnsi="Arial"/>
                <w:sz w:val="18"/>
                <w:szCs w:val="18"/>
                <w:color w:val="auto"/>
                <w:w w:val="84"/>
              </w:rPr>
              <w:t>75 Days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Marine Components</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91 Days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100 Days</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w w:val="87"/>
              </w:rPr>
              <w:t>75 Days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ind w:left="560"/>
              <w:spacing w:after="0"/>
              <w:rPr>
                <w:sz w:val="20"/>
                <w:szCs w:val="20"/>
                <w:color w:val="auto"/>
              </w:rPr>
            </w:pPr>
            <w:r>
              <w:rPr>
                <w:rFonts w:ascii="Arial" w:cs="Arial" w:eastAsia="Arial" w:hAnsi="Arial"/>
                <w:sz w:val="18"/>
                <w:szCs w:val="18"/>
                <w:color w:val="auto"/>
              </w:rPr>
              <w:t>80 Days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81 Days</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w w:val="87"/>
              </w:rPr>
              <w:t>75 Days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1175"/>
        <w:spacing w:after="0" w:line="255"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Capital expenditures have primarily emphasized improving our manufacturing facilities and investing in</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equipment, utilizing new technologies and increased automation of the manufacturing process, to provide for increased productivity and efficiency in order to meet expected customer demand and properly maintain our facilities and technology infrastructure. Capital expenditures were $3.1 million in 2018, $3.2 million in 2019 and $1.7 million in 2020. As a result of the COVID-19 pandemic, we limited 2020 expenditures to those required to meet our expected customer demand and those required to properly maintain our facilities and technology infrastructure. See Note 2 to our Consolidated Financial Statements.</w:t>
      </w:r>
    </w:p>
    <w:p>
      <w:pPr>
        <w:spacing w:after="0" w:line="192" w:lineRule="exact"/>
        <w:rPr>
          <w:sz w:val="20"/>
          <w:szCs w:val="20"/>
          <w:color w:val="auto"/>
        </w:rPr>
      </w:pPr>
    </w:p>
    <w:p>
      <w:pPr>
        <w:jc w:val="both"/>
        <w:ind w:right="20" w:firstLine="1175"/>
        <w:spacing w:after="0" w:line="308" w:lineRule="auto"/>
        <w:rPr>
          <w:sz w:val="20"/>
          <w:szCs w:val="20"/>
          <w:color w:val="auto"/>
        </w:rPr>
      </w:pPr>
      <w:r>
        <w:rPr>
          <w:rFonts w:ascii="Arial" w:cs="Arial" w:eastAsia="Arial" w:hAnsi="Arial"/>
          <w:sz w:val="17"/>
          <w:szCs w:val="17"/>
          <w:color w:val="auto"/>
        </w:rPr>
        <w:t>Capital expenditures for 2021 are estimated at approximately $4.0 million primarily to maintain and improve the cost-effectiveness of our facilities and equipment. Capital spending for 2021 is expected to be funded through cash on hand and cash generated from operations.</w:t>
      </w:r>
    </w:p>
    <w:p>
      <w:pPr>
        <w:spacing w:after="0" w:line="146" w:lineRule="exact"/>
        <w:rPr>
          <w:sz w:val="20"/>
          <w:szCs w:val="20"/>
          <w:color w:val="auto"/>
        </w:rPr>
      </w:pPr>
    </w:p>
    <w:p>
      <w:pPr>
        <w:jc w:val="both"/>
        <w:ind w:firstLine="1175"/>
        <w:spacing w:after="0" w:line="273" w:lineRule="auto"/>
        <w:rPr>
          <w:sz w:val="20"/>
          <w:szCs w:val="20"/>
          <w:color w:val="auto"/>
        </w:rPr>
      </w:pPr>
      <w:r>
        <w:rPr>
          <w:rFonts w:ascii="Arial" w:cs="Arial" w:eastAsia="Arial" w:hAnsi="Arial"/>
          <w:sz w:val="17"/>
          <w:szCs w:val="17"/>
          <w:color w:val="auto"/>
        </w:rPr>
        <w:t>We have entered into an unsecured revolving demand promissory note with Valhi whereby we have agreed to loan Valhi up to $40 million. Our loan to Valhi, as amended, bears interest at prime rate plus 1.00%, payable quarterly, with all principal due on demand, but in any event no earlier than December 31, 2022. Loans made to Valhi at any time under the agreement are at our discretion. During 2019, Valhi repaid a net $5.9 million under the promissory note for an outstanding balance of $28.1 million at December 31, 2019 ($34.9 million of gross borrowings and $40.8 million of gross repayments). During 2020, Valhi borrowed a net $1.4 million under the promissory note for an outstanding balance of $29.5 million at December 31, 2020 ($34.8 million of gross borrowings and $33.4 million of gross repayments). See Note 9 to our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both"/>
        <w:ind w:firstLine="1175"/>
        <w:spacing w:after="0" w:line="293"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dividends paid totaled $2.5 million ($.20 per share, or $.05 per share per quarter) in 2018, $3.5 million ($.28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or $.07 per share per quarter) in 2019, and $5.0 million ($.40 per share, or $.10 per share per quarter) in 2020. On March 3, 2021 our board of directors declared a first quarter 2021 dividend of $.20 per share, to be paid on March 23, 2021 to CompX stockholders of record as of March 15, 2021.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Cash Requirements</w:t>
      </w:r>
    </w:p>
    <w:p>
      <w:pPr>
        <w:spacing w:after="0" w:line="117" w:lineRule="exact"/>
        <w:rPr>
          <w:sz w:val="20"/>
          <w:szCs w:val="20"/>
          <w:color w:val="auto"/>
        </w:rPr>
      </w:pPr>
    </w:p>
    <w:p>
      <w:pPr>
        <w:jc w:val="both"/>
        <w:ind w:firstLine="1175"/>
        <w:spacing w:after="0" w:line="286" w:lineRule="auto"/>
        <w:rPr>
          <w:sz w:val="20"/>
          <w:szCs w:val="20"/>
          <w:color w:val="auto"/>
        </w:rPr>
      </w:pPr>
      <w:r>
        <w:rPr>
          <w:rFonts w:ascii="Arial" w:cs="Arial" w:eastAsia="Arial" w:hAnsi="Arial"/>
          <w:sz w:val="17"/>
          <w:szCs w:val="17"/>
          <w:color w:val="auto"/>
        </w:rPr>
        <w:t>We believe cash generated from operations together with cash on hand will be sufficient to meet our liquidity needs for working capital, capital expenditures, debt service and dividends (if declared) for the next twelve months and our long term obligations for the next five years. To the extent that actual operating results or other developments differ materially from our expectations, our liquidity could be adversely affected.</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All of our $70.6 million aggregate cash and cash equivalents at December 31, 2020 were held in the U.S.</w:t>
      </w:r>
    </w:p>
    <w:p>
      <w:pPr>
        <w:spacing w:after="0" w:line="225" w:lineRule="exact"/>
        <w:rPr>
          <w:sz w:val="20"/>
          <w:szCs w:val="20"/>
          <w:color w:val="auto"/>
        </w:rPr>
      </w:pPr>
    </w:p>
    <w:p>
      <w:pPr>
        <w:jc w:val="both"/>
        <w:ind w:firstLine="1175"/>
        <w:spacing w:after="0" w:line="293" w:lineRule="auto"/>
        <w:rPr>
          <w:sz w:val="20"/>
          <w:szCs w:val="20"/>
          <w:color w:val="auto"/>
        </w:rPr>
      </w:pPr>
      <w:r>
        <w:rPr>
          <w:rFonts w:ascii="Arial" w:cs="Arial" w:eastAsia="Arial" w:hAnsi="Arial"/>
          <w:sz w:val="16"/>
          <w:szCs w:val="16"/>
          <w:color w:val="auto"/>
        </w:rPr>
        <w:t>We periodically evaluate our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repurchase shares of our common stock,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financing arrangements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Neither we nor any of our subsidiaries or affiliates are parties to any off-balance sheet financing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color w:val="auto"/>
        </w:rPr>
        <w:t>As more fully described in the notes to the Consolidated Financial Statements, we are a party to various agreements that contractually and unconditionally commit us to pay certain amounts in the future. See Note 10 to our Consolidated Financial Statements. The following table summarizes such contractual commitments as of December 31, 2020 by the type and date of payment.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Payments due by period</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2"/>
              </w:rPr>
              <w:t>2022-2023</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8"/>
              </w:rPr>
              <w:t>2024-2025</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4"/>
                <w:szCs w:val="14"/>
                <w:b w:val="1"/>
                <w:bCs w:val="1"/>
                <w:color w:val="auto"/>
              </w:rPr>
              <w:t>2026 and</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222"/>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13,142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13,124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Fixed asset acquisitions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53"/>
        </w:trPr>
        <w:tc>
          <w:tcPr>
            <w:tcW w:w="4620" w:type="dxa"/>
            <w:vAlign w:val="bottom"/>
          </w:tcPr>
          <w:p>
            <w:pPr>
              <w:spacing w:after="0"/>
              <w:rPr>
                <w:sz w:val="20"/>
                <w:szCs w:val="20"/>
                <w:color w:val="auto"/>
              </w:rPr>
            </w:pPr>
            <w:r>
              <w:rPr>
                <w:rFonts w:ascii="Arial" w:cs="Arial" w:eastAsia="Arial" w:hAnsi="Arial"/>
                <w:sz w:val="18"/>
                <w:szCs w:val="18"/>
                <w:color w:val="auto"/>
              </w:rPr>
              <w:t>Total contractual cash obligations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14,483</w:t>
            </w:r>
          </w:p>
        </w:tc>
        <w:tc>
          <w:tcPr>
            <w:tcW w:w="280" w:type="dxa"/>
            <w:vAlign w:val="bottom"/>
          </w:tcPr>
          <w:p>
            <w:pPr>
              <w:spacing w:after="0"/>
              <w:rPr>
                <w:sz w:val="24"/>
                <w:szCs w:val="24"/>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14,462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175"/>
        <w:spacing w:after="0" w:line="259" w:lineRule="auto"/>
        <w:rPr>
          <w:sz w:val="20"/>
          <w:szCs w:val="20"/>
          <w:color w:val="auto"/>
        </w:rPr>
      </w:pPr>
      <w:r>
        <w:rPr>
          <w:rFonts w:ascii="Arial" w:cs="Arial" w:eastAsia="Arial" w:hAnsi="Arial"/>
          <w:sz w:val="18"/>
          <w:szCs w:val="18"/>
          <w:color w:val="auto"/>
        </w:rPr>
        <w:t>The timing and amount shown for our commitments related to operating leases and fixed asset acquisitions are based upon the contractual payment amount and the contractual payment date for those commitments. The timing and amount shown for purchase obligations, which consist of all open purchase orders and contractual obligations (primarily commitments to purchase raw materials), is also based on the contractual payment amount and the contractual payment date for those commitments. The amount shown for income taxes 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the consolidated amount of income taxes payable at December 31, 2020, which is assumed to be paid during 2021. Fixed asset acquisitions include firm purchase commitments for capital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See Note 12 to our Consolidated Financial Statements.</w:t>
      </w:r>
    </w:p>
    <w:p>
      <w:pPr>
        <w:spacing w:after="0" w:line="32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are exposed to market risk from changes in interest rates and raw materials prices.</w:t>
      </w:r>
    </w:p>
    <w:p>
      <w:pPr>
        <w:spacing w:after="0" w:line="252"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i w:val="1"/>
          <w:iCs w:val="1"/>
          <w:color w:val="auto"/>
        </w:rPr>
        <w:t>Interest rates</w:t>
      </w:r>
      <w:r>
        <w:rPr>
          <w:rFonts w:ascii="Arial" w:cs="Arial" w:eastAsia="Arial" w:hAnsi="Arial"/>
          <w:sz w:val="18"/>
          <w:szCs w:val="18"/>
          <w:color w:val="auto"/>
        </w:rPr>
        <w:t>. We are exposed to market risk from changes in interest rates, primarily related to our note receivable from affiliate.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principal amount of the note receivable from affiliate of $29.5 million at December 31, 2020 bears interest at prime plus 1.0% (4.25% at December 31, 2020). We received interest income of $1.5 million from the note during 2020.</w:t>
      </w:r>
    </w:p>
    <w:p>
      <w:pPr>
        <w:spacing w:after="0" w:line="184" w:lineRule="exact"/>
        <w:rPr>
          <w:sz w:val="20"/>
          <w:szCs w:val="20"/>
          <w:color w:val="auto"/>
        </w:rPr>
      </w:pPr>
    </w:p>
    <w:p>
      <w:pPr>
        <w:jc w:val="both"/>
        <w:ind w:firstLine="1175"/>
        <w:spacing w:after="0" w:line="279" w:lineRule="auto"/>
        <w:rPr>
          <w:sz w:val="20"/>
          <w:szCs w:val="20"/>
          <w:color w:val="auto"/>
        </w:rPr>
      </w:pPr>
      <w:r>
        <w:rPr>
          <w:rFonts w:ascii="Arial" w:cs="Arial" w:eastAsia="Arial" w:hAnsi="Arial"/>
          <w:sz w:val="17"/>
          <w:szCs w:val="17"/>
          <w:i w:val="1"/>
          <w:iCs w:val="1"/>
          <w:color w:val="auto"/>
        </w:rPr>
        <w:t xml:space="preserve">Raw materials. </w:t>
      </w:r>
      <w:r>
        <w:rPr>
          <w:rFonts w:ascii="Arial" w:cs="Arial" w:eastAsia="Arial" w:hAnsi="Arial"/>
          <w:sz w:val="17"/>
          <w:szCs w:val="17"/>
          <w:color w:val="auto"/>
        </w:rPr>
        <w:t>We will occasionally enter into short term commodity-related raw material supply arrangements to mitigate the impact of</w:t>
      </w:r>
      <w:r>
        <w:rPr>
          <w:rFonts w:ascii="Arial" w:cs="Arial" w:eastAsia="Arial" w:hAnsi="Arial"/>
          <w:sz w:val="17"/>
          <w:szCs w:val="17"/>
          <w:i w:val="1"/>
          <w:iCs w:val="1"/>
          <w:color w:val="auto"/>
        </w:rPr>
        <w:t xml:space="preserve"> </w:t>
      </w:r>
      <w:r>
        <w:rPr>
          <w:rFonts w:ascii="Arial" w:cs="Arial" w:eastAsia="Arial" w:hAnsi="Arial"/>
          <w:sz w:val="17"/>
          <w:szCs w:val="17"/>
          <w:color w:val="auto"/>
        </w:rPr>
        <w:t>future increases in commodity-related raw material costs. We do not have long-term supply agreements for our raw material requirements because either we believe the risk of unavailability of those raw materials is low and we believe the downside risk of price volatility to be too great or because long-term supply agreements for those materials are generally not available. We do not engage in commodity raw material hedging programs.</w:t>
      </w:r>
    </w:p>
    <w:p>
      <w:pPr>
        <w:spacing w:after="0" w:line="27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The information called for by this Item is contained in a separate section of this Annual Report. See “Index of Financial Statements” (page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F-1).</w:t>
      </w:r>
    </w:p>
    <w:p>
      <w:pPr>
        <w:spacing w:after="0" w:line="31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jc w:val="both"/>
        <w:ind w:firstLine="1175"/>
        <w:spacing w:after="0" w:line="270" w:lineRule="auto"/>
        <w:rPr>
          <w:sz w:val="20"/>
          <w:szCs w:val="20"/>
          <w:color w:val="auto"/>
        </w:rPr>
      </w:pPr>
      <w:r>
        <w:rPr>
          <w:rFonts w:ascii="Arial" w:cs="Arial" w:eastAsia="Arial" w:hAnsi="Arial"/>
          <w:sz w:val="17"/>
          <w:szCs w:val="17"/>
          <w:b w:val="1"/>
          <w:bCs w:val="1"/>
          <w:color w:val="auto"/>
        </w:rPr>
        <w:t xml:space="preserve">Evaluation of Disclosure Controls and Procedures. </w:t>
      </w:r>
      <w:r>
        <w:rPr>
          <w:rFonts w:ascii="Arial" w:cs="Arial" w:eastAsia="Arial" w:hAnsi="Arial"/>
          <w:sz w:val="17"/>
          <w:szCs w:val="17"/>
          <w:color w:val="auto"/>
        </w:rPr>
        <w:t>We maintain disclosure controls and procedures which, as defined in Exchange Act</w:t>
      </w:r>
      <w:r>
        <w:rPr>
          <w:rFonts w:ascii="Arial" w:cs="Arial" w:eastAsia="Arial" w:hAnsi="Arial"/>
          <w:sz w:val="17"/>
          <w:szCs w:val="17"/>
          <w:b w:val="1"/>
          <w:bCs w:val="1"/>
          <w:color w:val="auto"/>
        </w:rPr>
        <w:t xml:space="preserve"> </w:t>
      </w:r>
      <w:r>
        <w:rPr>
          <w:rFonts w:ascii="Arial" w:cs="Arial" w:eastAsia="Arial" w:hAnsi="Arial"/>
          <w:sz w:val="17"/>
          <w:szCs w:val="17"/>
          <w:color w:val="auto"/>
        </w:rPr>
        <w:t>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Vice President and Chief Financial Officer, has evaluated the design and operating effectiveness of our disclosure controls and procedures as of December 31, 2020. Based upon their evaluation, these executive officers have concluded that our disclosure controls and procedures are effective as of the date of such evaluation.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both"/>
        <w:ind w:firstLine="1175"/>
        <w:spacing w:after="0" w:line="298" w:lineRule="auto"/>
        <w:rPr>
          <w:sz w:val="20"/>
          <w:szCs w:val="20"/>
          <w:color w:val="auto"/>
        </w:rPr>
      </w:pPr>
      <w:r>
        <w:rPr>
          <w:rFonts w:ascii="Arial" w:cs="Arial" w:eastAsia="Arial" w:hAnsi="Arial"/>
          <w:sz w:val="16"/>
          <w:szCs w:val="16"/>
          <w:b w:val="1"/>
          <w:bCs w:val="1"/>
          <w:color w:val="auto"/>
        </w:rPr>
        <w:t xml:space="preserve">Management’s Report on Internal Control Over Financial Reporting. </w:t>
      </w:r>
      <w:r>
        <w:rPr>
          <w:rFonts w:ascii="Arial" w:cs="Arial" w:eastAsia="Arial" w:hAnsi="Arial"/>
          <w:sz w:val="16"/>
          <w:szCs w:val="16"/>
          <w:color w:val="auto"/>
        </w:rPr>
        <w:t>Our management is responsible for establishing and</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maintaining 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(“GAAP”), and includes those policies and procedures that:</w:t>
      </w:r>
    </w:p>
    <w:p>
      <w:pPr>
        <w:spacing w:after="0" w:line="50"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8" w:lineRule="exact"/>
        <w:rPr>
          <w:rFonts w:ascii="Arial" w:cs="Arial" w:eastAsia="Arial" w:hAnsi="Arial"/>
          <w:sz w:val="17"/>
          <w:szCs w:val="17"/>
          <w:color w:val="auto"/>
        </w:rPr>
      </w:pPr>
    </w:p>
    <w:p>
      <w:pPr>
        <w:ind w:left="880" w:right="20" w:hanging="440"/>
        <w:spacing w:after="0" w:line="342"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170" w:lineRule="exact"/>
        <w:rPr>
          <w:sz w:val="20"/>
          <w:szCs w:val="20"/>
          <w:color w:val="auto"/>
        </w:rPr>
      </w:pPr>
    </w:p>
    <w:p>
      <w:pPr>
        <w:jc w:val="both"/>
        <w:ind w:firstLine="1175"/>
        <w:spacing w:after="0" w:line="259" w:lineRule="auto"/>
        <w:rPr>
          <w:sz w:val="20"/>
          <w:szCs w:val="20"/>
          <w:color w:val="auto"/>
        </w:rPr>
      </w:pPr>
      <w:r>
        <w:rPr>
          <w:rFonts w:ascii="Arial" w:cs="Arial" w:eastAsia="Arial" w:hAnsi="Arial"/>
          <w:sz w:val="18"/>
          <w:szCs w:val="18"/>
          <w:color w:val="auto"/>
        </w:rPr>
        <w:t>Our evaluation of the effectiveness of our internal control over financial reporting is based upon the framework established in Internal Control – Integrated Framework issued by the Committee of Sponsoring Organizations of the Treadway Commission in 2013 (commonly referred to as the “2013 COSO” framework). Based on our evaluation under that framework, our management has concluded that our internal control over financial reporting was effective as of December 31, 2020.</w:t>
      </w:r>
    </w:p>
    <w:p>
      <w:pPr>
        <w:spacing w:after="0" w:line="187"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rules of the SEC that permit us to provide only management’s report in this annual report.</w:t>
      </w:r>
    </w:p>
    <w:p>
      <w:pPr>
        <w:spacing w:after="0" w:line="180" w:lineRule="exact"/>
        <w:rPr>
          <w:sz w:val="20"/>
          <w:szCs w:val="20"/>
          <w:color w:val="auto"/>
        </w:rPr>
      </w:pPr>
    </w:p>
    <w:p>
      <w:pPr>
        <w:jc w:val="both"/>
        <w:ind w:firstLine="1175"/>
        <w:spacing w:after="0" w:line="266" w:lineRule="auto"/>
        <w:rPr>
          <w:sz w:val="20"/>
          <w:szCs w:val="20"/>
          <w:color w:val="auto"/>
        </w:rPr>
      </w:pPr>
      <w:r>
        <w:rPr>
          <w:rFonts w:ascii="Arial" w:cs="Arial" w:eastAsia="Arial" w:hAnsi="Arial"/>
          <w:sz w:val="18"/>
          <w:szCs w:val="18"/>
          <w:b w:val="1"/>
          <w:bCs w:val="1"/>
          <w:color w:val="auto"/>
        </w:rPr>
        <w:t>Changes in Internal Control Over Financial Reporting</w:t>
      </w:r>
      <w:r>
        <w:rPr>
          <w:rFonts w:ascii="Arial" w:cs="Arial" w:eastAsia="Arial" w:hAnsi="Arial"/>
          <w:sz w:val="18"/>
          <w:szCs w:val="18"/>
          <w:color w:val="auto"/>
        </w:rPr>
        <w:t>. There have been no changes in our internal control over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quarter ended December 31, 2020 that have materially affected, or are reasonably likely to materially affect, our internal control over financial reporting.</w:t>
      </w:r>
    </w:p>
    <w:p>
      <w:pPr>
        <w:spacing w:after="0" w:line="176" w:lineRule="exact"/>
        <w:rPr>
          <w:sz w:val="20"/>
          <w:szCs w:val="20"/>
          <w:color w:val="auto"/>
        </w:rPr>
      </w:pPr>
    </w:p>
    <w:p>
      <w:pPr>
        <w:jc w:val="both"/>
        <w:ind w:firstLine="1175"/>
        <w:spacing w:after="0" w:line="266" w:lineRule="auto"/>
        <w:rPr>
          <w:sz w:val="20"/>
          <w:szCs w:val="20"/>
          <w:color w:val="auto"/>
        </w:rPr>
      </w:pPr>
      <w:r>
        <w:rPr>
          <w:rFonts w:ascii="Arial" w:cs="Arial" w:eastAsia="Arial" w:hAnsi="Arial"/>
          <w:sz w:val="18"/>
          <w:szCs w:val="18"/>
          <w:b w:val="1"/>
          <w:bCs w:val="1"/>
          <w:color w:val="auto"/>
        </w:rPr>
        <w:t xml:space="preserve">Certifications. </w:t>
      </w:r>
      <w:r>
        <w:rPr>
          <w:rFonts w:ascii="Arial" w:cs="Arial" w:eastAsia="Arial" w:hAnsi="Arial"/>
          <w:sz w:val="18"/>
          <w:szCs w:val="18"/>
          <w:color w:val="auto"/>
        </w:rPr>
        <w:t>Our chief executive officer and chief financial officer are required to, among other things, quarterly file a certification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SEC regarding the quality of our public disclosures, as required by Section 302 of the Sarbanes-Oxley Act of 2002. We have filed the certifications for the quarter ended December 31, 2020 as exhibits 31.1 and 31.2 to this Annual Report on Form 10-K.</w:t>
      </w:r>
    </w:p>
    <w:p>
      <w:pPr>
        <w:spacing w:after="0" w:line="28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firstLine="1175"/>
        <w:spacing w:after="0" w:line="308" w:lineRule="auto"/>
        <w:rPr>
          <w:sz w:val="20"/>
          <w:szCs w:val="20"/>
          <w:color w:val="auto"/>
        </w:rPr>
      </w:pPr>
      <w:r>
        <w:rPr>
          <w:rFonts w:ascii="Arial" w:cs="Arial" w:eastAsia="Arial" w:hAnsi="Arial"/>
          <w:sz w:val="17"/>
          <w:szCs w:val="17"/>
          <w:color w:val="auto"/>
        </w:rPr>
        <w:t>The information required by this Item is incorporated by reference to our definitive Proxy Statement to be filed with the Securities and Exchange Commission pursuant to Regulation 14A within 120 days after the end of the fiscal year covered by this report (“Proxy Statement”).</w:t>
      </w:r>
    </w:p>
    <w:p>
      <w:pPr>
        <w:spacing w:after="0" w:line="25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37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MATTERS</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32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information required by this Item is incorporated by reference to our Proxy Statement. See also Note 9 to the Consolidated Financial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31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and (c) Financial Statements</w:t>
      </w:r>
    </w:p>
    <w:p>
      <w:pPr>
        <w:spacing w:after="0" w:line="117" w:lineRule="exact"/>
        <w:rPr>
          <w:sz w:val="20"/>
          <w:szCs w:val="20"/>
          <w:color w:val="auto"/>
        </w:rPr>
      </w:pPr>
    </w:p>
    <w:p>
      <w:pPr>
        <w:ind w:left="600"/>
        <w:spacing w:after="0" w:line="277" w:lineRule="auto"/>
        <w:rPr>
          <w:sz w:val="20"/>
          <w:szCs w:val="20"/>
          <w:color w:val="auto"/>
        </w:rPr>
      </w:pPr>
      <w:r>
        <w:rPr>
          <w:rFonts w:ascii="Arial" w:cs="Arial" w:eastAsia="Arial" w:hAnsi="Arial"/>
          <w:sz w:val="18"/>
          <w:szCs w:val="18"/>
          <w:color w:val="auto"/>
        </w:rPr>
        <w:t>The consolidated financial statements listed on the accompanying Index of Financial Statements (see page F-1) are filed as part of this Annual Report.</w:t>
      </w:r>
    </w:p>
    <w:p>
      <w:pPr>
        <w:spacing w:after="0" w:line="62" w:lineRule="exact"/>
        <w:rPr>
          <w:sz w:val="20"/>
          <w:szCs w:val="20"/>
          <w:color w:val="auto"/>
        </w:rPr>
      </w:pPr>
    </w:p>
    <w:p>
      <w:pPr>
        <w:ind w:left="600"/>
        <w:spacing w:after="0" w:line="277" w:lineRule="auto"/>
        <w:rPr>
          <w:sz w:val="20"/>
          <w:szCs w:val="20"/>
          <w:color w:val="auto"/>
        </w:rPr>
      </w:pPr>
      <w:r>
        <w:rPr>
          <w:rFonts w:ascii="Arial" w:cs="Arial" w:eastAsia="Arial" w:hAnsi="Arial"/>
          <w:sz w:val="18"/>
          <w:szCs w:val="18"/>
          <w:color w:val="auto"/>
        </w:rPr>
        <w:t>All financial statement schedules have been omitted either because they are not applicable or required, or the information that would be required to be included is disclosed in the notes to the consolidated financial statements.</w:t>
      </w:r>
    </w:p>
    <w:p>
      <w:pPr>
        <w:spacing w:after="0" w:line="170"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jc w:val="both"/>
        <w:ind w:left="600"/>
        <w:spacing w:after="0" w:line="275" w:lineRule="auto"/>
        <w:rPr>
          <w:rFonts w:ascii="Arial" w:cs="Arial" w:eastAsia="Arial" w:hAnsi="Arial"/>
          <w:sz w:val="18"/>
          <w:szCs w:val="18"/>
          <w:color w:val="auto"/>
        </w:rPr>
      </w:pPr>
      <w:r>
        <w:rPr>
          <w:rFonts w:ascii="Arial" w:cs="Arial" w:eastAsia="Arial" w:hAnsi="Arial"/>
          <w:sz w:val="17"/>
          <w:szCs w:val="17"/>
          <w:color w:val="auto"/>
        </w:rPr>
        <w:t>We have retained a signed original of any of these exhibits that contain signatures, and we will provide such exhibits to the Commission or its staff. Included as exhibits are the items listed in the Exhibit Index. We, upon request, will furnish a copy of any of the exhibits listed below upon payment of $4.00 per exhibit to cover our costs of furnishing the exhibits. Instruments defining the rights of holders of long-term debt issues which do not exceed 10% of consolidated total assets will be furnished to the Commission upon request. Such requests should be directed to the attention of our Corporate Secretary at our corporate offices located at 5430 LBJ Freeway, Suite 1700, Dallas, Texas 75240.</w:t>
      </w:r>
    </w:p>
    <w:p>
      <w:pPr>
        <w:spacing w:after="0" w:line="199" w:lineRule="exact"/>
        <w:rPr>
          <w:sz w:val="20"/>
          <w:szCs w:val="20"/>
          <w:color w:val="auto"/>
        </w:rPr>
      </w:pPr>
    </w:p>
    <w:p>
      <w:pPr>
        <w:ind w:left="200"/>
        <w:spacing w:after="0"/>
        <w:tabs>
          <w:tab w:leader="none" w:pos="5800" w:val="left"/>
        </w:tabs>
        <w:rPr>
          <w:sz w:val="20"/>
          <w:szCs w:val="20"/>
          <w:color w:val="auto"/>
        </w:rPr>
      </w:pPr>
      <w:r>
        <w:rPr>
          <w:rFonts w:ascii="Arial" w:cs="Arial" w:eastAsia="Arial" w:hAnsi="Arial"/>
          <w:sz w:val="14"/>
          <w:szCs w:val="14"/>
          <w:u w:val="single" w:color="auto"/>
          <w:color w:val="auto"/>
        </w:rPr>
        <w:t>Item No.</w:t>
      </w:r>
      <w:r>
        <w:rPr>
          <w:sz w:val="20"/>
          <w:szCs w:val="20"/>
          <w:color w:val="auto"/>
        </w:rPr>
        <w:tab/>
      </w:r>
      <w:r>
        <w:rPr>
          <w:rFonts w:ascii="Arial" w:cs="Arial" w:eastAsia="Arial" w:hAnsi="Arial"/>
          <w:sz w:val="13"/>
          <w:szCs w:val="13"/>
          <w:u w:val="single" w:color="auto"/>
          <w:color w:val="auto"/>
        </w:rPr>
        <w:t>Exhibit Item</w:t>
      </w:r>
    </w:p>
    <w:p>
      <w:pPr>
        <w:spacing w:after="0" w:line="127" w:lineRule="exact"/>
        <w:rPr>
          <w:sz w:val="20"/>
          <w:szCs w:val="20"/>
          <w:color w:val="auto"/>
        </w:rPr>
      </w:pPr>
    </w:p>
    <w:p>
      <w:pPr>
        <w:ind w:left="1120" w:right="20" w:hanging="780"/>
        <w:spacing w:after="0" w:line="277"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43">
        <w:r>
          <w:rPr>
            <w:rFonts w:ascii="Arial" w:cs="Arial" w:eastAsia="Arial" w:hAnsi="Arial"/>
            <w:sz w:val="18"/>
            <w:szCs w:val="18"/>
            <w:u w:val="single" w:color="auto"/>
            <w:color w:val="0000EE"/>
          </w:rPr>
          <w:t>Second Amended and Restated Certificate of Incorporation of Registrant – incorporated by reference to Exhibit 3.1 of the Registrant’s</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Quarterly Report on Form 10-Q for quarter ended June 30, 2018.</w:t>
        </w:r>
      </w:hyperlink>
    </w:p>
    <w:p>
      <w:pPr>
        <w:spacing w:after="0" w:line="76" w:lineRule="exact"/>
        <w:rPr>
          <w:sz w:val="20"/>
          <w:szCs w:val="20"/>
          <w:color w:val="auto"/>
        </w:rPr>
      </w:pPr>
    </w:p>
    <w:p>
      <w:pPr>
        <w:ind w:left="340"/>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3.2</w:t>
      </w:r>
      <w:r>
        <w:rPr>
          <w:sz w:val="20"/>
          <w:szCs w:val="20"/>
          <w:color w:val="auto"/>
        </w:rPr>
        <w:tab/>
      </w:r>
      <w:hyperlink r:id="rId44">
        <w:r>
          <w:rPr>
            <w:rFonts w:ascii="Arial" w:cs="Arial" w:eastAsia="Arial" w:hAnsi="Arial"/>
            <w:sz w:val="17"/>
            <w:szCs w:val="17"/>
            <w:u w:val="single" w:color="auto"/>
            <w:color w:val="0000EE"/>
          </w:rPr>
          <w:t>Certificate of Retirement – incorporated by reference to Exhibit 3.1 of the Registrant’s Current Report on Form 8-K filed November 5,</w:t>
        </w:r>
      </w:hyperlink>
    </w:p>
    <w:p>
      <w:pPr>
        <w:spacing w:after="0" w:line="23" w:lineRule="exact"/>
        <w:rPr>
          <w:sz w:val="20"/>
          <w:szCs w:val="20"/>
          <w:color w:val="auto"/>
        </w:rPr>
      </w:pPr>
    </w:p>
    <w:p>
      <w:pPr>
        <w:ind w:left="1120"/>
        <w:spacing w:after="0"/>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2018.</w:t>
        </w:r>
      </w:hyperlink>
    </w:p>
    <w:p>
      <w:pPr>
        <w:sectPr>
          <w:pgSz w:w="11900" w:h="16838" w:orient="portrait"/>
          <w:cols w:equalWidth="0" w:num="1">
            <w:col w:w="11240"/>
          </w:cols>
          <w:pgMar w:left="320" w:top="121" w:right="339" w:bottom="1440" w:gutter="0" w:footer="0" w:header="0"/>
        </w:sectPr>
      </w:pP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3.3**</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4.1</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Amended and Restated Bylaws of Registrant, adopted by the Board of Directors March 3, 2021.</w:t>
        </w:r>
      </w:hyperlink>
    </w:p>
    <w:p>
      <w:pPr>
        <w:spacing w:after="0" w:line="131" w:lineRule="exact"/>
        <w:rPr>
          <w:sz w:val="20"/>
          <w:szCs w:val="20"/>
          <w:color w:val="auto"/>
        </w:rPr>
      </w:pPr>
    </w:p>
    <w:p>
      <w:pPr>
        <w:ind w:left="20"/>
        <w:spacing w:after="0" w:line="277" w:lineRule="auto"/>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Description of Capital Stock – incorporated by reference to Exhibit 4.1 of the Registrant’s Annual Report on Form 10-K for the year ended</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December 31, 2019 filed on February 26, 2020.</w:t>
        </w:r>
      </w:hyperlink>
    </w:p>
    <w:p>
      <w:pPr>
        <w:spacing w:after="0" w:line="76" w:lineRule="exact"/>
        <w:rPr>
          <w:sz w:val="20"/>
          <w:szCs w:val="20"/>
          <w:color w:val="auto"/>
        </w:rPr>
      </w:pPr>
    </w:p>
    <w:p>
      <w:pPr>
        <w:spacing w:after="0" w:line="342" w:lineRule="auto"/>
        <w:rPr>
          <w:rFonts w:ascii="Arial" w:cs="Arial" w:eastAsia="Arial" w:hAnsi="Arial"/>
          <w:sz w:val="16"/>
          <w:szCs w:val="16"/>
          <w:u w:val="single" w:color="auto"/>
          <w:color w:val="0000EE"/>
        </w:rPr>
      </w:pPr>
      <w:hyperlink r:id="rId46">
        <w:r>
          <w:rPr>
            <w:rFonts w:ascii="Arial" w:cs="Arial" w:eastAsia="Arial" w:hAnsi="Arial"/>
            <w:sz w:val="16"/>
            <w:szCs w:val="16"/>
            <w:u w:val="single" w:color="auto"/>
            <w:color w:val="0000EE"/>
          </w:rPr>
          <w:t>Intercorporate Services Agreement between the Registrant and Contran Corporation effective as of January 1, 2004 – incorporated by</w:t>
        </w:r>
      </w:hyperlink>
      <w:r>
        <w:rPr>
          <w:rFonts w:ascii="Arial" w:cs="Arial" w:eastAsia="Arial" w:hAnsi="Arial"/>
          <w:sz w:val="16"/>
          <w:szCs w:val="16"/>
          <w:u w:val="single" w:color="auto"/>
          <w:color w:val="0000EE"/>
        </w:rPr>
        <w:t xml:space="preserve"> </w:t>
      </w:r>
      <w:hyperlink r:id="rId46">
        <w:r>
          <w:rPr>
            <w:rFonts w:ascii="Arial" w:cs="Arial" w:eastAsia="Arial" w:hAnsi="Arial"/>
            <w:sz w:val="16"/>
            <w:szCs w:val="16"/>
            <w:u w:val="single" w:color="auto"/>
            <w:color w:val="0000EE"/>
          </w:rPr>
          <w:t>reference to Exhibit 10.2 of the Registrant’s Annual Report on Form 10-K for the year ended December 31, 2003 filed on March 4, 2004.</w:t>
        </w:r>
      </w:hyperlink>
    </w:p>
    <w:p>
      <w:pPr>
        <w:spacing w:after="0" w:line="12" w:lineRule="exact"/>
        <w:rPr>
          <w:sz w:val="20"/>
          <w:szCs w:val="20"/>
          <w:color w:val="auto"/>
        </w:rPr>
      </w:pPr>
    </w:p>
    <w:p>
      <w:pPr>
        <w:sectPr>
          <w:pgSz w:w="11900" w:h="16838" w:orient="portrait"/>
          <w:cols w:equalWidth="0" w:num="2">
            <w:col w:w="660" w:space="460"/>
            <w:col w:w="101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10.2*</w:t>
            </w:r>
          </w:p>
        </w:tc>
        <w:tc>
          <w:tcPr>
            <w:tcW w:w="10120" w:type="dxa"/>
            <w:vAlign w:val="bottom"/>
            <w:gridSpan w:val="8"/>
          </w:tcPr>
          <w:p>
            <w:pPr>
              <w:spacing w:after="0"/>
              <w:rPr>
                <w:rFonts w:ascii="Arial" w:cs="Arial" w:eastAsia="Arial" w:hAnsi="Arial"/>
                <w:sz w:val="18"/>
                <w:szCs w:val="18"/>
                <w:color w:val="0000EE"/>
                <w:w w:val="92"/>
              </w:rPr>
            </w:pPr>
            <w:hyperlink r:id="rId47">
              <w:r>
                <w:rPr>
                  <w:rFonts w:ascii="Arial" w:cs="Arial" w:eastAsia="Arial" w:hAnsi="Arial"/>
                  <w:sz w:val="18"/>
                  <w:szCs w:val="18"/>
                  <w:color w:val="0000EE"/>
                  <w:w w:val="92"/>
                </w:rPr>
                <w:t>CompX International Inc. 2012 Director Stock Plan – incorporated by reference to Exhibit 10.2 of the Registrant’s Annual Report on Form</w:t>
              </w:r>
            </w:hyperlink>
          </w:p>
        </w:tc>
      </w:tr>
      <w:tr>
        <w:trPr>
          <w:trHeight w:val="196"/>
        </w:trPr>
        <w:tc>
          <w:tcPr>
            <w:tcW w:w="1120" w:type="dxa"/>
            <w:vAlign w:val="bottom"/>
          </w:tcPr>
          <w:p>
            <w:pPr>
              <w:spacing w:after="0"/>
              <w:rPr>
                <w:sz w:val="17"/>
                <w:szCs w:val="17"/>
                <w:color w:val="auto"/>
              </w:rPr>
            </w:pPr>
          </w:p>
        </w:tc>
        <w:tc>
          <w:tcPr>
            <w:tcW w:w="101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10-K for the year ended December 31, 2012 filed on March 6, 2013.</w:t>
              </w:r>
            </w:hyperlink>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20" w:type="dxa"/>
            <w:vAlign w:val="bottom"/>
          </w:tcPr>
          <w:p>
            <w:pPr>
              <w:jc w:val="center"/>
              <w:ind w:right="110"/>
              <w:spacing w:after="0"/>
              <w:rPr>
                <w:sz w:val="20"/>
                <w:szCs w:val="20"/>
                <w:color w:val="auto"/>
              </w:rPr>
            </w:pPr>
            <w:r>
              <w:rPr>
                <w:rFonts w:ascii="Arial" w:cs="Arial" w:eastAsia="Arial" w:hAnsi="Arial"/>
                <w:sz w:val="18"/>
                <w:szCs w:val="18"/>
                <w:color w:val="auto"/>
                <w:w w:val="91"/>
              </w:rPr>
              <w:t>10.3</w:t>
            </w:r>
          </w:p>
        </w:tc>
        <w:tc>
          <w:tcPr>
            <w:tcW w:w="10120" w:type="dxa"/>
            <w:vAlign w:val="bottom"/>
            <w:gridSpan w:val="8"/>
          </w:tcPr>
          <w:p>
            <w:pPr>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Tax Sharing Agreement between the Registrant, NL Industries, Inc. and Contran Corporation dated as of January 1, 2020 – incorporated by</w:t>
              </w:r>
            </w:hyperlink>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8"/>
          </w:tcPr>
          <w:p>
            <w:pPr>
              <w:spacing w:after="0" w:line="196" w:lineRule="exact"/>
              <w:rPr>
                <w:rFonts w:ascii="Arial" w:cs="Arial" w:eastAsia="Arial" w:hAnsi="Arial"/>
                <w:sz w:val="18"/>
                <w:szCs w:val="18"/>
                <w:color w:val="0000EE"/>
                <w:w w:val="94"/>
              </w:rPr>
            </w:pPr>
            <w:hyperlink r:id="rId48">
              <w:r>
                <w:rPr>
                  <w:rFonts w:ascii="Arial" w:cs="Arial" w:eastAsia="Arial" w:hAnsi="Arial"/>
                  <w:sz w:val="18"/>
                  <w:szCs w:val="18"/>
                  <w:color w:val="0000EE"/>
                  <w:w w:val="94"/>
                </w:rPr>
                <w:t>reference to Exhibit 10.3 of the Registrant’s Annual Report on Form 10-K for the year ended December 31, 2019 filed on February 26,</w:t>
              </w:r>
            </w:hyperlink>
          </w:p>
        </w:tc>
      </w:tr>
      <w:tr>
        <w:trPr>
          <w:trHeight w:val="196"/>
        </w:trPr>
        <w:tc>
          <w:tcPr>
            <w:tcW w:w="11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48">
              <w:r>
                <w:rPr>
                  <w:rFonts w:ascii="Arial" w:cs="Arial" w:eastAsia="Arial" w:hAnsi="Arial"/>
                  <w:sz w:val="18"/>
                  <w:szCs w:val="18"/>
                  <w:color w:val="0000EE"/>
                  <w:w w:val="88"/>
                </w:rPr>
                <w:t>2020.</w:t>
              </w:r>
            </w:hyperlink>
          </w:p>
        </w:tc>
        <w:tc>
          <w:tcPr>
            <w:tcW w:w="26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36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20" w:type="dxa"/>
            <w:vAlign w:val="bottom"/>
          </w:tcPr>
          <w:p>
            <w:pPr>
              <w:jc w:val="center"/>
              <w:ind w:right="110"/>
              <w:spacing w:after="0"/>
              <w:rPr>
                <w:sz w:val="20"/>
                <w:szCs w:val="20"/>
                <w:color w:val="auto"/>
              </w:rPr>
            </w:pPr>
            <w:r>
              <w:rPr>
                <w:rFonts w:ascii="Arial" w:cs="Arial" w:eastAsia="Arial" w:hAnsi="Arial"/>
                <w:sz w:val="18"/>
                <w:szCs w:val="18"/>
                <w:color w:val="auto"/>
                <w:w w:val="91"/>
              </w:rPr>
              <w:t>10.4</w:t>
            </w:r>
          </w:p>
        </w:tc>
        <w:tc>
          <w:tcPr>
            <w:tcW w:w="10120" w:type="dxa"/>
            <w:vAlign w:val="bottom"/>
            <w:gridSpan w:val="8"/>
          </w:tcPr>
          <w:p>
            <w:pPr>
              <w:spacing w:after="0"/>
              <w:rPr>
                <w:rFonts w:ascii="Arial" w:cs="Arial" w:eastAsia="Arial" w:hAnsi="Arial"/>
                <w:sz w:val="18"/>
                <w:szCs w:val="18"/>
                <w:color w:val="0000EE"/>
                <w:w w:val="92"/>
              </w:rPr>
            </w:pPr>
            <w:hyperlink r:id="rId48">
              <w:r>
                <w:rPr>
                  <w:rFonts w:ascii="Arial" w:cs="Arial" w:eastAsia="Arial" w:hAnsi="Arial"/>
                  <w:sz w:val="18"/>
                  <w:szCs w:val="18"/>
                  <w:color w:val="0000EE"/>
                  <w:w w:val="92"/>
                </w:rPr>
                <w:t>Second Amended and Restated Agreement Regarding Shared Insurance among the Registrant, Contran Corporation, Kronos Worldwide,</w:t>
              </w:r>
            </w:hyperlink>
          </w:p>
        </w:tc>
      </w:tr>
      <w:tr>
        <w:trPr>
          <w:trHeight w:val="20"/>
        </w:trPr>
        <w:tc>
          <w:tcPr>
            <w:tcW w:w="1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12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r:id="rId48">
              <w:r>
                <w:rPr>
                  <w:rFonts w:ascii="Arial" w:cs="Arial" w:eastAsia="Arial" w:hAnsi="Arial"/>
                  <w:sz w:val="18"/>
                  <w:szCs w:val="18"/>
                  <w:color w:val="0000EE"/>
                  <w:w w:val="95"/>
                </w:rPr>
                <w:t>Inc., NL Industries, Inc., and Valhi, Inc. dated January 25, 2019 – incorporated by reference to Exhibit 10.4 of the Registrant’s Annual</w:t>
              </w:r>
            </w:hyperlink>
          </w:p>
        </w:tc>
      </w:tr>
      <w:tr>
        <w:trPr>
          <w:trHeight w:val="196"/>
        </w:trPr>
        <w:tc>
          <w:tcPr>
            <w:tcW w:w="1120" w:type="dxa"/>
            <w:vAlign w:val="bottom"/>
          </w:tcPr>
          <w:p>
            <w:pPr>
              <w:spacing w:after="0"/>
              <w:rPr>
                <w:sz w:val="17"/>
                <w:szCs w:val="17"/>
                <w:color w:val="auto"/>
              </w:rPr>
            </w:pPr>
          </w:p>
        </w:tc>
        <w:tc>
          <w:tcPr>
            <w:tcW w:w="64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Report on Form 10-K for the year ended December 31, 2018 filed on February 27, 2019.</w:t>
              </w:r>
            </w:hyperlink>
          </w:p>
        </w:tc>
        <w:tc>
          <w:tcPr>
            <w:tcW w:w="3720" w:type="dxa"/>
            <w:vAlign w:val="bottom"/>
            <w:gridSpan w:val="3"/>
          </w:tcPr>
          <w:p>
            <w:pPr>
              <w:spacing w:after="0"/>
              <w:rPr>
                <w:sz w:val="17"/>
                <w:szCs w:val="17"/>
                <w:color w:val="auto"/>
              </w:rPr>
            </w:pPr>
          </w:p>
        </w:tc>
      </w:tr>
      <w:tr>
        <w:trPr>
          <w:trHeight w:val="318"/>
        </w:trPr>
        <w:tc>
          <w:tcPr>
            <w:tcW w:w="1120" w:type="dxa"/>
            <w:vAlign w:val="bottom"/>
          </w:tcPr>
          <w:p>
            <w:pPr>
              <w:jc w:val="center"/>
              <w:ind w:right="110"/>
              <w:spacing w:after="0"/>
              <w:rPr>
                <w:sz w:val="20"/>
                <w:szCs w:val="20"/>
                <w:color w:val="auto"/>
              </w:rPr>
            </w:pPr>
            <w:r>
              <w:rPr>
                <w:rFonts w:ascii="Arial" w:cs="Arial" w:eastAsia="Arial" w:hAnsi="Arial"/>
                <w:sz w:val="18"/>
                <w:szCs w:val="18"/>
                <w:color w:val="auto"/>
                <w:w w:val="97"/>
              </w:rPr>
              <w:t>10.5**</w:t>
            </w:r>
          </w:p>
        </w:tc>
        <w:tc>
          <w:tcPr>
            <w:tcW w:w="1012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62">
              <w:r>
                <w:rPr>
                  <w:rFonts w:ascii="Arial" w:cs="Arial" w:eastAsia="Arial" w:hAnsi="Arial"/>
                  <w:sz w:val="18"/>
                  <w:szCs w:val="18"/>
                  <w:color w:val="0000EE"/>
                  <w:w w:val="95"/>
                </w:rPr>
                <w:t xml:space="preserve">Unsecured Revolving Demand Promissory Note dated December 31, 2020 in the original principal amount of </w:t>
              </w:r>
              <w:r>
                <w:rPr>
                  <w:rFonts w:ascii="Arial" w:cs="Arial" w:eastAsia="Arial" w:hAnsi="Arial"/>
                  <w:sz w:val="18"/>
                  <w:szCs w:val="18"/>
                  <w:u w:val="single" w:color="auto"/>
                  <w:color w:val="0000EE"/>
                  <w:w w:val="95"/>
                </w:rPr>
                <w:t>$</w:t>
              </w:r>
              <w:r>
                <w:rPr>
                  <w:rFonts w:ascii="Arial" w:cs="Arial" w:eastAsia="Arial" w:hAnsi="Arial"/>
                  <w:sz w:val="18"/>
                  <w:szCs w:val="18"/>
                  <w:color w:val="0000EE"/>
                  <w:w w:val="95"/>
                </w:rPr>
                <w:t>40 million executed by</w:t>
              </w:r>
            </w:hyperlink>
          </w:p>
        </w:tc>
      </w:tr>
      <w:tr>
        <w:trPr>
          <w:trHeight w:val="196"/>
        </w:trPr>
        <w:tc>
          <w:tcPr>
            <w:tcW w:w="1120" w:type="dxa"/>
            <w:vAlign w:val="bottom"/>
          </w:tcPr>
          <w:p>
            <w:pPr>
              <w:spacing w:after="0"/>
              <w:rPr>
                <w:sz w:val="17"/>
                <w:szCs w:val="17"/>
                <w:color w:val="auto"/>
              </w:rPr>
            </w:pPr>
          </w:p>
        </w:tc>
        <w:tc>
          <w:tcPr>
            <w:tcW w:w="10120" w:type="dxa"/>
            <w:vAlign w:val="bottom"/>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Valhi, Inc. and payable to the Registrant.</w:t>
              </w:r>
            </w:hyperlink>
          </w:p>
        </w:tc>
      </w:tr>
      <w:tr>
        <w:trPr>
          <w:trHeight w:val="20"/>
        </w:trPr>
        <w:tc>
          <w:tcPr>
            <w:tcW w:w="1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1120" w:type="dxa"/>
            <w:vAlign w:val="bottom"/>
          </w:tcPr>
          <w:p>
            <w:pPr>
              <w:jc w:val="center"/>
              <w:ind w:right="110"/>
              <w:spacing w:after="0"/>
              <w:rPr>
                <w:sz w:val="20"/>
                <w:szCs w:val="20"/>
                <w:color w:val="auto"/>
              </w:rPr>
            </w:pPr>
            <w:r>
              <w:rPr>
                <w:rFonts w:ascii="Arial" w:cs="Arial" w:eastAsia="Arial" w:hAnsi="Arial"/>
                <w:sz w:val="18"/>
                <w:szCs w:val="18"/>
                <w:color w:val="auto"/>
                <w:w w:val="95"/>
              </w:rPr>
              <w:t>10.6*</w:t>
            </w:r>
          </w:p>
        </w:tc>
        <w:tc>
          <w:tcPr>
            <w:tcW w:w="10120" w:type="dxa"/>
            <w:vAlign w:val="bottom"/>
            <w:gridSpan w:val="8"/>
          </w:tcPr>
          <w:p>
            <w:pPr>
              <w:spacing w:after="0"/>
              <w:rPr>
                <w:rFonts w:ascii="Arial" w:cs="Arial" w:eastAsia="Arial" w:hAnsi="Arial"/>
                <w:sz w:val="18"/>
                <w:szCs w:val="18"/>
                <w:color w:val="0000EE"/>
                <w:w w:val="93"/>
              </w:rPr>
            </w:pPr>
            <w:hyperlink r:id="rId49">
              <w:r>
                <w:rPr>
                  <w:rFonts w:ascii="Arial" w:cs="Arial" w:eastAsia="Arial" w:hAnsi="Arial"/>
                  <w:sz w:val="18"/>
                  <w:szCs w:val="18"/>
                  <w:color w:val="0000EE"/>
                  <w:w w:val="93"/>
                </w:rPr>
                <w:t>Form of Indemnification Agreement – incorporated by reference to Exhibit 10.1 of the Registrant’s Current Report on Form 8-K filed May</w:t>
              </w:r>
            </w:hyperlink>
          </w:p>
        </w:tc>
      </w:tr>
      <w:tr>
        <w:trPr>
          <w:trHeight w:val="196"/>
        </w:trPr>
        <w:tc>
          <w:tcPr>
            <w:tcW w:w="1120" w:type="dxa"/>
            <w:vAlign w:val="bottom"/>
          </w:tcPr>
          <w:p>
            <w:pPr>
              <w:spacing w:after="0"/>
              <w:rPr>
                <w:sz w:val="17"/>
                <w:szCs w:val="17"/>
                <w:color w:val="auto"/>
              </w:rPr>
            </w:pPr>
          </w:p>
        </w:tc>
        <w:tc>
          <w:tcPr>
            <w:tcW w:w="29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26, 2016.</w:t>
              </w:r>
            </w:hyperlink>
          </w:p>
        </w:tc>
        <w:tc>
          <w:tcPr>
            <w:tcW w:w="198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36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9"/>
        </w:trPr>
        <w:tc>
          <w:tcPr>
            <w:tcW w:w="1120" w:type="dxa"/>
            <w:vAlign w:val="bottom"/>
          </w:tcPr>
          <w:p>
            <w:pPr>
              <w:spacing w:after="0"/>
              <w:rPr>
                <w:sz w:val="24"/>
                <w:szCs w:val="24"/>
                <w:color w:val="auto"/>
              </w:rPr>
            </w:pPr>
          </w:p>
        </w:tc>
        <w:tc>
          <w:tcPr>
            <w:tcW w:w="680" w:type="dxa"/>
            <w:vAlign w:val="bottom"/>
            <w:tcBorders>
              <w:top w:val="single" w:sz="8" w:color="0000EE"/>
            </w:tcBorders>
            <w:gridSpan w:val="2"/>
          </w:tcPr>
          <w:p>
            <w:pPr>
              <w:spacing w:after="0"/>
              <w:rPr>
                <w:sz w:val="24"/>
                <w:szCs w:val="24"/>
                <w:color w:val="auto"/>
              </w:rPr>
            </w:pPr>
          </w:p>
        </w:tc>
        <w:tc>
          <w:tcPr>
            <w:tcW w:w="42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4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tbl>
      <w:tblPr>
        <w:tblLayout w:type="fixed"/>
        <w:tblInd w:w="160" w:type="dxa"/>
        <w:tblCellMar>
          <w:top w:w="0" w:type="dxa"/>
          <w:left w:w="0" w:type="dxa"/>
          <w:bottom w:w="0" w:type="dxa"/>
          <w:right w:w="0" w:type="dxa"/>
        </w:tblCellMar>
      </w:tblPr>
      <w:tr>
        <w:trPr>
          <w:trHeight w:val="215"/>
        </w:trPr>
        <w:tc>
          <w:tcPr>
            <w:tcW w:w="16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Item No.</w:t>
            </w:r>
          </w:p>
        </w:tc>
        <w:tc>
          <w:tcPr>
            <w:tcW w:w="4340" w:type="dxa"/>
            <w:vAlign w:val="bottom"/>
          </w:tcPr>
          <w:p>
            <w:pPr>
              <w:spacing w:after="0"/>
              <w:rPr>
                <w:sz w:val="18"/>
                <w:szCs w:val="18"/>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 xml:space="preserve">Exhibit Item </w:t>
            </w:r>
            <w:r>
              <w:rPr>
                <w:rFonts w:ascii="Arial" w:cs="Arial" w:eastAsia="Arial" w:hAnsi="Arial"/>
                <w:sz w:val="17"/>
                <w:szCs w:val="17"/>
                <w:color w:val="auto"/>
                <w:w w:val="94"/>
              </w:rPr>
              <w:t>(continued)</w:t>
            </w:r>
          </w:p>
        </w:tc>
        <w:tc>
          <w:tcPr>
            <w:tcW w:w="40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440"/>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24"/>
                <w:szCs w:val="24"/>
                <w:color w:val="auto"/>
              </w:rPr>
            </w:pPr>
          </w:p>
        </w:tc>
        <w:tc>
          <w:tcPr>
            <w:tcW w:w="9940" w:type="dxa"/>
            <w:vAlign w:val="bottom"/>
            <w:gridSpan w:val="3"/>
          </w:tcPr>
          <w:p>
            <w:pPr>
              <w:ind w:left="8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Subsidiaries of the Registrant.</w:t>
              </w:r>
            </w:hyperlink>
          </w:p>
        </w:tc>
      </w:tr>
      <w:tr>
        <w:trPr>
          <w:trHeight w:val="33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9940" w:type="dxa"/>
            <w:vAlign w:val="bottom"/>
            <w:gridSpan w:val="3"/>
          </w:tcPr>
          <w:p>
            <w:pPr>
              <w:ind w:left="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Consent of PricewaterhouseCoopers LLP.</w:t>
              </w:r>
            </w:hyperlink>
          </w:p>
        </w:tc>
      </w:tr>
      <w:tr>
        <w:trPr>
          <w:trHeight w:val="33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9940" w:type="dxa"/>
            <w:vAlign w:val="bottom"/>
            <w:gridSpan w:val="3"/>
          </w:tcPr>
          <w:p>
            <w:pPr>
              <w:ind w:left="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Certification</w:t>
              </w:r>
            </w:hyperlink>
          </w:p>
        </w:tc>
      </w:tr>
      <w:tr>
        <w:trPr>
          <w:trHeight w:val="33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9940" w:type="dxa"/>
            <w:vAlign w:val="bottom"/>
            <w:gridSpan w:val="3"/>
          </w:tcPr>
          <w:p>
            <w:pPr>
              <w:ind w:left="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Certification</w:t>
              </w:r>
            </w:hyperlink>
          </w:p>
        </w:tc>
      </w:tr>
      <w:tr>
        <w:trPr>
          <w:trHeight w:val="338"/>
        </w:trPr>
        <w:tc>
          <w:tcPr>
            <w:tcW w:w="6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9940" w:type="dxa"/>
            <w:vAlign w:val="bottom"/>
            <w:gridSpan w:val="3"/>
          </w:tcPr>
          <w:p>
            <w:pPr>
              <w:ind w:left="8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Certification</w:t>
              </w:r>
            </w:hyperlink>
          </w:p>
        </w:tc>
      </w:tr>
      <w:tr>
        <w:trPr>
          <w:trHeight w:val="323"/>
        </w:trPr>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8"/>
              </w:rPr>
              <w:t>101.INS**</w:t>
            </w:r>
          </w:p>
        </w:tc>
        <w:tc>
          <w:tcPr>
            <w:tcW w:w="9940" w:type="dxa"/>
            <w:vAlign w:val="bottom"/>
            <w:gridSpan w:val="3"/>
          </w:tcPr>
          <w:p>
            <w:pPr>
              <w:ind w:left="180"/>
              <w:spacing w:after="0"/>
              <w:rPr>
                <w:sz w:val="20"/>
                <w:szCs w:val="20"/>
                <w:color w:val="auto"/>
              </w:rPr>
            </w:pPr>
            <w:r>
              <w:rPr>
                <w:rFonts w:ascii="Arial" w:cs="Arial" w:eastAsia="Arial" w:hAnsi="Arial"/>
                <w:sz w:val="18"/>
                <w:szCs w:val="18"/>
                <w:color w:val="auto"/>
                <w:w w:val="90"/>
              </w:rPr>
              <w:t>Inline XBRL Instance – the instance document does not appear in the Interactive Data File because its XBRL tags are embedded within</w:t>
            </w:r>
          </w:p>
        </w:tc>
      </w:tr>
      <w:tr>
        <w:trPr>
          <w:trHeight w:val="230"/>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40" w:type="dxa"/>
            <w:vAlign w:val="bottom"/>
            <w:gridSpan w:val="3"/>
          </w:tcPr>
          <w:p>
            <w:pPr>
              <w:ind w:left="180"/>
              <w:spacing w:after="0"/>
              <w:rPr>
                <w:sz w:val="20"/>
                <w:szCs w:val="20"/>
                <w:color w:val="auto"/>
              </w:rPr>
            </w:pPr>
            <w:r>
              <w:rPr>
                <w:rFonts w:ascii="Arial" w:cs="Arial" w:eastAsia="Arial" w:hAnsi="Arial"/>
                <w:sz w:val="18"/>
                <w:szCs w:val="18"/>
                <w:color w:val="auto"/>
              </w:rPr>
              <w:t>the Inline XBRL document</w:t>
            </w:r>
          </w:p>
        </w:tc>
      </w:tr>
      <w:tr>
        <w:trPr>
          <w:trHeight w:val="338"/>
        </w:trPr>
        <w:tc>
          <w:tcPr>
            <w:tcW w:w="940" w:type="dxa"/>
            <w:vAlign w:val="bottom"/>
            <w:gridSpan w:val="3"/>
          </w:tcPr>
          <w:p>
            <w:pPr>
              <w:jc w:val="center"/>
              <w:ind w:right="60"/>
              <w:spacing w:after="0"/>
              <w:rPr>
                <w:sz w:val="20"/>
                <w:szCs w:val="20"/>
                <w:color w:val="auto"/>
              </w:rPr>
            </w:pPr>
            <w:r>
              <w:rPr>
                <w:rFonts w:ascii="Arial" w:cs="Arial" w:eastAsia="Arial" w:hAnsi="Arial"/>
                <w:sz w:val="18"/>
                <w:szCs w:val="18"/>
                <w:color w:val="auto"/>
                <w:w w:val="96"/>
              </w:rPr>
              <w:t>101.SCH**</w:t>
            </w:r>
          </w:p>
        </w:tc>
        <w:tc>
          <w:tcPr>
            <w:tcW w:w="9940" w:type="dxa"/>
            <w:vAlign w:val="bottom"/>
            <w:gridSpan w:val="3"/>
          </w:tcPr>
          <w:p>
            <w:pPr>
              <w:ind w:left="180"/>
              <w:spacing w:after="0"/>
              <w:rPr>
                <w:sz w:val="20"/>
                <w:szCs w:val="20"/>
                <w:color w:val="auto"/>
              </w:rPr>
            </w:pPr>
            <w:r>
              <w:rPr>
                <w:rFonts w:ascii="Arial" w:cs="Arial" w:eastAsia="Arial" w:hAnsi="Arial"/>
                <w:sz w:val="18"/>
                <w:szCs w:val="18"/>
                <w:color w:val="auto"/>
              </w:rPr>
              <w:t>Inline XBRL Taxonomy Extension Schema</w:t>
            </w:r>
          </w:p>
        </w:tc>
      </w:tr>
      <w:tr>
        <w:trPr>
          <w:trHeight w:val="338"/>
        </w:trPr>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101.CAL**</w:t>
            </w:r>
          </w:p>
        </w:tc>
        <w:tc>
          <w:tcPr>
            <w:tcW w:w="9940" w:type="dxa"/>
            <w:vAlign w:val="bottom"/>
            <w:gridSpan w:val="3"/>
          </w:tcPr>
          <w:p>
            <w:pPr>
              <w:ind w:left="180"/>
              <w:spacing w:after="0"/>
              <w:rPr>
                <w:sz w:val="20"/>
                <w:szCs w:val="20"/>
                <w:color w:val="auto"/>
              </w:rPr>
            </w:pPr>
            <w:r>
              <w:rPr>
                <w:rFonts w:ascii="Arial" w:cs="Arial" w:eastAsia="Arial" w:hAnsi="Arial"/>
                <w:sz w:val="18"/>
                <w:szCs w:val="18"/>
                <w:color w:val="auto"/>
              </w:rPr>
              <w:t>Inline XBRL Taxonomy Extension Calculation Linkbase</w:t>
            </w:r>
          </w:p>
        </w:tc>
      </w:tr>
      <w:tr>
        <w:trPr>
          <w:trHeight w:val="338"/>
        </w:trPr>
        <w:tc>
          <w:tcPr>
            <w:tcW w:w="940" w:type="dxa"/>
            <w:vAlign w:val="bottom"/>
            <w:gridSpan w:val="3"/>
          </w:tcPr>
          <w:p>
            <w:pPr>
              <w:jc w:val="center"/>
              <w:ind w:right="60"/>
              <w:spacing w:after="0"/>
              <w:rPr>
                <w:sz w:val="20"/>
                <w:szCs w:val="20"/>
                <w:color w:val="auto"/>
              </w:rPr>
            </w:pPr>
            <w:r>
              <w:rPr>
                <w:rFonts w:ascii="Arial" w:cs="Arial" w:eastAsia="Arial" w:hAnsi="Arial"/>
                <w:sz w:val="18"/>
                <w:szCs w:val="18"/>
                <w:color w:val="auto"/>
                <w:w w:val="98"/>
              </w:rPr>
              <w:t>101.DEF**</w:t>
            </w:r>
          </w:p>
        </w:tc>
        <w:tc>
          <w:tcPr>
            <w:tcW w:w="9940" w:type="dxa"/>
            <w:vAlign w:val="bottom"/>
            <w:gridSpan w:val="3"/>
          </w:tcPr>
          <w:p>
            <w:pPr>
              <w:ind w:left="180"/>
              <w:spacing w:after="0"/>
              <w:rPr>
                <w:sz w:val="20"/>
                <w:szCs w:val="20"/>
                <w:color w:val="auto"/>
              </w:rPr>
            </w:pPr>
            <w:r>
              <w:rPr>
                <w:rFonts w:ascii="Arial" w:cs="Arial" w:eastAsia="Arial" w:hAnsi="Arial"/>
                <w:sz w:val="18"/>
                <w:szCs w:val="18"/>
                <w:color w:val="auto"/>
              </w:rPr>
              <w:t>Inline XBRL Taxonomy Extension Definition Linkbase</w:t>
            </w:r>
          </w:p>
        </w:tc>
      </w:tr>
      <w:tr>
        <w:trPr>
          <w:trHeight w:val="338"/>
        </w:trPr>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101.LAB**</w:t>
            </w:r>
          </w:p>
        </w:tc>
        <w:tc>
          <w:tcPr>
            <w:tcW w:w="9940" w:type="dxa"/>
            <w:vAlign w:val="bottom"/>
            <w:gridSpan w:val="3"/>
          </w:tcPr>
          <w:p>
            <w:pPr>
              <w:ind w:left="180"/>
              <w:spacing w:after="0"/>
              <w:rPr>
                <w:sz w:val="20"/>
                <w:szCs w:val="20"/>
                <w:color w:val="auto"/>
              </w:rPr>
            </w:pPr>
            <w:r>
              <w:rPr>
                <w:rFonts w:ascii="Arial" w:cs="Arial" w:eastAsia="Arial" w:hAnsi="Arial"/>
                <w:sz w:val="18"/>
                <w:szCs w:val="18"/>
                <w:color w:val="auto"/>
              </w:rPr>
              <w:t>Inline XBRL Taxonomy Extension Label Linkbase</w:t>
            </w:r>
          </w:p>
        </w:tc>
      </w:tr>
      <w:tr>
        <w:trPr>
          <w:trHeight w:val="338"/>
        </w:trPr>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5"/>
              </w:rPr>
              <w:t>101.PRE**</w:t>
            </w:r>
          </w:p>
        </w:tc>
        <w:tc>
          <w:tcPr>
            <w:tcW w:w="9940" w:type="dxa"/>
            <w:vAlign w:val="bottom"/>
            <w:gridSpan w:val="3"/>
          </w:tcPr>
          <w:p>
            <w:pPr>
              <w:ind w:left="1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2" w:lineRule="exact"/>
        <w:rPr>
          <w:sz w:val="20"/>
          <w:szCs w:val="20"/>
          <w:color w:val="auto"/>
        </w:rPr>
      </w:pPr>
    </w:p>
    <w:p>
      <w:pPr>
        <w:ind w:left="1280" w:hanging="820"/>
        <w:spacing w:after="0"/>
        <w:tabs>
          <w:tab w:leader="none" w:pos="1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compensatory plan or agreement.</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540" w:hanging="111"/>
        <w:spacing w:after="0"/>
        <w:tabs>
          <w:tab w:leader="none" w:pos="5540" w:val="left"/>
        </w:tabs>
        <w:numPr>
          <w:ilvl w:val="2"/>
          <w:numId w:val="18"/>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00" w:right="5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17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40" w:type="dxa"/>
            <w:vAlign w:val="bottom"/>
            <w:gridSpan w:val="2"/>
          </w:tcPr>
          <w:p>
            <w:pPr>
              <w:ind w:left="2300"/>
              <w:spacing w:after="0"/>
              <w:rPr>
                <w:sz w:val="20"/>
                <w:szCs w:val="20"/>
                <w:color w:val="auto"/>
              </w:rPr>
            </w:pPr>
            <w:r>
              <w:rPr>
                <w:rFonts w:ascii="Arial" w:cs="Arial" w:eastAsia="Arial" w:hAnsi="Arial"/>
                <w:sz w:val="18"/>
                <w:szCs w:val="18"/>
                <w:b w:val="1"/>
                <w:bCs w:val="1"/>
                <w:color w:val="auto"/>
              </w:rPr>
              <w:t>COMPX INTERNATIONAL INC.</w:t>
            </w: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Date: March 3, 2021</w:t>
            </w:r>
          </w:p>
        </w:tc>
        <w:tc>
          <w:tcPr>
            <w:tcW w:w="2960" w:type="dxa"/>
            <w:vAlign w:val="bottom"/>
          </w:tcPr>
          <w:p>
            <w:pPr>
              <w:ind w:left="23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C. James</w:t>
            </w:r>
          </w:p>
        </w:tc>
      </w:tr>
      <w:tr>
        <w:trPr>
          <w:trHeight w:val="195"/>
        </w:trPr>
        <w:tc>
          <w:tcPr>
            <w:tcW w:w="38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Scott C. James</w:t>
            </w:r>
          </w:p>
        </w:tc>
      </w:tr>
      <w:tr>
        <w:trPr>
          <w:trHeight w:val="216"/>
        </w:trPr>
        <w:tc>
          <w:tcPr>
            <w:tcW w:w="3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8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18" w:lineRule="exact"/>
        <w:rPr>
          <w:sz w:val="20"/>
          <w:szCs w:val="20"/>
          <w:color w:val="auto"/>
        </w:rPr>
      </w:pPr>
    </w:p>
    <w:p>
      <w:pPr>
        <w:jc w:val="both"/>
        <w:ind w:right="20" w:firstLine="117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0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380" w:type="dxa"/>
            <w:vAlign w:val="bottom"/>
          </w:tcPr>
          <w:p>
            <w:pPr>
              <w:spacing w:after="0"/>
              <w:rPr>
                <w:sz w:val="16"/>
                <w:szCs w:val="16"/>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80" w:type="dxa"/>
            <w:vAlign w:val="bottom"/>
          </w:tcPr>
          <w:p>
            <w:pPr>
              <w:spacing w:after="0"/>
              <w:rPr>
                <w:sz w:val="16"/>
                <w:szCs w:val="16"/>
                <w:color w:val="auto"/>
              </w:rPr>
            </w:pPr>
          </w:p>
        </w:tc>
      </w:tr>
      <w:tr>
        <w:trPr>
          <w:trHeight w:val="432"/>
        </w:trPr>
        <w:tc>
          <w:tcPr>
            <w:tcW w:w="4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Loretta J. Feehan</w:t>
            </w:r>
          </w:p>
        </w:tc>
        <w:tc>
          <w:tcPr>
            <w:tcW w:w="470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Chair of the Board</w:t>
            </w:r>
          </w:p>
        </w:tc>
        <w:tc>
          <w:tcPr>
            <w:tcW w:w="1840" w:type="dxa"/>
            <w:vAlign w:val="bottom"/>
            <w:gridSpan w:val="3"/>
          </w:tcPr>
          <w:p>
            <w:pPr>
              <w:jc w:val="center"/>
              <w:ind w:left="690"/>
              <w:spacing w:after="0"/>
              <w:rPr>
                <w:sz w:val="20"/>
                <w:szCs w:val="20"/>
                <w:color w:val="auto"/>
              </w:rPr>
            </w:pPr>
            <w:r>
              <w:rPr>
                <w:rFonts w:ascii="Arial" w:cs="Arial" w:eastAsia="Arial" w:hAnsi="Arial"/>
                <w:sz w:val="18"/>
                <w:szCs w:val="18"/>
                <w:color w:val="auto"/>
                <w:w w:val="92"/>
              </w:rPr>
              <w:t>March 3,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Loretta J. Feehan</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18"/>
        </w:trPr>
        <w:tc>
          <w:tcPr>
            <w:tcW w:w="4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Robert D. Graham</w:t>
            </w:r>
          </w:p>
        </w:tc>
        <w:tc>
          <w:tcPr>
            <w:tcW w:w="4700" w:type="dxa"/>
            <w:vAlign w:val="bottom"/>
            <w:gridSpan w:val="3"/>
          </w:tcPr>
          <w:p>
            <w:pPr>
              <w:jc w:val="center"/>
              <w:ind w:left="250"/>
              <w:spacing w:after="0"/>
              <w:rPr>
                <w:sz w:val="20"/>
                <w:szCs w:val="20"/>
                <w:color w:val="auto"/>
              </w:rPr>
            </w:pPr>
            <w:r>
              <w:rPr>
                <w:rFonts w:ascii="Arial" w:cs="Arial" w:eastAsia="Arial" w:hAnsi="Arial"/>
                <w:sz w:val="18"/>
                <w:szCs w:val="18"/>
                <w:color w:val="auto"/>
                <w:w w:val="92"/>
              </w:rPr>
              <w:t>Vice Chairman of the Board</w:t>
            </w:r>
          </w:p>
        </w:tc>
        <w:tc>
          <w:tcPr>
            <w:tcW w:w="1840" w:type="dxa"/>
            <w:vAlign w:val="bottom"/>
            <w:gridSpan w:val="3"/>
          </w:tcPr>
          <w:p>
            <w:pPr>
              <w:jc w:val="center"/>
              <w:ind w:left="690"/>
              <w:spacing w:after="0"/>
              <w:rPr>
                <w:sz w:val="20"/>
                <w:szCs w:val="20"/>
                <w:color w:val="auto"/>
              </w:rPr>
            </w:pPr>
            <w:r>
              <w:rPr>
                <w:rFonts w:ascii="Arial" w:cs="Arial" w:eastAsia="Arial" w:hAnsi="Arial"/>
                <w:sz w:val="18"/>
                <w:szCs w:val="18"/>
                <w:color w:val="auto"/>
                <w:w w:val="92"/>
              </w:rPr>
              <w:t>March 3,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Robert D. Graham</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45"/>
        </w:trPr>
        <w:tc>
          <w:tcPr>
            <w:tcW w:w="4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Amy A. Samford</w:t>
            </w:r>
          </w:p>
        </w:tc>
        <w:tc>
          <w:tcPr>
            <w:tcW w:w="4700" w:type="dxa"/>
            <w:vAlign w:val="bottom"/>
            <w:gridSpan w:val="3"/>
          </w:tcPr>
          <w:p>
            <w:pPr>
              <w:jc w:val="center"/>
              <w:ind w:left="250"/>
              <w:spacing w:after="0"/>
              <w:rPr>
                <w:sz w:val="20"/>
                <w:szCs w:val="20"/>
                <w:color w:val="auto"/>
              </w:rPr>
            </w:pPr>
            <w:r>
              <w:rPr>
                <w:rFonts w:ascii="Arial" w:cs="Arial" w:eastAsia="Arial" w:hAnsi="Arial"/>
                <w:sz w:val="18"/>
                <w:szCs w:val="18"/>
                <w:color w:val="auto"/>
                <w:w w:val="92"/>
              </w:rPr>
              <w:t>Vice President, Chief Financial Officer</w:t>
            </w:r>
          </w:p>
        </w:tc>
        <w:tc>
          <w:tcPr>
            <w:tcW w:w="1840" w:type="dxa"/>
            <w:vAlign w:val="bottom"/>
            <w:gridSpan w:val="3"/>
          </w:tcPr>
          <w:p>
            <w:pPr>
              <w:jc w:val="center"/>
              <w:ind w:left="690"/>
              <w:spacing w:after="0"/>
              <w:rPr>
                <w:sz w:val="20"/>
                <w:szCs w:val="20"/>
                <w:color w:val="auto"/>
              </w:rPr>
            </w:pPr>
            <w:r>
              <w:rPr>
                <w:rFonts w:ascii="Arial" w:cs="Arial" w:eastAsia="Arial" w:hAnsi="Arial"/>
                <w:sz w:val="18"/>
                <w:szCs w:val="18"/>
                <w:color w:val="auto"/>
                <w:w w:val="92"/>
              </w:rPr>
              <w:t>March 3,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Amy A. Samford</w:t>
            </w:r>
          </w:p>
        </w:tc>
        <w:tc>
          <w:tcPr>
            <w:tcW w:w="4700" w:type="dxa"/>
            <w:vAlign w:val="bottom"/>
            <w:gridSpan w:val="3"/>
          </w:tcPr>
          <w:p>
            <w:pPr>
              <w:jc w:val="center"/>
              <w:ind w:left="250"/>
              <w:spacing w:after="0"/>
              <w:rPr>
                <w:sz w:val="20"/>
                <w:szCs w:val="20"/>
                <w:color w:val="auto"/>
              </w:rPr>
            </w:pPr>
            <w:r>
              <w:rPr>
                <w:rFonts w:ascii="Arial" w:cs="Arial" w:eastAsia="Arial" w:hAnsi="Arial"/>
                <w:sz w:val="18"/>
                <w:szCs w:val="18"/>
                <w:color w:val="auto"/>
                <w:w w:val="94"/>
              </w:rPr>
              <w:t>(Principal Financial Officer)</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58"/>
        </w:trPr>
        <w:tc>
          <w:tcPr>
            <w:tcW w:w="4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Amy E. Ruf</w:t>
            </w:r>
          </w:p>
        </w:tc>
        <w:tc>
          <w:tcPr>
            <w:tcW w:w="4700" w:type="dxa"/>
            <w:vAlign w:val="bottom"/>
            <w:gridSpan w:val="3"/>
          </w:tcPr>
          <w:p>
            <w:pPr>
              <w:jc w:val="center"/>
              <w:ind w:left="250"/>
              <w:spacing w:after="0"/>
              <w:rPr>
                <w:sz w:val="20"/>
                <w:szCs w:val="20"/>
                <w:color w:val="auto"/>
              </w:rPr>
            </w:pPr>
            <w:r>
              <w:rPr>
                <w:rFonts w:ascii="Arial" w:cs="Arial" w:eastAsia="Arial" w:hAnsi="Arial"/>
                <w:sz w:val="18"/>
                <w:szCs w:val="18"/>
                <w:color w:val="auto"/>
                <w:w w:val="92"/>
              </w:rPr>
              <w:t>Vice President, Controller</w:t>
            </w:r>
          </w:p>
        </w:tc>
        <w:tc>
          <w:tcPr>
            <w:tcW w:w="1840" w:type="dxa"/>
            <w:vAlign w:val="bottom"/>
            <w:gridSpan w:val="3"/>
          </w:tcPr>
          <w:p>
            <w:pPr>
              <w:jc w:val="center"/>
              <w:ind w:left="690"/>
              <w:spacing w:after="0"/>
              <w:rPr>
                <w:sz w:val="20"/>
                <w:szCs w:val="20"/>
                <w:color w:val="auto"/>
              </w:rPr>
            </w:pPr>
            <w:r>
              <w:rPr>
                <w:rFonts w:ascii="Arial" w:cs="Arial" w:eastAsia="Arial" w:hAnsi="Arial"/>
                <w:sz w:val="18"/>
                <w:szCs w:val="18"/>
                <w:color w:val="auto"/>
                <w:w w:val="92"/>
              </w:rPr>
              <w:t>March 3,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Amy E. Ruf</w:t>
            </w:r>
          </w:p>
        </w:tc>
        <w:tc>
          <w:tcPr>
            <w:tcW w:w="4700" w:type="dxa"/>
            <w:vAlign w:val="bottom"/>
            <w:gridSpan w:val="3"/>
          </w:tcPr>
          <w:p>
            <w:pPr>
              <w:jc w:val="center"/>
              <w:ind w:left="250"/>
              <w:spacing w:after="0"/>
              <w:rPr>
                <w:sz w:val="20"/>
                <w:szCs w:val="20"/>
                <w:color w:val="auto"/>
              </w:rPr>
            </w:pPr>
            <w:r>
              <w:rPr>
                <w:rFonts w:ascii="Arial" w:cs="Arial" w:eastAsia="Arial" w:hAnsi="Arial"/>
                <w:sz w:val="18"/>
                <w:szCs w:val="18"/>
                <w:color w:val="auto"/>
                <w:w w:val="94"/>
              </w:rPr>
              <w:t>(Principal Accounting Officer)</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18"/>
        </w:trPr>
        <w:tc>
          <w:tcPr>
            <w:tcW w:w="4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Thomas E. Barry</w:t>
            </w:r>
          </w:p>
        </w:tc>
        <w:tc>
          <w:tcPr>
            <w:tcW w:w="4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1840" w:type="dxa"/>
            <w:vAlign w:val="bottom"/>
            <w:gridSpan w:val="3"/>
          </w:tcPr>
          <w:p>
            <w:pPr>
              <w:jc w:val="center"/>
              <w:ind w:left="690"/>
              <w:spacing w:after="0"/>
              <w:rPr>
                <w:sz w:val="20"/>
                <w:szCs w:val="20"/>
                <w:color w:val="auto"/>
              </w:rPr>
            </w:pPr>
            <w:r>
              <w:rPr>
                <w:rFonts w:ascii="Arial" w:cs="Arial" w:eastAsia="Arial" w:hAnsi="Arial"/>
                <w:sz w:val="18"/>
                <w:szCs w:val="18"/>
                <w:color w:val="auto"/>
                <w:w w:val="92"/>
              </w:rPr>
              <w:t>March 3,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Thomas E. Barry</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91"/>
        </w:trPr>
        <w:tc>
          <w:tcPr>
            <w:tcW w:w="4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A. Bowers</w:t>
            </w:r>
          </w:p>
        </w:tc>
        <w:tc>
          <w:tcPr>
            <w:tcW w:w="4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1840" w:type="dxa"/>
            <w:vAlign w:val="bottom"/>
            <w:gridSpan w:val="3"/>
          </w:tcPr>
          <w:p>
            <w:pPr>
              <w:jc w:val="center"/>
              <w:ind w:left="690"/>
              <w:spacing w:after="0"/>
              <w:rPr>
                <w:sz w:val="20"/>
                <w:szCs w:val="20"/>
                <w:color w:val="auto"/>
              </w:rPr>
            </w:pPr>
            <w:r>
              <w:rPr>
                <w:rFonts w:ascii="Arial" w:cs="Arial" w:eastAsia="Arial" w:hAnsi="Arial"/>
                <w:sz w:val="18"/>
                <w:szCs w:val="18"/>
                <w:color w:val="auto"/>
                <w:w w:val="92"/>
              </w:rPr>
              <w:t>March 3,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David A. Bowers</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91"/>
        </w:trPr>
        <w:tc>
          <w:tcPr>
            <w:tcW w:w="4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Terri L. Herrington</w:t>
            </w:r>
          </w:p>
        </w:tc>
        <w:tc>
          <w:tcPr>
            <w:tcW w:w="4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1840" w:type="dxa"/>
            <w:vAlign w:val="bottom"/>
            <w:gridSpan w:val="3"/>
          </w:tcPr>
          <w:p>
            <w:pPr>
              <w:jc w:val="center"/>
              <w:ind w:left="690"/>
              <w:spacing w:after="0"/>
              <w:rPr>
                <w:sz w:val="20"/>
                <w:szCs w:val="20"/>
                <w:color w:val="auto"/>
              </w:rPr>
            </w:pPr>
            <w:r>
              <w:rPr>
                <w:rFonts w:ascii="Arial" w:cs="Arial" w:eastAsia="Arial" w:hAnsi="Arial"/>
                <w:sz w:val="18"/>
                <w:szCs w:val="18"/>
                <w:color w:val="auto"/>
                <w:w w:val="92"/>
              </w:rPr>
              <w:t>March 3,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Terri L. Herrington</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91"/>
        </w:trPr>
        <w:tc>
          <w:tcPr>
            <w:tcW w:w="4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Ann Manix</w:t>
            </w:r>
          </w:p>
        </w:tc>
        <w:tc>
          <w:tcPr>
            <w:tcW w:w="4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1840" w:type="dxa"/>
            <w:vAlign w:val="bottom"/>
            <w:gridSpan w:val="3"/>
          </w:tcPr>
          <w:p>
            <w:pPr>
              <w:jc w:val="center"/>
              <w:ind w:left="690"/>
              <w:spacing w:after="0"/>
              <w:rPr>
                <w:sz w:val="20"/>
                <w:szCs w:val="20"/>
                <w:color w:val="auto"/>
              </w:rPr>
            </w:pPr>
            <w:r>
              <w:rPr>
                <w:rFonts w:ascii="Arial" w:cs="Arial" w:eastAsia="Arial" w:hAnsi="Arial"/>
                <w:sz w:val="18"/>
                <w:szCs w:val="18"/>
                <w:color w:val="auto"/>
                <w:w w:val="92"/>
              </w:rPr>
              <w:t>March 3,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Ann Manix</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91"/>
        </w:trPr>
        <w:tc>
          <w:tcPr>
            <w:tcW w:w="4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Mary A. Tidlund</w:t>
            </w:r>
          </w:p>
        </w:tc>
        <w:tc>
          <w:tcPr>
            <w:tcW w:w="4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Director</w:t>
            </w:r>
          </w:p>
        </w:tc>
        <w:tc>
          <w:tcPr>
            <w:tcW w:w="1840" w:type="dxa"/>
            <w:vAlign w:val="bottom"/>
            <w:gridSpan w:val="3"/>
          </w:tcPr>
          <w:p>
            <w:pPr>
              <w:jc w:val="center"/>
              <w:ind w:left="690"/>
              <w:spacing w:after="0"/>
              <w:rPr>
                <w:sz w:val="20"/>
                <w:szCs w:val="20"/>
                <w:color w:val="auto"/>
              </w:rPr>
            </w:pPr>
            <w:r>
              <w:rPr>
                <w:rFonts w:ascii="Arial" w:cs="Arial" w:eastAsia="Arial" w:hAnsi="Arial"/>
                <w:sz w:val="18"/>
                <w:szCs w:val="18"/>
                <w:color w:val="auto"/>
                <w:w w:val="92"/>
              </w:rPr>
              <w:t>March 3, 2021</w:t>
            </w:r>
          </w:p>
        </w:tc>
      </w:tr>
      <w:tr>
        <w:trPr>
          <w:trHeight w:val="224"/>
        </w:trPr>
        <w:tc>
          <w:tcPr>
            <w:tcW w:w="4200" w:type="dxa"/>
            <w:vAlign w:val="bottom"/>
            <w:gridSpan w:val="3"/>
          </w:tcPr>
          <w:p>
            <w:pPr>
              <w:spacing w:after="0"/>
              <w:rPr>
                <w:sz w:val="20"/>
                <w:szCs w:val="20"/>
                <w:color w:val="auto"/>
              </w:rPr>
            </w:pPr>
            <w:r>
              <w:rPr>
                <w:rFonts w:ascii="Arial" w:cs="Arial" w:eastAsia="Arial" w:hAnsi="Arial"/>
                <w:sz w:val="18"/>
                <w:szCs w:val="18"/>
                <w:color w:val="auto"/>
              </w:rPr>
              <w:t>Mary A. Tidlund</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8 and 15(a)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of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Financial Statements</w:t>
            </w:r>
          </w:p>
        </w:tc>
        <w:tc>
          <w:tcPr>
            <w:tcW w:w="140" w:type="dxa"/>
            <w:vAlign w:val="bottom"/>
          </w:tcPr>
          <w:p>
            <w:pPr>
              <w:spacing w:after="0"/>
              <w:rPr>
                <w:sz w:val="16"/>
                <w:szCs w:val="16"/>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Page</w:t>
            </w:r>
          </w:p>
        </w:tc>
      </w:tr>
      <w:tr>
        <w:trPr>
          <w:trHeight w:val="331"/>
        </w:trPr>
        <w:tc>
          <w:tcPr>
            <w:tcW w:w="10780" w:type="dxa"/>
            <w:vAlign w:val="bottom"/>
            <w:gridSpan w:val="2"/>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Report of Independent Registered Public Accounting Firm</w:t>
              </w:r>
            </w:hyperlink>
          </w:p>
        </w:tc>
        <w:tc>
          <w:tcPr>
            <w:tcW w:w="460" w:type="dxa"/>
            <w:vAlign w:val="bottom"/>
          </w:tcPr>
          <w:p>
            <w:pPr>
              <w:ind w:left="80"/>
              <w:spacing w:after="0"/>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2</w:t>
            </w:r>
          </w:p>
        </w:tc>
      </w:tr>
      <w:tr>
        <w:trPr>
          <w:trHeight w:val="338"/>
        </w:trPr>
        <w:tc>
          <w:tcPr>
            <w:tcW w:w="10780" w:type="dxa"/>
            <w:vAlign w:val="bottom"/>
            <w:gridSpan w:val="2"/>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Consolidated Balance Sheets—December 31, 2019 and 2020</w:t>
              </w:r>
            </w:hyperlink>
          </w:p>
        </w:tc>
        <w:tc>
          <w:tcPr>
            <w:tcW w:w="460" w:type="dxa"/>
            <w:vAlign w:val="bottom"/>
          </w:tcPr>
          <w:p>
            <w:pPr>
              <w:ind w:left="80"/>
              <w:spacing w:after="0"/>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4</w:t>
            </w:r>
          </w:p>
        </w:tc>
      </w:tr>
      <w:tr>
        <w:trPr>
          <w:trHeight w:val="338"/>
        </w:trPr>
        <w:tc>
          <w:tcPr>
            <w:tcW w:w="10780" w:type="dxa"/>
            <w:vAlign w:val="bottom"/>
            <w:gridSpan w:val="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Consolidated Statements of Income—Years ended December 31, 2018, 2019 and 2020</w:t>
              </w:r>
            </w:hyperlink>
          </w:p>
        </w:tc>
        <w:tc>
          <w:tcPr>
            <w:tcW w:w="460" w:type="dxa"/>
            <w:vAlign w:val="bottom"/>
          </w:tcPr>
          <w:p>
            <w:pPr>
              <w:ind w:left="80"/>
              <w:spacing w:after="0"/>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6</w:t>
            </w:r>
          </w:p>
        </w:tc>
      </w:tr>
      <w:tr>
        <w:trPr>
          <w:trHeight w:val="338"/>
        </w:trPr>
        <w:tc>
          <w:tcPr>
            <w:tcW w:w="10780" w:type="dxa"/>
            <w:vAlign w:val="bottom"/>
            <w:gridSpan w:val="2"/>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Consolidated Statements of Stockholders’ Equity—Years ended December 31, 2018, 2019 and 2020</w:t>
              </w:r>
            </w:hyperlink>
          </w:p>
        </w:tc>
        <w:tc>
          <w:tcPr>
            <w:tcW w:w="460" w:type="dxa"/>
            <w:vAlign w:val="bottom"/>
          </w:tcPr>
          <w:p>
            <w:pPr>
              <w:ind w:left="80"/>
              <w:spacing w:after="0"/>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7</w:t>
            </w:r>
          </w:p>
        </w:tc>
      </w:tr>
      <w:tr>
        <w:trPr>
          <w:trHeight w:val="338"/>
        </w:trPr>
        <w:tc>
          <w:tcPr>
            <w:tcW w:w="10780" w:type="dxa"/>
            <w:vAlign w:val="bottom"/>
            <w:gridSpan w:val="2"/>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Consolidated Statements of Cash Flows—Years ended December 31, 2018, 2019 and 2020</w:t>
              </w:r>
            </w:hyperlink>
          </w:p>
        </w:tc>
        <w:tc>
          <w:tcPr>
            <w:tcW w:w="460" w:type="dxa"/>
            <w:vAlign w:val="bottom"/>
          </w:tcPr>
          <w:p>
            <w:pPr>
              <w:ind w:left="80"/>
              <w:spacing w:after="0"/>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8</w:t>
            </w:r>
          </w:p>
        </w:tc>
      </w:tr>
      <w:tr>
        <w:trPr>
          <w:trHeight w:val="338"/>
        </w:trPr>
        <w:tc>
          <w:tcPr>
            <w:tcW w:w="10780" w:type="dxa"/>
            <w:vAlign w:val="bottom"/>
            <w:gridSpan w:val="2"/>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Notes to Consolidated Financial Statements</w:t>
              </w:r>
            </w:hyperlink>
          </w:p>
        </w:tc>
        <w:tc>
          <w:tcPr>
            <w:tcW w:w="460" w:type="dxa"/>
            <w:vAlign w:val="bottom"/>
          </w:tcPr>
          <w:p>
            <w:pPr>
              <w:ind w:left="80"/>
              <w:spacing w:after="0"/>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9</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financial statement schedules have been omitted either because they are not applicable or required, or the information that would be required to be included is disclosed in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CompX International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CompX International Inc. and its subsidiaries (the “Company”) as of January 3, 2021 and December 29, 2019, and the related consolidated statements of income, of stockholders’ equity and of cash flows for each of the three years in the period ended January 3, 2021, including the related notes (collectively referred to as the “consolidated financial statements”). In our opinion, the consolidated financial statements present fairly, in all material respects, the financial position of the Company as of January 3, 2021 and December 29, 2019, and the results of its operations and its cash flows for each of the three years in the period ended January 3, 2021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Security Products Reporting Unit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in Note 5 to the consolidated financial statements, the Company’s consolidated goodwill balance was $23.7 million as of December 31, 2020, all of which related to the Company’s Security Products reporting unit, which corresponds to its Security Products operating segment. As disclosed by management, management performs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8" w:name="page29"/>
    <w:bookmarkEnd w:id="28"/>
    <w:p>
      <w:pPr>
        <w:jc w:val="both"/>
        <w:spacing w:after="0" w:line="291" w:lineRule="auto"/>
        <w:rPr>
          <w:sz w:val="20"/>
          <w:szCs w:val="20"/>
          <w:color w:val="auto"/>
        </w:rPr>
      </w:pPr>
      <w:r>
        <w:rPr>
          <w:rFonts w:ascii="Arial" w:cs="Arial" w:eastAsia="Arial" w:hAnsi="Arial"/>
          <w:sz w:val="16"/>
          <w:szCs w:val="16"/>
          <w:color w:val="auto"/>
        </w:rPr>
        <w:t>an annual goodwill impairment test in the third quarter of each year, or at other times whenever an event occurs or circumstances change that would more-likely-than-not reduce the fair value of a reporting unit below its carrying value. Management first assesses qualitative factors to determine whether it is more likely than not the fair value of the Security Products reporting unit is less than its carrying value. When performing a qualitative assessment, considerable management judgment is necessary to evaluate the qualitative impact of events and circumstances on the fair value of a reporting unit. Events and circumstances considered in management’s impairment evaluations include historical profits and stability of the markets served. In 2020, management used the qualitative assessment for the annual impairment test and determined it was not necessary to perform the quantitative goodwill impairment test, as management concluded it was more likely than not the fair value of the Security Products reporting unit exceeded its carrying amount.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of the Security Products reporting unit is a critical audit matter are (i) the significant judgment by management when performing the qualitative impairment assessment and (ii) the high degree of auditor judgment and subjectivity in performing procedures and evaluating evidence relating to management’s qualitative impairment assessment.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and the review of qualitative factors affecting the Security Products reporting unit. These procedures also included, among others, (i) evaluating management’s qualitative impairment assessment by analyzing financial performance of the Security Products reporting unit, the Company’s market capitalization and other events or circumstances impacting the reporting unit and (ii) comparing actual financial performance with forecasted financial performance used in previous impairment assessments to evaluate management’s assessment of whether it is more likely than not that the fair value of each reporting unit is less than the carrying value.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0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940" w:type="dxa"/>
            <w:vAlign w:val="bottom"/>
          </w:tcPr>
          <w:p>
            <w:pPr>
              <w:spacing w:after="0"/>
              <w:rPr>
                <w:sz w:val="20"/>
                <w:szCs w:val="20"/>
                <w:color w:val="auto"/>
              </w:rPr>
            </w:pPr>
            <w:r>
              <w:rPr>
                <w:rFonts w:ascii="Arial" w:cs="Arial" w:eastAsia="Arial" w:hAnsi="Arial"/>
                <w:sz w:val="18"/>
                <w:szCs w:val="18"/>
                <w:color w:val="auto"/>
              </w:rPr>
              <w:t>Current assets:</w:t>
            </w:r>
          </w:p>
        </w:tc>
        <w:tc>
          <w:tcPr>
            <w:tcW w:w="3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70,637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63,255</w:t>
            </w:r>
          </w:p>
        </w:tc>
        <w:tc>
          <w:tcPr>
            <w:tcW w:w="10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3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11,870</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3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18,348</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18,337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30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5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9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0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95,097</w:t>
            </w:r>
          </w:p>
        </w:tc>
        <w:tc>
          <w:tcPr>
            <w:tcW w:w="5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101,246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940" w:type="dxa"/>
            <w:vAlign w:val="bottom"/>
          </w:tcPr>
          <w:p>
            <w:pPr>
              <w:spacing w:after="0"/>
              <w:rPr>
                <w:sz w:val="20"/>
                <w:szCs w:val="20"/>
                <w:color w:val="auto"/>
              </w:rPr>
            </w:pPr>
            <w:r>
              <w:rPr>
                <w:rFonts w:ascii="Arial" w:cs="Arial" w:eastAsia="Arial" w:hAnsi="Arial"/>
                <w:sz w:val="18"/>
                <w:szCs w:val="18"/>
                <w:color w:val="auto"/>
              </w:rPr>
              <w:t>Other assets:</w:t>
            </w:r>
          </w:p>
        </w:tc>
        <w:tc>
          <w:tcPr>
            <w:tcW w:w="3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140"/>
              <w:spacing w:after="0"/>
              <w:rPr>
                <w:sz w:val="20"/>
                <w:szCs w:val="20"/>
                <w:color w:val="auto"/>
              </w:rPr>
            </w:pPr>
            <w:r>
              <w:rPr>
                <w:rFonts w:ascii="Arial" w:cs="Arial" w:eastAsia="Arial" w:hAnsi="Arial"/>
                <w:sz w:val="18"/>
                <w:szCs w:val="18"/>
                <w:color w:val="auto"/>
              </w:rPr>
              <w:t>Note receivable from affiliate</w:t>
            </w:r>
          </w:p>
        </w:tc>
        <w:tc>
          <w:tcPr>
            <w:tcW w:w="3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28,100</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Goodwill</w:t>
            </w:r>
          </w:p>
        </w:tc>
        <w:tc>
          <w:tcPr>
            <w:tcW w:w="3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23,742</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140"/>
              <w:spacing w:after="0"/>
              <w:rPr>
                <w:sz w:val="20"/>
                <w:szCs w:val="20"/>
                <w:color w:val="auto"/>
              </w:rPr>
            </w:pPr>
            <w:r>
              <w:rPr>
                <w:rFonts w:ascii="Arial" w:cs="Arial" w:eastAsia="Arial" w:hAnsi="Arial"/>
                <w:sz w:val="18"/>
                <w:szCs w:val="18"/>
                <w:color w:val="auto"/>
              </w:rPr>
              <w:t>Other noncurrent</w:t>
            </w:r>
          </w:p>
        </w:tc>
        <w:tc>
          <w:tcPr>
            <w:tcW w:w="30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5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94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30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52,432</w:t>
            </w:r>
          </w:p>
        </w:tc>
        <w:tc>
          <w:tcPr>
            <w:tcW w:w="5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9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140"/>
              <w:spacing w:after="0"/>
              <w:rPr>
                <w:sz w:val="20"/>
                <w:szCs w:val="20"/>
                <w:color w:val="auto"/>
              </w:rPr>
            </w:pPr>
            <w:r>
              <w:rPr>
                <w:rFonts w:ascii="Arial" w:cs="Arial" w:eastAsia="Arial" w:hAnsi="Arial"/>
                <w:sz w:val="18"/>
                <w:szCs w:val="18"/>
                <w:color w:val="auto"/>
              </w:rPr>
              <w:t>Land</w:t>
            </w:r>
          </w:p>
        </w:tc>
        <w:tc>
          <w:tcPr>
            <w:tcW w:w="3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4,940</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Buildings</w:t>
            </w:r>
          </w:p>
        </w:tc>
        <w:tc>
          <w:tcPr>
            <w:tcW w:w="3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23,047</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23,146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color w:val="auto"/>
              </w:rPr>
              <w:t>Equipment</w:t>
            </w:r>
          </w:p>
        </w:tc>
        <w:tc>
          <w:tcPr>
            <w:tcW w:w="3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67,718</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68,227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140"/>
              <w:spacing w:after="0"/>
              <w:rPr>
                <w:sz w:val="20"/>
                <w:szCs w:val="20"/>
                <w:color w:val="auto"/>
              </w:rPr>
            </w:pPr>
            <w:r>
              <w:rPr>
                <w:rFonts w:ascii="Arial" w:cs="Arial" w:eastAsia="Arial" w:hAnsi="Arial"/>
                <w:sz w:val="18"/>
                <w:szCs w:val="18"/>
                <w:color w:val="auto"/>
              </w:rPr>
              <w:t>Construction in progress</w:t>
            </w:r>
          </w:p>
        </w:tc>
        <w:tc>
          <w:tcPr>
            <w:tcW w:w="30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5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9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96,707</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97,323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940" w:type="dxa"/>
            <w:vAlign w:val="bottom"/>
          </w:tcPr>
          <w:p>
            <w:pPr>
              <w:ind w:left="140"/>
              <w:spacing w:after="0"/>
              <w:rPr>
                <w:sz w:val="20"/>
                <w:szCs w:val="20"/>
                <w:color w:val="auto"/>
              </w:rPr>
            </w:pPr>
            <w:r>
              <w:rPr>
                <w:rFonts w:ascii="Arial" w:cs="Arial" w:eastAsia="Arial" w:hAnsi="Arial"/>
                <w:sz w:val="18"/>
                <w:szCs w:val="18"/>
                <w:color w:val="auto"/>
              </w:rPr>
              <w:t>Less accumulated depreciation</w:t>
            </w:r>
          </w:p>
        </w:tc>
        <w:tc>
          <w:tcPr>
            <w:tcW w:w="30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65,692</w:t>
            </w:r>
          </w:p>
        </w:tc>
        <w:tc>
          <w:tcPr>
            <w:tcW w:w="5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68,373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940" w:type="dxa"/>
            <w:vAlign w:val="bottom"/>
          </w:tcPr>
          <w:p>
            <w:pPr>
              <w:ind w:left="380"/>
              <w:spacing w:after="0"/>
              <w:rPr>
                <w:sz w:val="20"/>
                <w:szCs w:val="20"/>
                <w:color w:val="auto"/>
              </w:rPr>
            </w:pPr>
            <w:r>
              <w:rPr>
                <w:rFonts w:ascii="Arial" w:cs="Arial" w:eastAsia="Arial" w:hAnsi="Arial"/>
                <w:sz w:val="18"/>
                <w:szCs w:val="18"/>
                <w:color w:val="auto"/>
              </w:rPr>
              <w:t>Net property and equipment</w:t>
            </w:r>
          </w:p>
        </w:tc>
        <w:tc>
          <w:tcPr>
            <w:tcW w:w="30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31,015</w:t>
            </w:r>
          </w:p>
        </w:tc>
        <w:tc>
          <w:tcPr>
            <w:tcW w:w="5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3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178,544</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184,045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40" w:type="dxa"/>
            <w:vAlign w:val="bottom"/>
          </w:tcPr>
          <w:p>
            <w:pPr>
              <w:spacing w:after="0"/>
              <w:rPr>
                <w:sz w:val="24"/>
                <w:szCs w:val="24"/>
                <w:color w:val="auto"/>
              </w:rPr>
            </w:pPr>
          </w:p>
        </w:tc>
        <w:tc>
          <w:tcPr>
            <w:tcW w:w="3460" w:type="dxa"/>
            <w:vAlign w:val="bottom"/>
            <w:gridSpan w:val="2"/>
          </w:tcPr>
          <w:p>
            <w:pPr>
              <w:jc w:val="right"/>
              <w:ind w:right="1660"/>
              <w:spacing w:after="0"/>
              <w:rPr>
                <w:sz w:val="20"/>
                <w:szCs w:val="20"/>
                <w:color w:val="auto"/>
              </w:rPr>
            </w:pPr>
            <w:r>
              <w:rPr>
                <w:rFonts w:ascii="Arial" w:cs="Arial" w:eastAsia="Arial" w:hAnsi="Arial"/>
                <w:sz w:val="18"/>
                <w:szCs w:val="18"/>
                <w:color w:val="auto"/>
              </w:rPr>
              <w:t>F-4</w:t>
            </w: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center"/>
        <w:ind w:right="-99"/>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52"/>
        </w:trPr>
        <w:tc>
          <w:tcPr>
            <w:tcW w:w="700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12,198</w:t>
            </w:r>
          </w:p>
        </w:tc>
        <w:tc>
          <w:tcPr>
            <w:tcW w:w="0" w:type="dxa"/>
            <w:vAlign w:val="bottom"/>
          </w:tcPr>
          <w:p>
            <w:pPr>
              <w:spacing w:after="0"/>
              <w:rPr>
                <w:sz w:val="1"/>
                <w:szCs w:val="1"/>
                <w:color w:val="auto"/>
              </w:rPr>
            </w:pPr>
          </w:p>
        </w:tc>
      </w:tr>
      <w:tr>
        <w:trPr>
          <w:trHeight w:val="225"/>
        </w:trPr>
        <w:tc>
          <w:tcPr>
            <w:tcW w:w="7000" w:type="dxa"/>
            <w:vAlign w:val="bottom"/>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12,078</w:t>
            </w:r>
          </w:p>
        </w:tc>
        <w:tc>
          <w:tcPr>
            <w:tcW w:w="5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00" w:type="dxa"/>
            <w:vAlign w:val="bottom"/>
          </w:tcPr>
          <w:p>
            <w:pPr>
              <w:ind w:left="140"/>
              <w:spacing w:after="0"/>
              <w:rPr>
                <w:sz w:val="20"/>
                <w:szCs w:val="20"/>
                <w:color w:val="auto"/>
              </w:rPr>
            </w:pPr>
            <w:r>
              <w:rPr>
                <w:rFonts w:ascii="Arial" w:cs="Arial" w:eastAsia="Arial" w:hAnsi="Arial"/>
                <w:sz w:val="18"/>
                <w:szCs w:val="18"/>
                <w:color w:val="auto"/>
              </w:rPr>
              <w:t>Income taxes payable to affiliate</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5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952</w:t>
            </w:r>
          </w:p>
        </w:tc>
        <w:tc>
          <w:tcPr>
            <w:tcW w:w="0" w:type="dxa"/>
            <w:vAlign w:val="bottom"/>
          </w:tcPr>
          <w:p>
            <w:pPr>
              <w:spacing w:after="0"/>
              <w:rPr>
                <w:sz w:val="1"/>
                <w:szCs w:val="1"/>
                <w:color w:val="auto"/>
              </w:rPr>
            </w:pPr>
          </w:p>
        </w:tc>
      </w:tr>
      <w:tr>
        <w:trPr>
          <w:trHeight w:val="453"/>
        </w:trPr>
        <w:tc>
          <w:tcPr>
            <w:tcW w:w="70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5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13,150</w:t>
            </w:r>
          </w:p>
        </w:tc>
        <w:tc>
          <w:tcPr>
            <w:tcW w:w="0" w:type="dxa"/>
            <w:vAlign w:val="bottom"/>
          </w:tcPr>
          <w:p>
            <w:pPr>
              <w:spacing w:after="0"/>
              <w:rPr>
                <w:sz w:val="1"/>
                <w:szCs w:val="1"/>
                <w:color w:val="auto"/>
              </w:rPr>
            </w:pPr>
          </w:p>
        </w:tc>
      </w:tr>
      <w:tr>
        <w:trPr>
          <w:trHeight w:val="452"/>
        </w:trPr>
        <w:tc>
          <w:tcPr>
            <w:tcW w:w="7000" w:type="dxa"/>
            <w:vAlign w:val="bottom"/>
          </w:tcPr>
          <w:p>
            <w:pPr>
              <w:spacing w:after="0"/>
              <w:rPr>
                <w:sz w:val="20"/>
                <w:szCs w:val="20"/>
                <w:color w:val="auto"/>
              </w:rPr>
            </w:pPr>
            <w:r>
              <w:rPr>
                <w:rFonts w:ascii="Arial" w:cs="Arial" w:eastAsia="Arial" w:hAnsi="Arial"/>
                <w:sz w:val="18"/>
                <w:szCs w:val="18"/>
                <w:color w:val="auto"/>
              </w:rPr>
              <w:t>Noncurrent liabilities -</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3,239</w:t>
            </w: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5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000" w:type="dxa"/>
            <w:vAlign w:val="bottom"/>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140"/>
              <w:spacing w:after="0"/>
              <w:rPr>
                <w:sz w:val="20"/>
                <w:szCs w:val="20"/>
                <w:color w:val="auto"/>
              </w:rPr>
            </w:pPr>
            <w:r>
              <w:rPr>
                <w:rFonts w:ascii="Arial" w:cs="Arial" w:eastAsia="Arial" w:hAnsi="Arial"/>
                <w:sz w:val="18"/>
                <w:szCs w:val="18"/>
                <w:color w:val="auto"/>
              </w:rPr>
              <w:t>Preferred stock, $.01 par value; 1,000 shares</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7000" w:type="dxa"/>
            <w:vAlign w:val="bottom"/>
          </w:tcPr>
          <w:p>
            <w:pPr>
              <w:ind w:left="260"/>
              <w:spacing w:after="0"/>
              <w:rPr>
                <w:sz w:val="20"/>
                <w:szCs w:val="20"/>
                <w:color w:val="auto"/>
              </w:rPr>
            </w:pPr>
            <w:r>
              <w:rPr>
                <w:rFonts w:ascii="Arial" w:cs="Arial" w:eastAsia="Arial" w:hAnsi="Arial"/>
                <w:sz w:val="18"/>
                <w:szCs w:val="18"/>
                <w:color w:val="auto"/>
              </w:rPr>
              <w:t>authorized, none issued</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Class A common stock, $.01 par value;</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60"/>
              <w:spacing w:after="0"/>
              <w:rPr>
                <w:sz w:val="20"/>
                <w:szCs w:val="20"/>
                <w:color w:val="auto"/>
              </w:rPr>
            </w:pPr>
            <w:r>
              <w:rPr>
                <w:rFonts w:ascii="Arial" w:cs="Arial" w:eastAsia="Arial" w:hAnsi="Arial"/>
                <w:sz w:val="18"/>
                <w:szCs w:val="18"/>
                <w:color w:val="auto"/>
              </w:rPr>
              <w:t>20,000,000 shares authorized; 12,443,057 and</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124</w:t>
            </w:r>
          </w:p>
        </w:tc>
        <w:tc>
          <w:tcPr>
            <w:tcW w:w="0" w:type="dxa"/>
            <w:vAlign w:val="bottom"/>
          </w:tcPr>
          <w:p>
            <w:pPr>
              <w:spacing w:after="0"/>
              <w:rPr>
                <w:sz w:val="1"/>
                <w:szCs w:val="1"/>
                <w:color w:val="auto"/>
              </w:rPr>
            </w:pPr>
          </w:p>
        </w:tc>
      </w:tr>
      <w:tr>
        <w:trPr>
          <w:trHeight w:val="225"/>
        </w:trPr>
        <w:tc>
          <w:tcPr>
            <w:tcW w:w="7000" w:type="dxa"/>
            <w:vAlign w:val="bottom"/>
          </w:tcPr>
          <w:p>
            <w:pPr>
              <w:ind w:left="260"/>
              <w:spacing w:after="0"/>
              <w:rPr>
                <w:sz w:val="20"/>
                <w:szCs w:val="20"/>
                <w:color w:val="auto"/>
              </w:rPr>
            </w:pPr>
            <w:r>
              <w:rPr>
                <w:rFonts w:ascii="Arial" w:cs="Arial" w:eastAsia="Arial" w:hAnsi="Arial"/>
                <w:sz w:val="18"/>
                <w:szCs w:val="18"/>
                <w:color w:val="auto"/>
              </w:rPr>
              <w:t>12,451,157 shares issued and outstanding</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55,869</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55,987</w:t>
            </w:r>
          </w:p>
        </w:tc>
        <w:tc>
          <w:tcPr>
            <w:tcW w:w="0" w:type="dxa"/>
            <w:vAlign w:val="bottom"/>
          </w:tcPr>
          <w:p>
            <w:pPr>
              <w:spacing w:after="0"/>
              <w:rPr>
                <w:sz w:val="1"/>
                <w:szCs w:val="1"/>
                <w:color w:val="auto"/>
              </w:rPr>
            </w:pPr>
          </w:p>
        </w:tc>
      </w:tr>
      <w:tr>
        <w:trPr>
          <w:trHeight w:val="234"/>
        </w:trPr>
        <w:tc>
          <w:tcPr>
            <w:tcW w:w="70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106,202</w:t>
            </w:r>
          </w:p>
        </w:tc>
        <w:tc>
          <w:tcPr>
            <w:tcW w:w="5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111,545</w:t>
            </w:r>
          </w:p>
        </w:tc>
        <w:tc>
          <w:tcPr>
            <w:tcW w:w="0" w:type="dxa"/>
            <w:vAlign w:val="bottom"/>
          </w:tcPr>
          <w:p>
            <w:pPr>
              <w:spacing w:after="0"/>
              <w:rPr>
                <w:sz w:val="1"/>
                <w:szCs w:val="1"/>
                <w:color w:val="auto"/>
              </w:rPr>
            </w:pPr>
          </w:p>
        </w:tc>
      </w:tr>
      <w:tr>
        <w:trPr>
          <w:trHeight w:val="453"/>
        </w:trPr>
        <w:tc>
          <w:tcPr>
            <w:tcW w:w="70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162,195</w:t>
            </w:r>
          </w:p>
        </w:tc>
        <w:tc>
          <w:tcPr>
            <w:tcW w:w="5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167,656</w:t>
            </w:r>
          </w:p>
        </w:tc>
        <w:tc>
          <w:tcPr>
            <w:tcW w:w="0" w:type="dxa"/>
            <w:vAlign w:val="bottom"/>
          </w:tcPr>
          <w:p>
            <w:pPr>
              <w:spacing w:after="0"/>
              <w:rPr>
                <w:sz w:val="1"/>
                <w:szCs w:val="1"/>
                <w:color w:val="auto"/>
              </w:rPr>
            </w:pPr>
          </w:p>
        </w:tc>
      </w:tr>
      <w:tr>
        <w:trPr>
          <w:trHeight w:val="453"/>
        </w:trPr>
        <w:tc>
          <w:tcPr>
            <w:tcW w:w="70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178,544</w:t>
            </w:r>
          </w:p>
        </w:tc>
        <w:tc>
          <w:tcPr>
            <w:tcW w:w="500" w:type="dxa"/>
            <w:vAlign w:val="bottom"/>
          </w:tcPr>
          <w:p>
            <w:pPr>
              <w:spacing w:after="0"/>
              <w:rPr>
                <w:sz w:val="24"/>
                <w:szCs w:val="24"/>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184,045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10)</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31" w:name="page32"/>
    <w:bookmarkEnd w:id="31"/>
    <w:p>
      <w:pPr>
        <w:jc w:val="center"/>
        <w:ind w:right="-119"/>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INCOME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Years ended December 31,</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448"/>
        </w:trPr>
        <w:tc>
          <w:tcPr>
            <w:tcW w:w="4260" w:type="dxa"/>
            <w:vAlign w:val="bottom"/>
          </w:tcPr>
          <w:p>
            <w:pPr>
              <w:spacing w:after="0"/>
              <w:rPr>
                <w:sz w:val="20"/>
                <w:szCs w:val="20"/>
                <w:color w:val="auto"/>
              </w:rPr>
            </w:pPr>
            <w:r>
              <w:rPr>
                <w:rFonts w:ascii="Arial" w:cs="Arial" w:eastAsia="Arial" w:hAnsi="Arial"/>
                <w:sz w:val="18"/>
                <w:szCs w:val="18"/>
                <w:color w:val="auto"/>
              </w:rPr>
              <w:t>Net sales</w:t>
            </w:r>
          </w:p>
        </w:tc>
        <w:tc>
          <w:tcPr>
            <w:tcW w:w="200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118,217</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124,243</w:t>
            </w:r>
          </w:p>
        </w:tc>
        <w:tc>
          <w:tcPr>
            <w:tcW w:w="480" w:type="dxa"/>
            <w:vAlign w:val="bottom"/>
          </w:tcPr>
          <w:p>
            <w:pPr>
              <w:spacing w:after="0"/>
              <w:rPr>
                <w:sz w:val="24"/>
                <w:szCs w:val="24"/>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114,537</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Arial" w:cs="Arial" w:eastAsia="Arial" w:hAnsi="Arial"/>
                <w:sz w:val="18"/>
                <w:szCs w:val="18"/>
                <w:color w:val="auto"/>
              </w:rPr>
              <w:t>Cost of sales</w:t>
            </w:r>
          </w:p>
        </w:tc>
        <w:tc>
          <w:tcPr>
            <w:tcW w:w="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79,946</w:t>
            </w:r>
          </w:p>
        </w:tc>
        <w:tc>
          <w:tcPr>
            <w:tcW w:w="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85,280</w:t>
            </w:r>
          </w:p>
        </w:tc>
        <w:tc>
          <w:tcPr>
            <w:tcW w:w="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81,689</w:t>
            </w:r>
          </w:p>
        </w:tc>
        <w:tc>
          <w:tcPr>
            <w:tcW w:w="0" w:type="dxa"/>
            <w:vAlign w:val="bottom"/>
          </w:tcPr>
          <w:p>
            <w:pPr>
              <w:spacing w:after="0"/>
              <w:rPr>
                <w:sz w:val="1"/>
                <w:szCs w:val="1"/>
                <w:color w:val="auto"/>
              </w:rPr>
            </w:pPr>
          </w:p>
        </w:tc>
      </w:tr>
      <w:tr>
        <w:trPr>
          <w:trHeight w:val="453"/>
        </w:trPr>
        <w:tc>
          <w:tcPr>
            <w:tcW w:w="4260" w:type="dxa"/>
            <w:vAlign w:val="bottom"/>
          </w:tcPr>
          <w:p>
            <w:pPr>
              <w:ind w:left="380"/>
              <w:spacing w:after="0"/>
              <w:rPr>
                <w:sz w:val="20"/>
                <w:szCs w:val="20"/>
                <w:color w:val="auto"/>
              </w:rPr>
            </w:pPr>
            <w:r>
              <w:rPr>
                <w:rFonts w:ascii="Arial" w:cs="Arial" w:eastAsia="Arial" w:hAnsi="Arial"/>
                <w:sz w:val="18"/>
                <w:szCs w:val="18"/>
                <w:color w:val="auto"/>
              </w:rPr>
              <w:t>Gross margin</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38,271</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38,963</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32,848</w:t>
            </w:r>
          </w:p>
        </w:tc>
        <w:tc>
          <w:tcPr>
            <w:tcW w:w="0" w:type="dxa"/>
            <w:vAlign w:val="bottom"/>
          </w:tcPr>
          <w:p>
            <w:pPr>
              <w:spacing w:after="0"/>
              <w:rPr>
                <w:sz w:val="1"/>
                <w:szCs w:val="1"/>
                <w:color w:val="auto"/>
              </w:rPr>
            </w:pPr>
          </w:p>
        </w:tc>
      </w:tr>
      <w:tr>
        <w:trPr>
          <w:trHeight w:val="459"/>
        </w:trPr>
        <w:tc>
          <w:tcPr>
            <w:tcW w:w="42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9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20,460</w:t>
            </w:r>
          </w:p>
        </w:tc>
        <w:tc>
          <w:tcPr>
            <w:tcW w:w="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21,297</w:t>
            </w:r>
          </w:p>
        </w:tc>
        <w:tc>
          <w:tcPr>
            <w:tcW w:w="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21,031</w:t>
            </w:r>
          </w:p>
        </w:tc>
        <w:tc>
          <w:tcPr>
            <w:tcW w:w="0" w:type="dxa"/>
            <w:vAlign w:val="bottom"/>
          </w:tcPr>
          <w:p>
            <w:pPr>
              <w:spacing w:after="0"/>
              <w:rPr>
                <w:sz w:val="1"/>
                <w:szCs w:val="1"/>
                <w:color w:val="auto"/>
              </w:rPr>
            </w:pPr>
          </w:p>
        </w:tc>
      </w:tr>
      <w:tr>
        <w:trPr>
          <w:trHeight w:val="453"/>
        </w:trPr>
        <w:tc>
          <w:tcPr>
            <w:tcW w:w="426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17,811</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17,666</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11,817</w:t>
            </w:r>
          </w:p>
        </w:tc>
        <w:tc>
          <w:tcPr>
            <w:tcW w:w="0" w:type="dxa"/>
            <w:vAlign w:val="bottom"/>
          </w:tcPr>
          <w:p>
            <w:pPr>
              <w:spacing w:after="0"/>
              <w:rPr>
                <w:sz w:val="1"/>
                <w:szCs w:val="1"/>
                <w:color w:val="auto"/>
              </w:rPr>
            </w:pPr>
          </w:p>
        </w:tc>
      </w:tr>
      <w:tr>
        <w:trPr>
          <w:trHeight w:val="459"/>
        </w:trPr>
        <w:tc>
          <w:tcPr>
            <w:tcW w:w="4260" w:type="dxa"/>
            <w:vAlign w:val="bottom"/>
          </w:tcPr>
          <w:p>
            <w:pPr>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1,680</w:t>
            </w:r>
          </w:p>
        </w:tc>
        <w:tc>
          <w:tcPr>
            <w:tcW w:w="0" w:type="dxa"/>
            <w:vAlign w:val="bottom"/>
          </w:tcPr>
          <w:p>
            <w:pPr>
              <w:spacing w:after="0"/>
              <w:rPr>
                <w:sz w:val="1"/>
                <w:szCs w:val="1"/>
                <w:color w:val="auto"/>
              </w:rPr>
            </w:pPr>
          </w:p>
        </w:tc>
      </w:tr>
      <w:tr>
        <w:trPr>
          <w:trHeight w:val="453"/>
        </w:trPr>
        <w:tc>
          <w:tcPr>
            <w:tcW w:w="4260" w:type="dxa"/>
            <w:vAlign w:val="bottom"/>
          </w:tcPr>
          <w:p>
            <w:pPr>
              <w:ind w:left="380"/>
              <w:spacing w:after="0"/>
              <w:rPr>
                <w:sz w:val="20"/>
                <w:szCs w:val="20"/>
                <w:color w:val="auto"/>
              </w:rPr>
            </w:pPr>
            <w:r>
              <w:rPr>
                <w:rFonts w:ascii="Arial" w:cs="Arial" w:eastAsia="Arial" w:hAnsi="Arial"/>
                <w:sz w:val="18"/>
                <w:szCs w:val="18"/>
                <w:color w:val="auto"/>
              </w:rPr>
              <w:t>Income before income taxes</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20,475</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20,936</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13,497</w:t>
            </w:r>
          </w:p>
        </w:tc>
        <w:tc>
          <w:tcPr>
            <w:tcW w:w="0" w:type="dxa"/>
            <w:vAlign w:val="bottom"/>
          </w:tcPr>
          <w:p>
            <w:pPr>
              <w:spacing w:after="0"/>
              <w:rPr>
                <w:sz w:val="1"/>
                <w:szCs w:val="1"/>
                <w:color w:val="auto"/>
              </w:rPr>
            </w:pPr>
          </w:p>
        </w:tc>
      </w:tr>
      <w:tr>
        <w:trPr>
          <w:trHeight w:val="459"/>
        </w:trPr>
        <w:tc>
          <w:tcPr>
            <w:tcW w:w="4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w:t>
            </w:r>
          </w:p>
        </w:tc>
        <w:tc>
          <w:tcPr>
            <w:tcW w:w="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3,174</w:t>
            </w:r>
          </w:p>
        </w:tc>
        <w:tc>
          <w:tcPr>
            <w:tcW w:w="0" w:type="dxa"/>
            <w:vAlign w:val="bottom"/>
          </w:tcPr>
          <w:p>
            <w:pPr>
              <w:spacing w:after="0"/>
              <w:rPr>
                <w:sz w:val="1"/>
                <w:szCs w:val="1"/>
                <w:color w:val="auto"/>
              </w:rPr>
            </w:pPr>
          </w:p>
        </w:tc>
      </w:tr>
      <w:tr>
        <w:trPr>
          <w:trHeight w:val="453"/>
        </w:trPr>
        <w:tc>
          <w:tcPr>
            <w:tcW w:w="426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200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15,325</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15,998</w:t>
            </w:r>
          </w:p>
        </w:tc>
        <w:tc>
          <w:tcPr>
            <w:tcW w:w="480" w:type="dxa"/>
            <w:vAlign w:val="bottom"/>
          </w:tcPr>
          <w:p>
            <w:pPr>
              <w:spacing w:after="0"/>
              <w:rPr>
                <w:sz w:val="24"/>
                <w:szCs w:val="24"/>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10,323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260" w:type="dxa"/>
            <w:vAlign w:val="bottom"/>
          </w:tcPr>
          <w:p>
            <w:pPr>
              <w:spacing w:after="0"/>
              <w:rPr>
                <w:sz w:val="20"/>
                <w:szCs w:val="20"/>
                <w:color w:val="auto"/>
              </w:rPr>
            </w:pPr>
            <w:r>
              <w:rPr>
                <w:rFonts w:ascii="Arial" w:cs="Arial" w:eastAsia="Arial" w:hAnsi="Arial"/>
                <w:sz w:val="18"/>
                <w:szCs w:val="18"/>
                <w:color w:val="auto"/>
              </w:rPr>
              <w:t>Basic and diluted earnings per common share</w:t>
            </w:r>
          </w:p>
        </w:tc>
        <w:tc>
          <w:tcPr>
            <w:tcW w:w="200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1.29</w:t>
            </w:r>
          </w:p>
        </w:tc>
        <w:tc>
          <w:tcPr>
            <w:tcW w:w="480" w:type="dxa"/>
            <w:vAlign w:val="bottom"/>
          </w:tcPr>
          <w:p>
            <w:pPr>
              <w:spacing w:after="0"/>
              <w:rPr>
                <w:sz w:val="24"/>
                <w:szCs w:val="24"/>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0.83</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Basic and diluted weighted average</w:t>
            </w:r>
          </w:p>
        </w:tc>
        <w:tc>
          <w:tcPr>
            <w:tcW w:w="9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2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12,448</w:t>
            </w: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shares outstanding</w:t>
            </w:r>
          </w:p>
        </w:tc>
        <w:tc>
          <w:tcPr>
            <w:tcW w:w="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12,432</w:t>
            </w:r>
          </w:p>
        </w:tc>
        <w:tc>
          <w:tcPr>
            <w:tcW w:w="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12,440</w:t>
            </w:r>
          </w:p>
        </w:tc>
        <w:tc>
          <w:tcPr>
            <w:tcW w:w="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2018, 2019 and 2020</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Additional</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3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paid-in</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Retained</w:t>
            </w: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stockholders'</w:t>
            </w:r>
          </w:p>
        </w:tc>
      </w:tr>
      <w:tr>
        <w:trPr>
          <w:trHeight w:val="223"/>
        </w:trPr>
        <w:tc>
          <w:tcPr>
            <w:tcW w:w="3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Class A</w:t>
            </w: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7"/>
              </w:rPr>
              <w:t>Class B</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capital</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earnings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equity</w:t>
            </w:r>
          </w:p>
        </w:tc>
        <w:tc>
          <w:tcPr>
            <w:tcW w:w="60" w:type="dxa"/>
            <w:vAlign w:val="bottom"/>
          </w:tcPr>
          <w:p>
            <w:pPr>
              <w:spacing w:after="0"/>
              <w:rPr>
                <w:sz w:val="19"/>
                <w:szCs w:val="19"/>
                <w:color w:val="auto"/>
              </w:rPr>
            </w:pPr>
          </w:p>
        </w:tc>
      </w:tr>
      <w:tr>
        <w:trPr>
          <w:trHeight w:val="453"/>
        </w:trPr>
        <w:tc>
          <w:tcPr>
            <w:tcW w:w="346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55,612</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80,849</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136,585</w:t>
            </w:r>
          </w:p>
        </w:tc>
        <w:tc>
          <w:tcPr>
            <w:tcW w:w="60" w:type="dxa"/>
            <w:vAlign w:val="bottom"/>
          </w:tcPr>
          <w:p>
            <w:pPr>
              <w:spacing w:after="0"/>
              <w:rPr>
                <w:sz w:val="24"/>
                <w:szCs w:val="24"/>
                <w:color w:val="auto"/>
              </w:rPr>
            </w:pPr>
          </w:p>
        </w:tc>
      </w:tr>
      <w:tr>
        <w:trPr>
          <w:trHeight w:val="458"/>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15,325</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15,325</w:t>
            </w:r>
          </w:p>
        </w:tc>
        <w:tc>
          <w:tcPr>
            <w:tcW w:w="60" w:type="dxa"/>
            <w:vAlign w:val="bottom"/>
          </w:tcPr>
          <w:p>
            <w:pPr>
              <w:spacing w:after="0"/>
              <w:rPr>
                <w:sz w:val="24"/>
                <w:szCs w:val="24"/>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Share conversion</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Cash dividends ($0.20 per share)</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(2,487)</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20"/>
                <w:szCs w:val="20"/>
                <w:color w:val="auto"/>
              </w:rPr>
            </w:pPr>
          </w:p>
        </w:tc>
      </w:tr>
      <w:tr>
        <w:trPr>
          <w:trHeight w:val="453"/>
        </w:trPr>
        <w:tc>
          <w:tcPr>
            <w:tcW w:w="346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55,751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93,687</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149,562</w:t>
            </w:r>
          </w:p>
        </w:tc>
        <w:tc>
          <w:tcPr>
            <w:tcW w:w="60" w:type="dxa"/>
            <w:vAlign w:val="bottom"/>
          </w:tcPr>
          <w:p>
            <w:pPr>
              <w:spacing w:after="0"/>
              <w:rPr>
                <w:sz w:val="24"/>
                <w:szCs w:val="24"/>
                <w:color w:val="auto"/>
              </w:rPr>
            </w:pPr>
          </w:p>
        </w:tc>
      </w:tr>
      <w:tr>
        <w:trPr>
          <w:trHeight w:val="458"/>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15,998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15,998</w:t>
            </w:r>
          </w:p>
        </w:tc>
        <w:tc>
          <w:tcPr>
            <w:tcW w:w="60" w:type="dxa"/>
            <w:vAlign w:val="bottom"/>
          </w:tcPr>
          <w:p>
            <w:pPr>
              <w:spacing w:after="0"/>
              <w:rPr>
                <w:sz w:val="24"/>
                <w:szCs w:val="24"/>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Cash dividends ($0.28 per share)</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(3,483)</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0"/>
                <w:szCs w:val="20"/>
                <w:color w:val="auto"/>
              </w:rPr>
            </w:pPr>
          </w:p>
        </w:tc>
      </w:tr>
      <w:tr>
        <w:trPr>
          <w:trHeight w:val="453"/>
        </w:trPr>
        <w:tc>
          <w:tcPr>
            <w:tcW w:w="346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55,869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106,202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162,195</w:t>
            </w:r>
          </w:p>
        </w:tc>
        <w:tc>
          <w:tcPr>
            <w:tcW w:w="60" w:type="dxa"/>
            <w:vAlign w:val="bottom"/>
          </w:tcPr>
          <w:p>
            <w:pPr>
              <w:spacing w:after="0"/>
              <w:rPr>
                <w:sz w:val="24"/>
                <w:szCs w:val="24"/>
                <w:color w:val="auto"/>
              </w:rPr>
            </w:pPr>
          </w:p>
        </w:tc>
      </w:tr>
      <w:tr>
        <w:trPr>
          <w:trHeight w:val="458"/>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10,323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10,323</w:t>
            </w:r>
          </w:p>
        </w:tc>
        <w:tc>
          <w:tcPr>
            <w:tcW w:w="60" w:type="dxa"/>
            <w:vAlign w:val="bottom"/>
          </w:tcPr>
          <w:p>
            <w:pPr>
              <w:spacing w:after="0"/>
              <w:rPr>
                <w:sz w:val="24"/>
                <w:szCs w:val="24"/>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Cash dividends ($0.40 per share)</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(4,980)</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0"/>
                <w:szCs w:val="20"/>
                <w:color w:val="auto"/>
              </w:rPr>
            </w:pPr>
          </w:p>
        </w:tc>
      </w:tr>
      <w:tr>
        <w:trPr>
          <w:trHeight w:val="452"/>
        </w:trPr>
        <w:tc>
          <w:tcPr>
            <w:tcW w:w="346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55,987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111,545</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167,656</w:t>
            </w:r>
          </w:p>
        </w:tc>
        <w:tc>
          <w:tcPr>
            <w:tcW w:w="60" w:type="dxa"/>
            <w:vAlign w:val="bottom"/>
          </w:tcPr>
          <w:p>
            <w:pPr>
              <w:spacing w:after="0"/>
              <w:rPr>
                <w:sz w:val="24"/>
                <w:szCs w:val="24"/>
                <w:color w:val="auto"/>
              </w:rPr>
            </w:pPr>
          </w:p>
        </w:tc>
      </w:tr>
      <w:tr>
        <w:trPr>
          <w:trHeight w:val="20"/>
        </w:trPr>
        <w:tc>
          <w:tcPr>
            <w:tcW w:w="3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w w:val="89"/>
              </w:rPr>
              <w:t>Years ended December 31,</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9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10,323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15,325</w:t>
            </w:r>
          </w:p>
        </w:tc>
        <w:tc>
          <w:tcPr>
            <w:tcW w:w="1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15,998</w:t>
            </w:r>
          </w:p>
        </w:tc>
        <w:tc>
          <w:tcPr>
            <w:tcW w:w="4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3,684</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33"/>
        </w:trPr>
        <w:tc>
          <w:tcPr>
            <w:tcW w:w="590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Change in assets and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(1,709)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38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(1,846)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(1,439)</w:t>
            </w:r>
          </w:p>
        </w:tc>
        <w:tc>
          <w:tcPr>
            <w:tcW w:w="3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(193)</w:t>
            </w:r>
          </w:p>
        </w:tc>
        <w:tc>
          <w:tcPr>
            <w:tcW w:w="0" w:type="dxa"/>
            <w:vAlign w:val="bottom"/>
          </w:tcPr>
          <w:p>
            <w:pPr>
              <w:spacing w:after="0"/>
              <w:rPr>
                <w:sz w:val="1"/>
                <w:szCs w:val="1"/>
                <w:color w:val="auto"/>
              </w:rPr>
            </w:pPr>
          </w:p>
        </w:tc>
      </w:tr>
      <w:tr>
        <w:trPr>
          <w:trHeight w:val="230"/>
        </w:trPr>
        <w:tc>
          <w:tcPr>
            <w:tcW w:w="590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(399)</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380"/>
              <w:spacing w:after="0"/>
              <w:rPr>
                <w:sz w:val="20"/>
                <w:szCs w:val="20"/>
                <w:color w:val="auto"/>
              </w:rPr>
            </w:pPr>
            <w:r>
              <w:rPr>
                <w:rFonts w:ascii="Arial" w:cs="Arial" w:eastAsia="Arial" w:hAnsi="Arial"/>
                <w:sz w:val="18"/>
                <w:szCs w:val="18"/>
                <w:color w:val="auto"/>
              </w:rPr>
              <w:t>Accounts with affiliates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(203)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(415)</w:t>
            </w:r>
          </w:p>
        </w:tc>
        <w:tc>
          <w:tcPr>
            <w:tcW w:w="0" w:type="dxa"/>
            <w:vAlign w:val="bottom"/>
          </w:tcPr>
          <w:p>
            <w:pPr>
              <w:spacing w:after="0"/>
              <w:rPr>
                <w:sz w:val="1"/>
                <w:szCs w:val="1"/>
                <w:color w:val="auto"/>
              </w:rPr>
            </w:pPr>
          </w:p>
        </w:tc>
      </w:tr>
      <w:tr>
        <w:trPr>
          <w:trHeight w:val="453"/>
        </w:trPr>
        <w:tc>
          <w:tcPr>
            <w:tcW w:w="590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18,465</w:t>
            </w:r>
          </w:p>
        </w:tc>
        <w:tc>
          <w:tcPr>
            <w:tcW w:w="46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9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(1,740)</w:t>
            </w:r>
          </w:p>
        </w:tc>
        <w:tc>
          <w:tcPr>
            <w:tcW w:w="0" w:type="dxa"/>
            <w:vAlign w:val="bottom"/>
          </w:tcPr>
          <w:p>
            <w:pPr>
              <w:spacing w:after="0"/>
              <w:rPr>
                <w:sz w:val="1"/>
                <w:szCs w:val="1"/>
                <w:color w:val="auto"/>
              </w:rPr>
            </w:pPr>
          </w:p>
        </w:tc>
      </w:tr>
      <w:tr>
        <w:trPr>
          <w:trHeight w:val="226"/>
        </w:trPr>
        <w:tc>
          <w:tcPr>
            <w:tcW w:w="590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(3,117)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(3,166)</w:t>
            </w:r>
          </w:p>
        </w:tc>
        <w:tc>
          <w:tcPr>
            <w:tcW w:w="3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900" w:type="dxa"/>
            <w:vAlign w:val="bottom"/>
          </w:tcPr>
          <w:p>
            <w:pPr>
              <w:ind w:left="140"/>
              <w:spacing w:after="0"/>
              <w:rPr>
                <w:sz w:val="20"/>
                <w:szCs w:val="20"/>
                <w:color w:val="auto"/>
              </w:rPr>
            </w:pPr>
            <w:r>
              <w:rPr>
                <w:rFonts w:ascii="Arial" w:cs="Arial" w:eastAsia="Arial" w:hAnsi="Arial"/>
                <w:sz w:val="18"/>
                <w:szCs w:val="18"/>
                <w:color w:val="auto"/>
              </w:rPr>
              <w:t>Proceeds from sale of fixed assets, net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Note receivable from affiliate:</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00" w:type="dxa"/>
            <w:vAlign w:val="bottom"/>
          </w:tcPr>
          <w:p>
            <w:pPr>
              <w:ind w:left="380"/>
              <w:spacing w:after="0"/>
              <w:rPr>
                <w:sz w:val="20"/>
                <w:szCs w:val="20"/>
                <w:color w:val="auto"/>
              </w:rPr>
            </w:pPr>
            <w:r>
              <w:rPr>
                <w:rFonts w:ascii="Arial" w:cs="Arial" w:eastAsia="Arial" w:hAnsi="Arial"/>
                <w:sz w:val="18"/>
                <w:szCs w:val="18"/>
                <w:color w:val="auto"/>
              </w:rPr>
              <w:t>Collections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40,800</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380"/>
              <w:spacing w:after="0"/>
              <w:rPr>
                <w:sz w:val="20"/>
                <w:szCs w:val="20"/>
                <w:color w:val="auto"/>
              </w:rPr>
            </w:pPr>
            <w:r>
              <w:rPr>
                <w:rFonts w:ascii="Arial" w:cs="Arial" w:eastAsia="Arial" w:hAnsi="Arial"/>
                <w:sz w:val="18"/>
                <w:szCs w:val="18"/>
                <w:color w:val="auto"/>
              </w:rPr>
              <w:t>Advances</w:t>
            </w: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(46,800)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(34,900)</w:t>
            </w: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(34,828)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90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2,859</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(3,140)</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 -</w:t>
            </w: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(4,980)</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(2,487)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(3,483)</w:t>
            </w:r>
          </w:p>
        </w:tc>
        <w:tc>
          <w:tcPr>
            <w:tcW w:w="3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5900" w:type="dxa"/>
            <w:vAlign w:val="bottom"/>
          </w:tcPr>
          <w:p>
            <w:pPr>
              <w:spacing w:after="0"/>
              <w:rPr>
                <w:sz w:val="20"/>
                <w:szCs w:val="20"/>
                <w:color w:val="auto"/>
              </w:rPr>
            </w:pPr>
            <w:r>
              <w:rPr>
                <w:rFonts w:ascii="Arial" w:cs="Arial" w:eastAsia="Arial" w:hAnsi="Arial"/>
                <w:sz w:val="18"/>
                <w:szCs w:val="18"/>
                <w:color w:val="auto"/>
              </w:rPr>
              <w:t>Net increase</w:t>
            </w: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17,841</w:t>
            </w:r>
          </w:p>
        </w:tc>
        <w:tc>
          <w:tcPr>
            <w:tcW w:w="4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45,414</w:t>
            </w:r>
          </w:p>
        </w:tc>
        <w:tc>
          <w:tcPr>
            <w:tcW w:w="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9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45,414</w:t>
            </w:r>
          </w:p>
        </w:tc>
        <w:tc>
          <w:tcPr>
            <w:tcW w:w="10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63,255</w:t>
            </w:r>
          </w:p>
        </w:tc>
        <w:tc>
          <w:tcPr>
            <w:tcW w:w="46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70,637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Supplemental disclosures -</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5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4,370</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5,027</w:t>
            </w:r>
          </w:p>
        </w:tc>
        <w:tc>
          <w:tcPr>
            <w:tcW w:w="46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COMPX INTERNATIONAL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62" w:lineRule="exact"/>
        <w:rPr>
          <w:sz w:val="20"/>
          <w:szCs w:val="20"/>
          <w:color w:val="auto"/>
        </w:rPr>
      </w:pPr>
    </w:p>
    <w:p>
      <w:pPr>
        <w:jc w:val="both"/>
        <w:ind w:firstLine="1175"/>
        <w:spacing w:after="0" w:line="269" w:lineRule="auto"/>
        <w:rPr>
          <w:sz w:val="20"/>
          <w:szCs w:val="20"/>
          <w:color w:val="auto"/>
        </w:rPr>
      </w:pPr>
      <w:r>
        <w:rPr>
          <w:rFonts w:ascii="Arial" w:cs="Arial" w:eastAsia="Arial" w:hAnsi="Arial"/>
          <w:sz w:val="17"/>
          <w:szCs w:val="17"/>
          <w:b w:val="1"/>
          <w:bCs w:val="1"/>
          <w:i w:val="1"/>
          <w:iCs w:val="1"/>
          <w:color w:val="auto"/>
        </w:rPr>
        <w:t xml:space="preserve">Organization. </w:t>
      </w:r>
      <w:r>
        <w:rPr>
          <w:rFonts w:ascii="Arial" w:cs="Arial" w:eastAsia="Arial" w:hAnsi="Arial"/>
          <w:sz w:val="17"/>
          <w:szCs w:val="17"/>
          <w:color w:val="auto"/>
        </w:rPr>
        <w:t>We (NYSE American: CIX) are approximately 86% owned by NL Industries, Inc. (NYSE: NL) at December 31, 2020.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 and sell component products (security products and recreational marine components). At December 31, 2020, Valhi, Inc. (NYSE: VHI) owns approximately 83% of NL’s outstanding common stock and a wholly-owned subsidiary of Contran Corporation owns approximately 92% of Valhi’s outstanding common stock.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December 31, 2020 Ms. Simmons and the Family Trust may be deemed to control Contran, and therefore may be deemed to indirectly control the wholly-owned subsidiary of Contran, Valhi, NL and us.</w:t>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Unless otherwise indicated, references in this report to “we,” “us,” or “our” refer to CompX International Inc. and its subsidiaries, taken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whole.</w:t>
      </w:r>
    </w:p>
    <w:p>
      <w:pPr>
        <w:spacing w:after="0" w:line="211" w:lineRule="exact"/>
        <w:rPr>
          <w:sz w:val="20"/>
          <w:szCs w:val="20"/>
          <w:color w:val="auto"/>
        </w:rPr>
      </w:pPr>
    </w:p>
    <w:p>
      <w:pPr>
        <w:jc w:val="both"/>
        <w:ind w:firstLine="1175"/>
        <w:spacing w:after="0" w:line="255" w:lineRule="auto"/>
        <w:rPr>
          <w:sz w:val="20"/>
          <w:szCs w:val="20"/>
          <w:color w:val="auto"/>
        </w:rPr>
      </w:pPr>
      <w:r>
        <w:rPr>
          <w:rFonts w:ascii="Arial" w:cs="Arial" w:eastAsia="Arial" w:hAnsi="Arial"/>
          <w:sz w:val="18"/>
          <w:szCs w:val="18"/>
          <w:color w:val="auto"/>
        </w:rPr>
        <w:t>Our results of operations in 2020 were significantly impacted by the COVID-19 pandemic, primarily in the second and third quarters, due to government mandated closures and reduced demand for many of our products resulting from the rapid contraction of vast areas of the economy. The extent of the impact of the COVID-19 pandemic on our future operations will depend on the time period and degree to which the COVID-19 pandemic persists in the economy, including the timing and extent to which our customers’ operations continue to be impacted, our customers’ perception as to when consumer demand for their products will return to pre-pandemic levels and on any future disruptions in our operations or our suppliers’ operations, all of which are difficult to predict.</w:t>
      </w:r>
    </w:p>
    <w:p>
      <w:pPr>
        <w:spacing w:after="0" w:line="192" w:lineRule="exact"/>
        <w:rPr>
          <w:sz w:val="20"/>
          <w:szCs w:val="20"/>
          <w:color w:val="auto"/>
        </w:rPr>
      </w:pPr>
    </w:p>
    <w:p>
      <w:pPr>
        <w:jc w:val="both"/>
        <w:ind w:firstLine="1175"/>
        <w:spacing w:after="0" w:line="279" w:lineRule="auto"/>
        <w:rPr>
          <w:sz w:val="20"/>
          <w:szCs w:val="20"/>
          <w:color w:val="auto"/>
        </w:rPr>
      </w:pPr>
      <w:r>
        <w:rPr>
          <w:rFonts w:ascii="Arial" w:cs="Arial" w:eastAsia="Arial" w:hAnsi="Arial"/>
          <w:sz w:val="17"/>
          <w:szCs w:val="17"/>
          <w:b w:val="1"/>
          <w:bCs w:val="1"/>
          <w:i w:val="1"/>
          <w:iCs w:val="1"/>
          <w:color w:val="auto"/>
        </w:rPr>
        <w:t xml:space="preserve">Management estimates. </w:t>
      </w:r>
      <w:r>
        <w:rPr>
          <w:rFonts w:ascii="Arial" w:cs="Arial" w:eastAsia="Arial" w:hAnsi="Arial"/>
          <w:sz w:val="17"/>
          <w:szCs w:val="17"/>
          <w:color w:val="auto"/>
        </w:rPr>
        <w:t>In preparing our financial statements in conformity with accounting principles generally accepted in the United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States of America (“GAAP”) we are required to make estimates and assumptions that affect the reported amounts of assets and liabilities and disclosure of contingent assets and liabilities at each balance sheet date and the reported amounts of our revenues and expenses during each reporting period. Actual results may differ significantly from previously estimated amounts under different assumptions or conditions.</w:t>
      </w:r>
    </w:p>
    <w:p>
      <w:pPr>
        <w:spacing w:after="0" w:line="167" w:lineRule="exact"/>
        <w:rPr>
          <w:sz w:val="20"/>
          <w:szCs w:val="20"/>
          <w:color w:val="auto"/>
        </w:rPr>
      </w:pPr>
    </w:p>
    <w:p>
      <w:pPr>
        <w:jc w:val="both"/>
        <w:ind w:firstLine="1175"/>
        <w:spacing w:after="0" w:line="282" w:lineRule="auto"/>
        <w:rPr>
          <w:sz w:val="20"/>
          <w:szCs w:val="20"/>
          <w:color w:val="auto"/>
        </w:rPr>
      </w:pPr>
      <w:r>
        <w:rPr>
          <w:rFonts w:ascii="Arial" w:cs="Arial" w:eastAsia="Arial" w:hAnsi="Arial"/>
          <w:sz w:val="18"/>
          <w:szCs w:val="18"/>
          <w:b w:val="1"/>
          <w:bCs w:val="1"/>
          <w:i w:val="1"/>
          <w:iCs w:val="1"/>
          <w:color w:val="auto"/>
        </w:rPr>
        <w:t>Principles of consolidation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consolidated financial statements include the accounts of CompX International Inc. and our wholly-owned subsidiaries. We eliminate all material intercompany accounts and balances.</w:t>
      </w:r>
    </w:p>
    <w:p>
      <w:pPr>
        <w:spacing w:after="0" w:line="166" w:lineRule="exact"/>
        <w:rPr>
          <w:sz w:val="20"/>
          <w:szCs w:val="20"/>
          <w:color w:val="auto"/>
        </w:rPr>
      </w:pPr>
    </w:p>
    <w:p>
      <w:pPr>
        <w:jc w:val="both"/>
        <w:ind w:firstLine="1175"/>
        <w:spacing w:after="0" w:line="257" w:lineRule="auto"/>
        <w:rPr>
          <w:sz w:val="20"/>
          <w:szCs w:val="20"/>
          <w:color w:val="auto"/>
        </w:rPr>
      </w:pPr>
      <w:r>
        <w:rPr>
          <w:rFonts w:ascii="Arial" w:cs="Arial" w:eastAsia="Arial" w:hAnsi="Arial"/>
          <w:sz w:val="18"/>
          <w:szCs w:val="18"/>
          <w:b w:val="1"/>
          <w:bCs w:val="1"/>
          <w:i w:val="1"/>
          <w:iCs w:val="1"/>
          <w:color w:val="auto"/>
        </w:rPr>
        <w:t xml:space="preserve">Fiscal year. </w:t>
      </w:r>
      <w:r>
        <w:rPr>
          <w:rFonts w:ascii="Arial" w:cs="Arial" w:eastAsia="Arial" w:hAnsi="Arial"/>
          <w:sz w:val="18"/>
          <w:szCs w:val="18"/>
          <w:color w:val="auto"/>
        </w:rPr>
        <w:t>Our fiscal year end is always the Sunday closest to December 31, and our operations are reported on a 52 or 53-week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Each of the years ended December 31, 2018 and 2019 consisted of 52 weeks. The year ended December 31, 2020 consisted of 53 weeks. For presentation purposes, annual and quarterly information in the consolidated financial statements and accompanying notes are presented as ended on March 31, June 30, September 30 and December 31, as applicable. The actual date of our fiscal years are December 30, 2018, December 29, 2019, and January 3, 2021, respectively.</w:t>
      </w:r>
    </w:p>
    <w:p>
      <w:pPr>
        <w:spacing w:after="0" w:line="184" w:lineRule="exact"/>
        <w:rPr>
          <w:sz w:val="20"/>
          <w:szCs w:val="20"/>
          <w:color w:val="auto"/>
        </w:rPr>
      </w:pPr>
    </w:p>
    <w:p>
      <w:pPr>
        <w:jc w:val="both"/>
        <w:ind w:firstLine="1175"/>
        <w:spacing w:after="0" w:line="282"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classify bank time deposits and government and commercial notes and bills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or less as cash equivalents.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jc w:val="both"/>
        <w:ind w:firstLine="1175"/>
        <w:spacing w:after="0" w:line="289" w:lineRule="auto"/>
        <w:rPr>
          <w:sz w:val="20"/>
          <w:szCs w:val="20"/>
          <w:color w:val="auto"/>
        </w:rPr>
      </w:pPr>
      <w:r>
        <w:rPr>
          <w:rFonts w:ascii="Arial" w:cs="Arial" w:eastAsia="Arial" w:hAnsi="Arial"/>
          <w:sz w:val="16"/>
          <w:szCs w:val="16"/>
          <w:b w:val="1"/>
          <w:bCs w:val="1"/>
          <w:i w:val="1"/>
          <w:iCs w:val="1"/>
          <w:color w:val="auto"/>
        </w:rPr>
        <w:t>Net sales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sales involve single performance obligations to ship our products pursuant to customer purchase orders. In some cases,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purchase order is supported by an underlying master sales agreement, but our purchase order verification notice generally evidences the contract with our customer by specifying the key terms of product and quantity ordered, price and delivery and payment terms. In accordance with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we record revenue when we satisfy our performance obligations to our customers by transferring control of our products to them, which generally occurs at point of shipment or upon delivery. Such transfer of control is also evidenced by transfer of legal title and other risks and rewards of ownership (giving the customer the ability to direct the use of, and obtain substantially all of the benefits of, the product), and our customers becoming obligated to pay us and such payment being probable of occurring. In certain arrangements we provide shipping and handling activities after the transfer of control to our customer (e.g. when control transfers prior to delivery). In such arrangements shipping and handling are considered fulfillment activities, and accordingly, such costs are accrued when the related revenue is recognized.</w:t>
      </w:r>
    </w:p>
    <w:p>
      <w:pPr>
        <w:spacing w:after="0" w:line="170" w:lineRule="exact"/>
        <w:rPr>
          <w:sz w:val="20"/>
          <w:szCs w:val="20"/>
          <w:color w:val="auto"/>
        </w:rPr>
      </w:pPr>
    </w:p>
    <w:p>
      <w:pPr>
        <w:jc w:val="both"/>
        <w:ind w:firstLine="1175"/>
        <w:spacing w:after="0" w:line="269" w:lineRule="auto"/>
        <w:rPr>
          <w:sz w:val="20"/>
          <w:szCs w:val="20"/>
          <w:color w:val="auto"/>
        </w:rPr>
      </w:pPr>
      <w:r>
        <w:rPr>
          <w:rFonts w:ascii="Arial" w:cs="Arial" w:eastAsia="Arial" w:hAnsi="Arial"/>
          <w:sz w:val="17"/>
          <w:szCs w:val="17"/>
          <w:color w:val="auto"/>
        </w:rPr>
        <w:t>Revenue is recorded in an amount that reflects the net consideration we expect to receive in exchange for our products. Prices for our products are based on terms specified in published list prices and purchase orders, which generally do not include financing components, noncash consideration or consideration paid to our customers. As our standard payment terms are less than one year, we have elected the practical expedient under ASC 606 and we have not assessed whether a contract has a significant financing component. We state sales net of price, early payment and distributor discounts as well as volume rebates (collectively, variable consideration). Variable consideration, to the extent present, is not material and is recognized as the amount to which we are most likely to be entitled, using all information (historical, current and forecasted) that is reasonably available to us, and only to the extent that a significant reversal in the amount of the cumulative revenue recognized is not probable of occurring in a future period. Differences, if any, between estimates of the amount of variable consideration to which we will be entitled and the actual amount of such variable consideration have not been material in the past. We report any tax assessed by a governmental authority that we collect from our customers that is both imposed on and concurrent with our revenue-producing activities (such as sales, use, value added and excise taxes) on a net basis (meaning we do not recognize these taxes either in our revenues or in our costs and expenses).</w:t>
      </w:r>
    </w:p>
    <w:p>
      <w:pPr>
        <w:spacing w:after="0" w:line="182" w:lineRule="exact"/>
        <w:rPr>
          <w:sz w:val="20"/>
          <w:szCs w:val="20"/>
          <w:color w:val="auto"/>
        </w:rPr>
      </w:pPr>
    </w:p>
    <w:p>
      <w:pPr>
        <w:jc w:val="both"/>
        <w:ind w:firstLine="1175"/>
        <w:spacing w:after="0" w:line="259" w:lineRule="auto"/>
        <w:rPr>
          <w:sz w:val="20"/>
          <w:szCs w:val="20"/>
          <w:color w:val="auto"/>
        </w:rPr>
      </w:pPr>
      <w:r>
        <w:rPr>
          <w:rFonts w:ascii="Arial" w:cs="Arial" w:eastAsia="Arial" w:hAnsi="Arial"/>
          <w:sz w:val="18"/>
          <w:szCs w:val="18"/>
          <w:color w:val="auto"/>
        </w:rPr>
        <w:t>Frequently, we receive orders for products to be delivered over dates that may extend across reporting periods. We invoice for each delivery upon shipment and recognize revenue for each distinct shipment when all sales recognition criteria for that shipment have been satisfied. As scheduled delivery dates for these orders are within a one year period, under the optional exemption provided by ASC 606, we do not disclose sales allocated to future shipments of partially completed contracts.</w:t>
      </w:r>
    </w:p>
    <w:p>
      <w:pPr>
        <w:spacing w:after="0" w:line="187" w:lineRule="exact"/>
        <w:rPr>
          <w:sz w:val="20"/>
          <w:szCs w:val="20"/>
          <w:color w:val="auto"/>
        </w:rPr>
      </w:pPr>
    </w:p>
    <w:p>
      <w:pPr>
        <w:jc w:val="both"/>
        <w:ind w:right="20" w:firstLine="1175"/>
        <w:spacing w:after="0" w:line="308" w:lineRule="auto"/>
        <w:rPr>
          <w:sz w:val="20"/>
          <w:szCs w:val="20"/>
          <w:color w:val="auto"/>
        </w:rPr>
      </w:pPr>
      <w:r>
        <w:rPr>
          <w:rFonts w:ascii="Arial" w:cs="Arial" w:eastAsia="Arial" w:hAnsi="Arial"/>
          <w:sz w:val="17"/>
          <w:szCs w:val="17"/>
          <w:color w:val="auto"/>
        </w:rPr>
        <w:t>We have determined that our disclosure of sales by segment meets the requirements to disclose a disaggregation of our sales into categories that depict how the nature, amount, timing and uncertainty of revenue and cash flows are affected by economic factors. See Note 2.</w:t>
      </w:r>
    </w:p>
    <w:p>
      <w:pPr>
        <w:spacing w:after="0" w:line="146" w:lineRule="exact"/>
        <w:rPr>
          <w:sz w:val="20"/>
          <w:szCs w:val="20"/>
          <w:color w:val="auto"/>
        </w:rPr>
      </w:pPr>
    </w:p>
    <w:p>
      <w:pPr>
        <w:jc w:val="both"/>
        <w:ind w:firstLine="1175"/>
        <w:spacing w:after="0" w:line="277"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We provide an allowance for doubtful accounts for known and estimated potential losses arising from our sales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based on a periodic review of these accounts.</w:t>
      </w:r>
    </w:p>
    <w:p>
      <w:pPr>
        <w:spacing w:after="0" w:line="166" w:lineRule="exact"/>
        <w:rPr>
          <w:sz w:val="20"/>
          <w:szCs w:val="20"/>
          <w:color w:val="auto"/>
        </w:rPr>
      </w:pPr>
    </w:p>
    <w:p>
      <w:pPr>
        <w:jc w:val="both"/>
        <w:ind w:firstLine="1175"/>
        <w:spacing w:after="0" w:line="289" w:lineRule="auto"/>
        <w:rPr>
          <w:sz w:val="20"/>
          <w:szCs w:val="20"/>
          <w:color w:val="auto"/>
        </w:rPr>
      </w:pPr>
      <w:r>
        <w:rPr>
          <w:rFonts w:ascii="Arial" w:cs="Arial" w:eastAsia="Arial" w:hAnsi="Arial"/>
          <w:sz w:val="16"/>
          <w:szCs w:val="16"/>
          <w:b w:val="1"/>
          <w:bCs w:val="1"/>
          <w:i w:val="1"/>
          <w:iCs w:val="1"/>
          <w:color w:val="auto"/>
        </w:rPr>
        <w:t>Inventories and cost of sales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state inventories at the lower of cost or net realizable value. We record a provision for obsolete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slow-moving inventories. We generally base inventory costs for all inventory categories on average cost that approximates the first-in, first-out method. Inventories include the costs for raw materials, the cost to manufacture the raw materials into finished goods and overhead. Depending on the inventory’s stage of completion, our manufacturing costs can include the costs of packing and finishing, utilities, maintenance and depreciation, shipping and handling, and salaries and benefits associated with our manufacturing process. We allocate fixed manufacturing overhead costs based on normal production capacity. Unallocated overhead costs resulting from periods with abnormally low production levels are charged to expense as incurred. As inventory is sold to third parties, we recognize the cost of sales in the same period that the sale occurs. We periodically review our inventory for estimated obsolescence or instances when inventory is no longer marketable for its intended use, and we record any write-down, equal to the difference between the cost of inventory and its estimated net realizable value, based on assumptions about alternative uses, market conditions and other factors.</w:t>
      </w:r>
    </w:p>
    <w:p>
      <w:pPr>
        <w:spacing w:after="0" w:line="170" w:lineRule="exact"/>
        <w:rPr>
          <w:sz w:val="20"/>
          <w:szCs w:val="20"/>
          <w:color w:val="auto"/>
        </w:rPr>
      </w:pPr>
    </w:p>
    <w:p>
      <w:pPr>
        <w:jc w:val="both"/>
        <w:ind w:firstLine="1175"/>
        <w:spacing w:after="0" w:line="277"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advertising costs. </w:t>
      </w:r>
      <w:r>
        <w:rPr>
          <w:rFonts w:ascii="Arial" w:cs="Arial" w:eastAsia="Arial" w:hAnsi="Arial"/>
          <w:sz w:val="18"/>
          <w:szCs w:val="18"/>
          <w:color w:val="auto"/>
        </w:rPr>
        <w:t>Selling, general and administrative expenses include costs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sales, distribution, research and development and administrative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spacing w:after="0" w:line="342" w:lineRule="auto"/>
        <w:rPr>
          <w:sz w:val="20"/>
          <w:szCs w:val="20"/>
          <w:color w:val="auto"/>
        </w:rPr>
      </w:pPr>
      <w:r>
        <w:rPr>
          <w:rFonts w:ascii="Arial" w:cs="Arial" w:eastAsia="Arial" w:hAnsi="Arial"/>
          <w:sz w:val="16"/>
          <w:szCs w:val="16"/>
          <w:color w:val="auto"/>
        </w:rPr>
        <w:t>functions such as accounting, treasury and finance, and include costs for salaries and benefits, travel and entertainment, promotional materials and professional fees. We expense advertising and research and development costs as incurred. Advertising costs were not significant in 2018, 2019 or 2020.</w:t>
      </w:r>
    </w:p>
    <w:p>
      <w:pPr>
        <w:spacing w:after="0" w:line="124"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cost over fair value of individual net assets acquired in business combinations. Goodwill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subject to periodic amortization. We evaluate goodwill for impairment annually or when circumstances indicate the carrying value may not be recoverable. See Note 5.</w:t>
      </w:r>
    </w:p>
    <w:p>
      <w:pPr>
        <w:spacing w:after="0" w:line="180" w:lineRule="exact"/>
        <w:rPr>
          <w:sz w:val="20"/>
          <w:szCs w:val="20"/>
          <w:color w:val="auto"/>
        </w:rPr>
      </w:pPr>
    </w:p>
    <w:p>
      <w:pPr>
        <w:jc w:val="both"/>
        <w:ind w:firstLine="1175"/>
        <w:spacing w:after="0" w:line="256" w:lineRule="auto"/>
        <w:rPr>
          <w:sz w:val="20"/>
          <w:szCs w:val="20"/>
          <w:color w:val="auto"/>
        </w:rPr>
      </w:pPr>
      <w:r>
        <w:rPr>
          <w:rFonts w:ascii="Arial" w:cs="Arial" w:eastAsia="Arial" w:hAnsi="Arial"/>
          <w:sz w:val="18"/>
          <w:szCs w:val="18"/>
          <w:b w:val="1"/>
          <w:bCs w:val="1"/>
          <w:i w:val="1"/>
          <w:iCs w:val="1"/>
          <w:color w:val="auto"/>
        </w:rPr>
        <w:t>Property and equipment; depreciation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state property and equipment, including purchased computer software for internal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at cost. We compute depreciation of property and equipment for financial reporting purposes principally by the straight-line method over the estimated useful lives of 15 to 40 years for buildings and 3 to 20 years for equipment and software. We use accelerated depreciation methods for income tax purposes, as permitted. Upon sale or retirement of an asset, the related cost and accumulated depreciation are removed from the accounts and any gain or loss is recognized in income currently. Expenditures for maintenance, repairs and minor renewals are expensed; expenditures for major improvements are capitalized.</w:t>
      </w:r>
    </w:p>
    <w:p>
      <w:pPr>
        <w:spacing w:after="0" w:line="191"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color w:val="auto"/>
        </w:rPr>
        <w:t>We perform impairment tests when events or changes in circumstances indicate the carrying value may not be recoverable. We consider all relevant factors. We perform the impairment test by comparing the estimated future undiscounted cash flows associated with the asset to the asset’s net carrying value to determine if impairment exists.</w:t>
      </w:r>
    </w:p>
    <w:p>
      <w:pPr>
        <w:spacing w:after="0" w:line="184" w:lineRule="exact"/>
        <w:rPr>
          <w:sz w:val="20"/>
          <w:szCs w:val="20"/>
          <w:color w:val="auto"/>
        </w:rPr>
      </w:pPr>
    </w:p>
    <w:p>
      <w:pPr>
        <w:jc w:val="both"/>
        <w:ind w:firstLine="1175"/>
        <w:spacing w:after="0" w:line="257"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We enter into various arrangements (or leases) that convey the rights to use and control identified underlying assets for a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time in exchange for consideration. We lease various facilities and equipment. From time to time, we may also enter into an arrangement in which the right to use and control an identified underlying asset is embedded in another type of contract. We determine if an arrangement is a lease (including leases embedded in another type of contract) at inception. All of our leases are classified as operating leases under ASC Topic 842, </w:t>
      </w:r>
      <w:r>
        <w:rPr>
          <w:rFonts w:ascii="Arial" w:cs="Arial" w:eastAsia="Arial" w:hAnsi="Arial"/>
          <w:sz w:val="18"/>
          <w:szCs w:val="18"/>
          <w:i w:val="1"/>
          <w:iCs w:val="1"/>
          <w:color w:val="auto"/>
        </w:rPr>
        <w:t>Leases</w:t>
      </w:r>
      <w:r>
        <w:rPr>
          <w:rFonts w:ascii="Arial" w:cs="Arial" w:eastAsia="Arial" w:hAnsi="Arial"/>
          <w:sz w:val="18"/>
          <w:szCs w:val="18"/>
          <w:color w:val="auto"/>
        </w:rPr>
        <w:t>. Operating leases are not material.</w:t>
      </w:r>
    </w:p>
    <w:p>
      <w:pPr>
        <w:spacing w:after="0" w:line="188" w:lineRule="exact"/>
        <w:rPr>
          <w:sz w:val="20"/>
          <w:szCs w:val="20"/>
          <w:color w:val="auto"/>
        </w:rPr>
      </w:pPr>
    </w:p>
    <w:p>
      <w:pPr>
        <w:jc w:val="both"/>
        <w:ind w:right="20" w:firstLine="1175"/>
        <w:spacing w:after="0" w:line="277" w:lineRule="auto"/>
        <w:rPr>
          <w:sz w:val="20"/>
          <w:szCs w:val="20"/>
          <w:color w:val="auto"/>
        </w:rPr>
      </w:pPr>
      <w:r>
        <w:rPr>
          <w:rFonts w:ascii="Arial" w:cs="Arial" w:eastAsia="Arial" w:hAnsi="Arial"/>
          <w:sz w:val="18"/>
          <w:szCs w:val="18"/>
          <w:b w:val="1"/>
          <w:bCs w:val="1"/>
          <w:i w:val="1"/>
          <w:iCs w:val="1"/>
          <w:color w:val="auto"/>
        </w:rPr>
        <w:t xml:space="preserve">Employee benefit plans. </w:t>
      </w:r>
      <w:r>
        <w:rPr>
          <w:rFonts w:ascii="Arial" w:cs="Arial" w:eastAsia="Arial" w:hAnsi="Arial"/>
          <w:sz w:val="18"/>
          <w:szCs w:val="18"/>
          <w:color w:val="auto"/>
        </w:rPr>
        <w:t>We maintain various defined contribution plans in which we make contributions based on matching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formulas. Defined contribution plan expense approximated $3.0 million in 2018, $3.2 million in 2019 and $3.0 million in 2020.</w:t>
      </w:r>
    </w:p>
    <w:p>
      <w:pPr>
        <w:spacing w:after="0" w:line="170" w:lineRule="exact"/>
        <w:rPr>
          <w:sz w:val="20"/>
          <w:szCs w:val="20"/>
          <w:color w:val="auto"/>
        </w:rPr>
      </w:pPr>
    </w:p>
    <w:p>
      <w:pPr>
        <w:jc w:val="both"/>
        <w:ind w:firstLine="1175"/>
        <w:spacing w:after="0" w:line="259" w:lineRule="auto"/>
        <w:rPr>
          <w:sz w:val="20"/>
          <w:szCs w:val="20"/>
          <w:color w:val="auto"/>
        </w:rPr>
      </w:pPr>
      <w:r>
        <w:rPr>
          <w:rFonts w:ascii="Arial" w:cs="Arial" w:eastAsia="Arial" w:hAnsi="Arial"/>
          <w:sz w:val="18"/>
          <w:szCs w:val="18"/>
          <w:b w:val="1"/>
          <w:bCs w:val="1"/>
          <w:i w:val="1"/>
          <w:iCs w:val="1"/>
          <w:color w:val="auto"/>
        </w:rPr>
        <w:t xml:space="preserve">Self-insurance. </w:t>
      </w:r>
      <w:r>
        <w:rPr>
          <w:rFonts w:ascii="Arial" w:cs="Arial" w:eastAsia="Arial" w:hAnsi="Arial"/>
          <w:sz w:val="18"/>
          <w:szCs w:val="18"/>
          <w:color w:val="auto"/>
        </w:rPr>
        <w:t>We are partially self-insured for workers’ compensation and certain employee health benefits and self-insured for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issues. We purchase coverage in order to limit our exposure to significant workers’ compensation or employee health benefit claims. We accrue self-insured losses based upon estimates of the aggregate liability for uninsured claims incurred using certain actuarial assumptions followed in the insurance industry and our own historical claims experience.</w:t>
      </w:r>
    </w:p>
    <w:p>
      <w:pPr>
        <w:spacing w:after="0" w:line="183" w:lineRule="exact"/>
        <w:rPr>
          <w:sz w:val="20"/>
          <w:szCs w:val="20"/>
          <w:color w:val="auto"/>
        </w:rPr>
      </w:pPr>
    </w:p>
    <w:p>
      <w:pPr>
        <w:jc w:val="both"/>
        <w:ind w:firstLine="1175"/>
        <w:spacing w:after="0" w:line="261"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and our parent NL, are members of the Contran Tax Group. We have been and currently are a part of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returns filed by Contran for U.S. federal purposes as well as for certain U.S. state jurisdictions. As a member of the Contran Tax Group, we are jointly and severally liable for the federal income tax liability of Contran and the other companies included in the Contran Tax Group for all periods in which we are included in the Contran Tax Group. See Note 10.</w:t>
      </w:r>
    </w:p>
    <w:p>
      <w:pPr>
        <w:spacing w:after="0" w:line="184" w:lineRule="exact"/>
        <w:rPr>
          <w:sz w:val="20"/>
          <w:szCs w:val="20"/>
          <w:color w:val="auto"/>
        </w:rPr>
      </w:pPr>
    </w:p>
    <w:p>
      <w:pPr>
        <w:jc w:val="both"/>
        <w:ind w:firstLine="1175"/>
        <w:spacing w:after="0" w:line="275" w:lineRule="auto"/>
        <w:rPr>
          <w:sz w:val="20"/>
          <w:szCs w:val="20"/>
          <w:color w:val="auto"/>
        </w:rPr>
      </w:pPr>
      <w:r>
        <w:rPr>
          <w:rFonts w:ascii="Arial" w:cs="Arial" w:eastAsia="Arial" w:hAnsi="Arial"/>
          <w:sz w:val="17"/>
          <w:szCs w:val="17"/>
          <w:color w:val="auto"/>
        </w:rPr>
        <w:t>As a member of the Contran Tax Group, we are a party to a tax sharing agreement which provides that we compute our provision for U.S. income taxes on a separate-company basis. Pursuant to the tax sharing agreement, we make payments to or receive payments from NL in amounts we would have paid to or received from the U.S. Internal Revenue Service or the applicable state tax authority had we not been a member of the Contran Tax Group. The separate company provisions and payments are computed using the tax elections made by Contran. We made net cash payments for income taxes to NL of $4.3 million in 2018, $5.0 million in 2019 and $3.2 million in 2020.</w:t>
      </w:r>
    </w:p>
    <w:p>
      <w:pPr>
        <w:spacing w:after="0" w:line="176"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color w:val="auto"/>
        </w:rPr>
        <w:t>Deferred income tax assets and liabilities are recognized for the expected future tax consequences of temporary differences between the income tax and financial reporting carrying amounts of assets and liabilities. Deferred income tax assets and liabilities for each tax-paying jurisdiction in which we operate are netted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presented as either a noncurrent deferred income tax asset or liability, as applicable. We periodically evaluate our deferred tax assets in the various taxing jurisdictions in which we operate and adjust any related valuation allowance based on the estimate of the amount of deferred tax assets which we believe do not meet the more-likely-than-not recognition criteria. See Notes 7 and 10.</w:t>
      </w:r>
    </w:p>
    <w:p>
      <w:pPr>
        <w:spacing w:after="0" w:line="184" w:lineRule="exact"/>
        <w:rPr>
          <w:sz w:val="20"/>
          <w:szCs w:val="20"/>
          <w:color w:val="auto"/>
        </w:rPr>
      </w:pPr>
    </w:p>
    <w:p>
      <w:pPr>
        <w:jc w:val="both"/>
        <w:ind w:firstLine="1175"/>
        <w:spacing w:after="0" w:line="277" w:lineRule="auto"/>
        <w:rPr>
          <w:sz w:val="20"/>
          <w:szCs w:val="20"/>
          <w:color w:val="auto"/>
        </w:rPr>
      </w:pPr>
      <w:r>
        <w:rPr>
          <w:rFonts w:ascii="Arial" w:cs="Arial" w:eastAsia="Arial" w:hAnsi="Arial"/>
          <w:sz w:val="18"/>
          <w:szCs w:val="18"/>
          <w:color w:val="auto"/>
        </w:rPr>
        <w:t>We record a reserve for uncertain tax positions for tax positions where we believe it is more-likely-than-not our position will not prevail with the applicable tax authorities. We did not have a reserve for uncertain tax positions in 2018, 2019 or 2020.</w:t>
      </w:r>
    </w:p>
    <w:p>
      <w:pPr>
        <w:spacing w:after="0" w:line="3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and geographic segments:</w:t>
      </w:r>
    </w:p>
    <w:p>
      <w:pPr>
        <w:spacing w:after="0" w:line="121"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color w:val="auto"/>
        </w:rPr>
        <w:t>Our operating segments are defined as components of our operations about which separate financial information is available that is regularly evaluated by our chief operating decision maker in determining how to allocate resources and in assessing performance. At December 31, 2020, we had two reportable operating segments – Security Products and Marine Components.</w:t>
      </w:r>
    </w:p>
    <w:p>
      <w:pPr>
        <w:spacing w:after="0" w:line="184"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color w:val="auto"/>
        </w:rPr>
        <w:t>The Security Products segment, with a facility in South Carolina and a facility shared with Marine Components in Illinois, manufactures locking mechanisms and other security products for sale to the transportation, postal, office and institutional furniture, cabinetry, tool storage, healthcare and other industries.</w:t>
      </w:r>
    </w:p>
    <w:p>
      <w:pPr>
        <w:spacing w:after="0" w:line="184"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color w:val="auto"/>
        </w:rPr>
        <w:t>Our Marine Components segment, with a facility in Wisconsin and a facility shared with Security Products in Illinois, manufactures and distributes stainless steel exhaust systems, gauges, throttle controls, wake enhancement systems, trim tabs and related hardware and accessories primarily for performance and ski/wakeboard boats.</w:t>
      </w:r>
    </w:p>
    <w:p>
      <w:pPr>
        <w:spacing w:after="0" w:line="184" w:lineRule="exact"/>
        <w:rPr>
          <w:sz w:val="20"/>
          <w:szCs w:val="20"/>
          <w:color w:val="auto"/>
        </w:rPr>
      </w:pPr>
    </w:p>
    <w:p>
      <w:pPr>
        <w:jc w:val="both"/>
        <w:ind w:firstLine="1175"/>
        <w:spacing w:after="0" w:line="257" w:lineRule="auto"/>
        <w:rPr>
          <w:sz w:val="20"/>
          <w:szCs w:val="20"/>
          <w:color w:val="auto"/>
        </w:rPr>
      </w:pPr>
      <w:r>
        <w:rPr>
          <w:rFonts w:ascii="Arial" w:cs="Arial" w:eastAsia="Arial" w:hAnsi="Arial"/>
          <w:sz w:val="18"/>
          <w:szCs w:val="18"/>
          <w:color w:val="auto"/>
        </w:rPr>
        <w:t>The chief operating decision maker evaluates segment performance based on segment operating income, which is defined as income before income taxes, exclusive of certain general corporate income and expense items (primarily interest income) and certain non-recurring items (such as gains or losses on the disposition of long-lived assets outside the ordinary course of business). The accounting policies of the reportable operating segments are the same as those described in Note 1. Capital expenditures include additions to property and equipment but exclude amounts attributable to business combinations.</w:t>
      </w:r>
    </w:p>
    <w:p>
      <w:pPr>
        <w:spacing w:after="0" w:line="188" w:lineRule="exact"/>
        <w:rPr>
          <w:sz w:val="20"/>
          <w:szCs w:val="20"/>
          <w:color w:val="auto"/>
        </w:rPr>
      </w:pPr>
    </w:p>
    <w:p>
      <w:pPr>
        <w:jc w:val="both"/>
        <w:ind w:firstLine="1175"/>
        <w:spacing w:after="0" w:line="259" w:lineRule="auto"/>
        <w:rPr>
          <w:sz w:val="20"/>
          <w:szCs w:val="20"/>
          <w:color w:val="auto"/>
        </w:rPr>
      </w:pPr>
      <w:r>
        <w:rPr>
          <w:rFonts w:ascii="Arial" w:cs="Arial" w:eastAsia="Arial" w:hAnsi="Arial"/>
          <w:sz w:val="18"/>
          <w:szCs w:val="18"/>
          <w:color w:val="auto"/>
        </w:rPr>
        <w:t>Segment assets are comprised of all assets attributable to the reportable segments. Corporate assets are not attributable to the operating segments and consist primarily of cash, cash equivalents and note receivable from affiliate. For geographic information, the point of origin (place of manufacture) for all net sales is the U.S., the point of destination for net sales is based on the location of the customer, and property and equipment are attributable to their physical location. Intersegment sales are not material.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0"/>
              </w:rPr>
              <w:t>Years ended December 31,</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center"/>
              <w:ind w:right="173"/>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2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2"/>
            <w:vMerge w:val="restart"/>
          </w:tcPr>
          <w:p>
            <w:pPr>
              <w:jc w:val="right"/>
              <w:ind w:right="247"/>
              <w:spacing w:after="0"/>
              <w:rPr>
                <w:sz w:val="20"/>
                <w:szCs w:val="20"/>
                <w:color w:val="auto"/>
              </w:rPr>
            </w:pPr>
            <w:r>
              <w:rPr>
                <w:rFonts w:ascii="Arial" w:cs="Arial" w:eastAsia="Arial" w:hAnsi="Arial"/>
                <w:sz w:val="18"/>
                <w:szCs w:val="18"/>
                <w:b w:val="1"/>
                <w:bCs w:val="1"/>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080" w:type="dxa"/>
            <w:vAlign w:val="bottom"/>
            <w:gridSpan w:val="2"/>
          </w:tcPr>
          <w:p>
            <w:pPr>
              <w:jc w:val="right"/>
              <w:ind w:right="90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98,383</w:t>
            </w:r>
          </w:p>
        </w:tc>
        <w:tc>
          <w:tcPr>
            <w:tcW w:w="32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99,328</w:t>
            </w:r>
          </w:p>
        </w:tc>
        <w:tc>
          <w:tcPr>
            <w:tcW w:w="32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net sales</w:t>
            </w:r>
          </w:p>
        </w:tc>
        <w:tc>
          <w:tcPr>
            <w:tcW w:w="20" w:type="dxa"/>
            <w:vAlign w:val="bottom"/>
          </w:tcPr>
          <w:p>
            <w:pPr>
              <w:spacing w:after="0"/>
              <w:rPr>
                <w:sz w:val="19"/>
                <w:szCs w:val="19"/>
                <w:color w:val="auto"/>
              </w:rPr>
            </w:pP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118,217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114,537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gridSpan w:val="2"/>
            <w:vMerge w:val="restart"/>
          </w:tcPr>
          <w:p>
            <w:pPr>
              <w:jc w:val="right"/>
              <w:ind w:right="247"/>
              <w:spacing w:after="0"/>
              <w:rPr>
                <w:sz w:val="20"/>
                <w:szCs w:val="20"/>
                <w:color w:val="auto"/>
              </w:rPr>
            </w:pPr>
            <w:r>
              <w:rPr>
                <w:rFonts w:ascii="Arial" w:cs="Arial" w:eastAsia="Arial" w:hAnsi="Arial"/>
                <w:sz w:val="18"/>
                <w:szCs w:val="18"/>
                <w:b w:val="1"/>
                <w:bCs w:val="1"/>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14,926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22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080" w:type="dxa"/>
            <w:vAlign w:val="bottom"/>
            <w:gridSpan w:val="2"/>
          </w:tcPr>
          <w:p>
            <w:pPr>
              <w:jc w:val="right"/>
              <w:ind w:right="90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21,947</w:t>
            </w:r>
          </w:p>
        </w:tc>
        <w:tc>
          <w:tcPr>
            <w:tcW w:w="32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21,013</w:t>
            </w:r>
          </w:p>
        </w:tc>
        <w:tc>
          <w:tcPr>
            <w:tcW w:w="32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3,644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500"/>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(6,874)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(6,991)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(7,197)</w:t>
            </w:r>
          </w:p>
        </w:tc>
        <w:tc>
          <w:tcPr>
            <w:tcW w:w="0" w:type="dxa"/>
            <w:vAlign w:val="bottom"/>
          </w:tcPr>
          <w:p>
            <w:pPr>
              <w:spacing w:after="0"/>
              <w:rPr>
                <w:sz w:val="1"/>
                <w:szCs w:val="1"/>
                <w:color w:val="auto"/>
              </w:rPr>
            </w:pPr>
          </w:p>
        </w:tc>
      </w:tr>
      <w:tr>
        <w:trPr>
          <w:trHeight w:val="218"/>
        </w:trPr>
        <w:tc>
          <w:tcPr>
            <w:tcW w:w="5220" w:type="dxa"/>
            <w:vAlign w:val="bottom"/>
          </w:tcPr>
          <w:p>
            <w:pPr>
              <w:ind w:left="740"/>
              <w:spacing w:after="0"/>
              <w:rPr>
                <w:sz w:val="20"/>
                <w:szCs w:val="20"/>
                <w:color w:val="auto"/>
              </w:rPr>
            </w:pPr>
            <w:r>
              <w:rPr>
                <w:rFonts w:ascii="Arial" w:cs="Arial" w:eastAsia="Arial" w:hAnsi="Arial"/>
                <w:sz w:val="18"/>
                <w:szCs w:val="18"/>
                <w:color w:val="auto"/>
              </w:rPr>
              <w:t>Total operating income</w:t>
            </w:r>
          </w:p>
        </w:tc>
        <w:tc>
          <w:tcPr>
            <w:tcW w:w="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50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Income before taxes</w:t>
            </w:r>
          </w:p>
        </w:tc>
        <w:tc>
          <w:tcPr>
            <w:tcW w:w="20" w:type="dxa"/>
            <w:vAlign w:val="bottom"/>
          </w:tcPr>
          <w:p>
            <w:pPr>
              <w:spacing w:after="0"/>
              <w:rPr>
                <w:sz w:val="19"/>
                <w:szCs w:val="19"/>
                <w:color w:val="auto"/>
              </w:rPr>
            </w:pP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gridSpan w:val="2"/>
            <w:vMerge w:val="restart"/>
          </w:tcPr>
          <w:p>
            <w:pPr>
              <w:jc w:val="right"/>
              <w:ind w:right="247"/>
              <w:spacing w:after="0"/>
              <w:rPr>
                <w:sz w:val="20"/>
                <w:szCs w:val="20"/>
                <w:color w:val="auto"/>
              </w:rPr>
            </w:pPr>
            <w:r>
              <w:rPr>
                <w:rFonts w:ascii="Arial" w:cs="Arial" w:eastAsia="Arial" w:hAnsi="Arial"/>
                <w:sz w:val="18"/>
                <w:szCs w:val="18"/>
                <w:b w:val="1"/>
                <w:bCs w:val="1"/>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22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080" w:type="dxa"/>
            <w:vAlign w:val="bottom"/>
            <w:gridSpan w:val="2"/>
          </w:tcPr>
          <w:p>
            <w:pPr>
              <w:jc w:val="right"/>
              <w:ind w:right="90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2,914</w:t>
            </w:r>
          </w:p>
        </w:tc>
        <w:tc>
          <w:tcPr>
            <w:tcW w:w="32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3,056</w:t>
            </w:r>
          </w:p>
        </w:tc>
        <w:tc>
          <w:tcPr>
            <w:tcW w:w="32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500"/>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gridSpan w:val="2"/>
            <w:vMerge w:val="restart"/>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1,252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080" w:type="dxa"/>
            <w:vAlign w:val="bottom"/>
            <w:gridSpan w:val="2"/>
          </w:tcPr>
          <w:p>
            <w:pPr>
              <w:jc w:val="right"/>
              <w:ind w:right="9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2,126</w:t>
            </w:r>
          </w:p>
        </w:tc>
        <w:tc>
          <w:tcPr>
            <w:tcW w:w="320" w:type="dxa"/>
            <w:vAlign w:val="bottom"/>
          </w:tcPr>
          <w:p>
            <w:pPr>
              <w:spacing w:after="0"/>
              <w:rPr>
                <w:sz w:val="19"/>
                <w:szCs w:val="19"/>
                <w:color w:val="auto"/>
              </w:rPr>
            </w:pPr>
          </w:p>
        </w:tc>
        <w:tc>
          <w:tcPr>
            <w:tcW w:w="260" w:type="dxa"/>
            <w:vAlign w:val="bottom"/>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1,530</w:t>
            </w:r>
          </w:p>
        </w:tc>
        <w:tc>
          <w:tcPr>
            <w:tcW w:w="32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1,636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500"/>
              <w:spacing w:after="0"/>
              <w:rPr>
                <w:sz w:val="20"/>
                <w:szCs w:val="20"/>
                <w:color w:val="auto"/>
              </w:rPr>
            </w:pPr>
            <w:r>
              <w:rPr>
                <w:rFonts w:ascii="Arial" w:cs="Arial" w:eastAsia="Arial" w:hAnsi="Arial"/>
                <w:sz w:val="18"/>
                <w:szCs w:val="18"/>
                <w:color w:val="auto"/>
              </w:rPr>
              <w:t>Corporate</w:t>
            </w: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gridSpan w:val="2"/>
          </w:tcPr>
          <w:p>
            <w:pPr>
              <w:jc w:val="right"/>
              <w:ind w:right="9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w:t>
            </w:r>
          </w:p>
        </w:tc>
        <w:tc>
          <w:tcPr>
            <w:tcW w:w="3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32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Net sales point of destination:</w:t>
            </w: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gridSpan w:val="2"/>
            <w:vMerge w:val="restart"/>
          </w:tcPr>
          <w:p>
            <w:pPr>
              <w:jc w:val="right"/>
              <w:ind w:right="247"/>
              <w:spacing w:after="0"/>
              <w:rPr>
                <w:sz w:val="20"/>
                <w:szCs w:val="20"/>
                <w:color w:val="auto"/>
              </w:rPr>
            </w:pPr>
            <w:r>
              <w:rPr>
                <w:rFonts w:ascii="Arial" w:cs="Arial" w:eastAsia="Arial" w:hAnsi="Arial"/>
                <w:sz w:val="18"/>
                <w:szCs w:val="18"/>
                <w:b w:val="1"/>
                <w:bCs w:val="1"/>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107,712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1080" w:type="dxa"/>
            <w:vAlign w:val="bottom"/>
            <w:gridSpan w:val="2"/>
          </w:tcPr>
          <w:p>
            <w:pPr>
              <w:jc w:val="right"/>
              <w:ind w:right="90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108,773</w:t>
            </w:r>
          </w:p>
        </w:tc>
        <w:tc>
          <w:tcPr>
            <w:tcW w:w="32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114,186</w:t>
            </w:r>
          </w:p>
        </w:tc>
        <w:tc>
          <w:tcPr>
            <w:tcW w:w="32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50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6,436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7,257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50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922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5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118,217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124,243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114,537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center"/>
              <w:ind w:right="173"/>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2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2"/>
            <w:vMerge w:val="restart"/>
          </w:tcPr>
          <w:p>
            <w:pPr>
              <w:jc w:val="right"/>
              <w:ind w:right="247"/>
              <w:spacing w:after="0"/>
              <w:rPr>
                <w:sz w:val="20"/>
                <w:szCs w:val="20"/>
                <w:color w:val="auto"/>
              </w:rPr>
            </w:pPr>
            <w:r>
              <w:rPr>
                <w:rFonts w:ascii="Arial" w:cs="Arial" w:eastAsia="Arial" w:hAnsi="Arial"/>
                <w:sz w:val="18"/>
                <w:szCs w:val="18"/>
                <w:b w:val="1"/>
                <w:bCs w:val="1"/>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080" w:type="dxa"/>
            <w:vAlign w:val="bottom"/>
            <w:gridSpan w:val="2"/>
          </w:tcPr>
          <w:p>
            <w:pPr>
              <w:jc w:val="right"/>
              <w:ind w:right="90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74,714</w:t>
            </w:r>
          </w:p>
        </w:tc>
        <w:tc>
          <w:tcPr>
            <w:tcW w:w="32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73,697</w:t>
            </w:r>
          </w:p>
        </w:tc>
        <w:tc>
          <w:tcPr>
            <w:tcW w:w="32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14,189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15,256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15,515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500"/>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77,526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89,591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97,775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166,429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178,544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184,045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Intersegment sales are not material.</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property and equipment for 2018, 2019 and 2020 is entirely located within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39" w:name="page40"/>
    <w:bookmarkEnd w:id="39"/>
    <w:p>
      <w:pPr>
        <w:ind w:left="200"/>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Accounts receivable, net: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15"/>
        </w:trPr>
        <w:tc>
          <w:tcPr>
            <w:tcW w:w="4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80" w:type="dxa"/>
            <w:vAlign w:val="bottom"/>
            <w:vMerge w:val="restart"/>
          </w:tcPr>
          <w:p>
            <w:pPr>
              <w:spacing w:after="0"/>
              <w:rPr>
                <w:sz w:val="20"/>
                <w:szCs w:val="20"/>
                <w:color w:val="auto"/>
              </w:rPr>
            </w:pPr>
            <w:r>
              <w:rPr>
                <w:rFonts w:ascii="Arial" w:cs="Arial" w:eastAsia="Arial" w:hAnsi="Arial"/>
                <w:sz w:val="18"/>
                <w:szCs w:val="18"/>
                <w:color w:val="auto"/>
              </w:rPr>
              <w:t>Accounts receivable, net:</w:t>
            </w:r>
          </w:p>
        </w:tc>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4"/>
          </w:tcPr>
          <w:p>
            <w:pPr>
              <w:jc w:val="right"/>
              <w:ind w:right="29"/>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98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gridSpan w:val="2"/>
            <w:vMerge w:val="restart"/>
          </w:tcPr>
          <w:p>
            <w:pPr>
              <w:jc w:val="right"/>
              <w:ind w:right="209"/>
              <w:spacing w:after="0"/>
              <w:rPr>
                <w:sz w:val="20"/>
                <w:szCs w:val="20"/>
                <w:color w:val="auto"/>
              </w:rPr>
            </w:pPr>
            <w:r>
              <w:rPr>
                <w:rFonts w:ascii="Arial" w:cs="Arial" w:eastAsia="Arial" w:hAnsi="Arial"/>
                <w:sz w:val="15"/>
                <w:szCs w:val="15"/>
                <w:b w:val="1"/>
                <w:bCs w:val="1"/>
                <w:color w:val="auto"/>
                <w:w w:val="71"/>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8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6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10,321</w:t>
            </w:r>
          </w:p>
        </w:tc>
        <w:tc>
          <w:tcPr>
            <w:tcW w:w="340" w:type="dxa"/>
            <w:vAlign w:val="bottom"/>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Marine Components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1,619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23"/>
        </w:trPr>
        <w:tc>
          <w:tcPr>
            <w:tcW w:w="4980" w:type="dxa"/>
            <w:vAlign w:val="bottom"/>
          </w:tcPr>
          <w:p>
            <w:pPr>
              <w:ind w:left="500"/>
              <w:spacing w:after="0"/>
              <w:rPr>
                <w:sz w:val="20"/>
                <w:szCs w:val="20"/>
                <w:color w:val="auto"/>
              </w:rPr>
            </w:pPr>
            <w:r>
              <w:rPr>
                <w:rFonts w:ascii="Arial" w:cs="Arial" w:eastAsia="Arial" w:hAnsi="Arial"/>
                <w:sz w:val="18"/>
                <w:szCs w:val="18"/>
                <w:color w:val="auto"/>
              </w:rPr>
              <w:t>Total accounts receivable, net</w:t>
            </w:r>
          </w:p>
        </w:tc>
        <w:tc>
          <w:tcPr>
            <w:tcW w:w="2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w:t>
            </w:r>
          </w:p>
        </w:tc>
        <w:tc>
          <w:tcPr>
            <w:tcW w:w="2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8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4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8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4"/>
          </w:tcPr>
          <w:p>
            <w:pPr>
              <w:jc w:val="right"/>
              <w:ind w:right="29"/>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980" w:type="dxa"/>
            <w:vAlign w:val="bottom"/>
            <w:vMerge w:val="continue"/>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gridSpan w:val="2"/>
            <w:vMerge w:val="restart"/>
          </w:tcPr>
          <w:p>
            <w:pPr>
              <w:jc w:val="right"/>
              <w:ind w:right="209"/>
              <w:spacing w:after="0"/>
              <w:rPr>
                <w:sz w:val="20"/>
                <w:szCs w:val="20"/>
                <w:color w:val="auto"/>
              </w:rPr>
            </w:pPr>
            <w:r>
              <w:rPr>
                <w:rFonts w:ascii="Arial" w:cs="Arial" w:eastAsia="Arial" w:hAnsi="Arial"/>
                <w:sz w:val="15"/>
                <w:szCs w:val="15"/>
                <w:b w:val="1"/>
                <w:bCs w:val="1"/>
                <w:color w:val="auto"/>
                <w:w w:val="71"/>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98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6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2,134</w:t>
            </w:r>
          </w:p>
        </w:tc>
        <w:tc>
          <w:tcPr>
            <w:tcW w:w="340" w:type="dxa"/>
            <w:vAlign w:val="bottom"/>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60"/>
              <w:spacing w:after="0"/>
              <w:rPr>
                <w:sz w:val="20"/>
                <w:szCs w:val="20"/>
                <w:color w:val="auto"/>
              </w:rPr>
            </w:pPr>
            <w:r>
              <w:rPr>
                <w:rFonts w:ascii="Arial" w:cs="Arial" w:eastAsia="Arial" w:hAnsi="Arial"/>
                <w:sz w:val="18"/>
                <w:szCs w:val="18"/>
                <w:color w:val="auto"/>
              </w:rPr>
              <w:t>Marine Components</w:t>
            </w:r>
          </w:p>
        </w:tc>
        <w:tc>
          <w:tcPr>
            <w:tcW w:w="2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500"/>
              <w:spacing w:after="0"/>
              <w:rPr>
                <w:sz w:val="20"/>
                <w:szCs w:val="20"/>
                <w:color w:val="auto"/>
              </w:rPr>
            </w:pPr>
            <w:r>
              <w:rPr>
                <w:rFonts w:ascii="Arial" w:cs="Arial" w:eastAsia="Arial" w:hAnsi="Arial"/>
                <w:sz w:val="18"/>
                <w:szCs w:val="18"/>
                <w:color w:val="auto"/>
              </w:rPr>
              <w:t>Total raw materials</w:t>
            </w:r>
          </w:p>
        </w:tc>
        <w:tc>
          <w:tcPr>
            <w:tcW w:w="2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Work-in-process: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8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9,138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60"/>
              <w:spacing w:after="0"/>
              <w:rPr>
                <w:sz w:val="20"/>
                <w:szCs w:val="20"/>
                <w:color w:val="auto"/>
              </w:rPr>
            </w:pPr>
            <w:r>
              <w:rPr>
                <w:rFonts w:ascii="Arial" w:cs="Arial" w:eastAsia="Arial" w:hAnsi="Arial"/>
                <w:sz w:val="18"/>
                <w:szCs w:val="18"/>
                <w:color w:val="auto"/>
              </w:rPr>
              <w:t>Marine Components</w:t>
            </w:r>
          </w:p>
        </w:tc>
        <w:tc>
          <w:tcPr>
            <w:tcW w:w="2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500"/>
              <w:spacing w:after="0"/>
              <w:rPr>
                <w:sz w:val="20"/>
                <w:szCs w:val="20"/>
                <w:color w:val="auto"/>
              </w:rPr>
            </w:pPr>
            <w:r>
              <w:rPr>
                <w:rFonts w:ascii="Arial" w:cs="Arial" w:eastAsia="Arial" w:hAnsi="Arial"/>
                <w:sz w:val="18"/>
                <w:szCs w:val="18"/>
                <w:color w:val="auto"/>
              </w:rPr>
              <w:t>Total work-in-process</w:t>
            </w:r>
          </w:p>
        </w:tc>
        <w:tc>
          <w:tcPr>
            <w:tcW w:w="2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Finished goods: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8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2,582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60"/>
              <w:spacing w:after="0"/>
              <w:rPr>
                <w:sz w:val="20"/>
                <w:szCs w:val="20"/>
                <w:color w:val="auto"/>
              </w:rPr>
            </w:pPr>
            <w:r>
              <w:rPr>
                <w:rFonts w:ascii="Arial" w:cs="Arial" w:eastAsia="Arial" w:hAnsi="Arial"/>
                <w:sz w:val="18"/>
                <w:szCs w:val="18"/>
                <w:color w:val="auto"/>
              </w:rPr>
              <w:t>Marine Components</w:t>
            </w:r>
          </w:p>
        </w:tc>
        <w:tc>
          <w:tcPr>
            <w:tcW w:w="2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500"/>
              <w:spacing w:after="0"/>
              <w:rPr>
                <w:sz w:val="20"/>
                <w:szCs w:val="20"/>
                <w:color w:val="auto"/>
              </w:rPr>
            </w:pPr>
            <w:r>
              <w:rPr>
                <w:rFonts w:ascii="Arial" w:cs="Arial" w:eastAsia="Arial" w:hAnsi="Arial"/>
                <w:sz w:val="18"/>
                <w:szCs w:val="18"/>
                <w:color w:val="auto"/>
              </w:rPr>
              <w:t>Total finished goods</w:t>
            </w:r>
          </w:p>
        </w:tc>
        <w:tc>
          <w:tcPr>
            <w:tcW w:w="2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60"/>
              <w:spacing w:after="0"/>
              <w:rPr>
                <w:sz w:val="20"/>
                <w:szCs w:val="20"/>
                <w:color w:val="auto"/>
              </w:rPr>
            </w:pPr>
            <w:r>
              <w:rPr>
                <w:rFonts w:ascii="Arial" w:cs="Arial" w:eastAsia="Arial" w:hAnsi="Arial"/>
                <w:sz w:val="18"/>
                <w:szCs w:val="18"/>
                <w:color w:val="auto"/>
              </w:rPr>
              <w:t>Total inventories, net</w:t>
            </w:r>
          </w:p>
        </w:tc>
        <w:tc>
          <w:tcPr>
            <w:tcW w:w="236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18,348</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w:t>
      </w:r>
      <w:r>
        <w:rPr>
          <w:rFonts w:ascii="Arial" w:cs="Arial" w:eastAsia="Arial" w:hAnsi="Arial"/>
          <w:sz w:val="18"/>
          <w:szCs w:val="18"/>
          <w:b w:val="1"/>
          <w:bCs w:val="1"/>
          <w:color w:val="auto"/>
        </w:rPr>
        <w:t xml:space="preserve"> Goodwill:</w:t>
      </w:r>
    </w:p>
    <w:p>
      <w:pPr>
        <w:spacing w:after="0" w:line="121" w:lineRule="exact"/>
        <w:rPr>
          <w:sz w:val="20"/>
          <w:szCs w:val="20"/>
          <w:color w:val="auto"/>
        </w:rPr>
      </w:pPr>
    </w:p>
    <w:p>
      <w:pPr>
        <w:jc w:val="both"/>
        <w:ind w:firstLine="1175"/>
        <w:spacing w:after="0" w:line="257" w:lineRule="auto"/>
        <w:rPr>
          <w:sz w:val="20"/>
          <w:szCs w:val="20"/>
          <w:color w:val="auto"/>
        </w:rPr>
      </w:pPr>
      <w:r>
        <w:rPr>
          <w:rFonts w:ascii="Arial" w:cs="Arial" w:eastAsia="Arial" w:hAnsi="Arial"/>
          <w:sz w:val="18"/>
          <w:szCs w:val="18"/>
          <w:color w:val="auto"/>
        </w:rPr>
        <w:t xml:space="preserve">We assign goodwill based on </w:t>
      </w:r>
      <w:r>
        <w:rPr>
          <w:rFonts w:ascii="Arial" w:cs="Arial" w:eastAsia="Arial" w:hAnsi="Arial"/>
          <w:sz w:val="18"/>
          <w:szCs w:val="18"/>
          <w:i w:val="1"/>
          <w:iCs w:val="1"/>
          <w:color w:val="auto"/>
        </w:rPr>
        <w:t>reporting unit</w:t>
      </w:r>
      <w:r>
        <w:rPr>
          <w:rFonts w:ascii="Arial" w:cs="Arial" w:eastAsia="Arial" w:hAnsi="Arial"/>
          <w:sz w:val="18"/>
          <w:szCs w:val="18"/>
          <w:color w:val="auto"/>
        </w:rPr>
        <w:t xml:space="preserve"> (as that term is defined in ASC Topic 350-20-20, </w:t>
      </w:r>
      <w:r>
        <w:rPr>
          <w:rFonts w:ascii="Arial" w:cs="Arial" w:eastAsia="Arial" w:hAnsi="Arial"/>
          <w:sz w:val="18"/>
          <w:szCs w:val="18"/>
          <w:i w:val="1"/>
          <w:iCs w:val="1"/>
          <w:color w:val="auto"/>
        </w:rPr>
        <w:t>Goodwill</w:t>
      </w:r>
      <w:r>
        <w:rPr>
          <w:rFonts w:ascii="Arial" w:cs="Arial" w:eastAsia="Arial" w:hAnsi="Arial"/>
          <w:sz w:val="18"/>
          <w:szCs w:val="18"/>
          <w:color w:val="auto"/>
        </w:rPr>
        <w:t>) which corresponds to our operating segments. All of our net goodwill relates to our Security Products segment and was generated from acquisitions relating to our Security Products segment prior to 2001. We test for goodwill impairment at the reporting unit level. In accordance with the requirements of ASC Topic 350-20-20, we review goodwill for each of our reporting units for impairment during the third quarter of each year or when circumstances arise that indicate an impairment might be present.</w:t>
      </w:r>
    </w:p>
    <w:p>
      <w:pPr>
        <w:spacing w:after="0" w:line="188" w:lineRule="exact"/>
        <w:rPr>
          <w:sz w:val="20"/>
          <w:szCs w:val="20"/>
          <w:color w:val="auto"/>
        </w:rPr>
      </w:pPr>
    </w:p>
    <w:p>
      <w:pPr>
        <w:jc w:val="both"/>
        <w:ind w:firstLine="1175"/>
        <w:spacing w:after="0" w:line="296" w:lineRule="auto"/>
        <w:rPr>
          <w:sz w:val="20"/>
          <w:szCs w:val="20"/>
          <w:color w:val="auto"/>
        </w:rPr>
      </w:pPr>
      <w:r>
        <w:rPr>
          <w:rFonts w:ascii="Arial" w:cs="Arial" w:eastAsia="Arial" w:hAnsi="Arial"/>
          <w:sz w:val="16"/>
          <w:szCs w:val="16"/>
          <w:color w:val="auto"/>
        </w:rPr>
        <w:t>In 2018, 2019 and 2020, our goodwill was tested for impairment only in the third quarter of each year in connection with our annual testing date. No impairment was indicated as part of such annual reviews of goodwill. As permitted by GAAP, during each of 2018, 2019 and 2020 we used the qualitative assessment of ASC 350-20-35 for our annual impairment test and determined it was not necessary to perform the quantitative goodwill impairment test. During 2016, we used the quantitative assessment of ASC 350-20-35 for our annual impairment test using discounted cash flows to determine the estimated fair value of our Security Products reporting unit. Such discounted cash flows are a Level 3 input as defined by ASC 820-10-35.</w:t>
      </w:r>
    </w:p>
    <w:p>
      <w:pPr>
        <w:spacing w:after="0" w:line="161"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color w:val="auto"/>
        </w:rPr>
        <w:t>Our gross goodwill at December 31, 2020 is $33.6 million. Prior to 2018, we recorded a $9.9 million goodwill impairment in our Marine Components segment resulting in a net consolidated carrying amount of $23.7 million. There have been no changes in the carrying amount of our goodwill during the past three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ind w:left="200"/>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Accounts payable and accrued liabilities: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1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0"/>
        </w:trPr>
        <w:tc>
          <w:tcPr>
            <w:tcW w:w="5440" w:type="dxa"/>
            <w:vAlign w:val="bottom"/>
            <w:vMerge w:val="restart"/>
          </w:tcPr>
          <w:p>
            <w:pPr>
              <w:spacing w:after="0"/>
              <w:rPr>
                <w:sz w:val="20"/>
                <w:szCs w:val="20"/>
                <w:color w:val="auto"/>
              </w:rPr>
            </w:pPr>
            <w:r>
              <w:rPr>
                <w:rFonts w:ascii="Arial" w:cs="Arial" w:eastAsia="Arial" w:hAnsi="Arial"/>
                <w:sz w:val="18"/>
                <w:szCs w:val="18"/>
                <w:color w:val="auto"/>
              </w:rPr>
              <w:t>Accounts payable:</w:t>
            </w:r>
          </w:p>
        </w:tc>
        <w:tc>
          <w:tcPr>
            <w:tcW w:w="1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40" w:type="dxa"/>
            <w:vAlign w:val="bottom"/>
            <w:gridSpan w:val="4"/>
          </w:tcPr>
          <w:p>
            <w:pPr>
              <w:jc w:val="right"/>
              <w:ind w:right="169"/>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44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gridSpan w:val="2"/>
            <w:vMerge w:val="restart"/>
          </w:tcPr>
          <w:p>
            <w:pPr>
              <w:jc w:val="right"/>
              <w:ind w:right="349"/>
              <w:spacing w:after="0"/>
              <w:rPr>
                <w:sz w:val="20"/>
                <w:szCs w:val="20"/>
                <w:color w:val="auto"/>
              </w:rPr>
            </w:pPr>
            <w:r>
              <w:rPr>
                <w:rFonts w:ascii="Arial" w:cs="Arial" w:eastAsia="Arial" w:hAnsi="Arial"/>
                <w:sz w:val="15"/>
                <w:szCs w:val="15"/>
                <w:b w:val="1"/>
                <w:bCs w:val="1"/>
                <w:color w:val="auto"/>
                <w:w w:val="71"/>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1,859</w:t>
            </w:r>
          </w:p>
        </w:tc>
        <w:tc>
          <w:tcPr>
            <w:tcW w:w="0" w:type="dxa"/>
            <w:vAlign w:val="bottom"/>
          </w:tcPr>
          <w:p>
            <w:pPr>
              <w:spacing w:after="0"/>
              <w:rPr>
                <w:sz w:val="1"/>
                <w:szCs w:val="1"/>
                <w:color w:val="auto"/>
              </w:rPr>
            </w:pPr>
          </w:p>
        </w:tc>
      </w:tr>
      <w:tr>
        <w:trPr>
          <w:trHeight w:val="225"/>
        </w:trPr>
        <w:tc>
          <w:tcPr>
            <w:tcW w:w="544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3000" w:type="dxa"/>
            <w:vAlign w:val="bottom"/>
            <w:gridSpan w:val="2"/>
          </w:tcPr>
          <w:p>
            <w:pPr>
              <w:jc w:val="right"/>
              <w:ind w:right="94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1,975</w:t>
            </w:r>
          </w:p>
        </w:tc>
        <w:tc>
          <w:tcPr>
            <w:tcW w:w="3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1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539</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773</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Accrued liabilities:</w:t>
            </w: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8,431</w:t>
            </w:r>
          </w:p>
        </w:tc>
        <w:tc>
          <w:tcPr>
            <w:tcW w:w="0" w:type="dxa"/>
            <w:vAlign w:val="bottom"/>
          </w:tcPr>
          <w:p>
            <w:pPr>
              <w:spacing w:after="0"/>
              <w:rPr>
                <w:sz w:val="1"/>
                <w:szCs w:val="1"/>
                <w:color w:val="auto"/>
              </w:rPr>
            </w:pPr>
          </w:p>
        </w:tc>
      </w:tr>
      <w:tr>
        <w:trPr>
          <w:trHeight w:val="225"/>
        </w:trPr>
        <w:tc>
          <w:tcPr>
            <w:tcW w:w="5440" w:type="dxa"/>
            <w:vAlign w:val="bottom"/>
          </w:tcPr>
          <w:p>
            <w:pPr>
              <w:ind w:left="500"/>
              <w:spacing w:after="0"/>
              <w:rPr>
                <w:sz w:val="20"/>
                <w:szCs w:val="20"/>
                <w:color w:val="auto"/>
              </w:rPr>
            </w:pPr>
            <w:r>
              <w:rPr>
                <w:rFonts w:ascii="Arial" w:cs="Arial" w:eastAsia="Arial" w:hAnsi="Arial"/>
                <w:sz w:val="18"/>
                <w:szCs w:val="18"/>
                <w:color w:val="auto"/>
              </w:rPr>
              <w:t>Employee benefits</w:t>
            </w: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8,331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Customer tooling</w:t>
            </w: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0" w:type="dxa"/>
            <w:vAlign w:val="bottom"/>
          </w:tcPr>
          <w:p>
            <w:pPr>
              <w:spacing w:after="0"/>
              <w:rPr>
                <w:sz w:val="1"/>
                <w:szCs w:val="1"/>
                <w:color w:val="auto"/>
              </w:rPr>
            </w:pPr>
          </w:p>
        </w:tc>
      </w:tr>
      <w:tr>
        <w:trPr>
          <w:trHeight w:val="229"/>
        </w:trPr>
        <w:tc>
          <w:tcPr>
            <w:tcW w:w="5440" w:type="dxa"/>
            <w:vAlign w:val="bottom"/>
          </w:tcPr>
          <w:p>
            <w:pPr>
              <w:ind w:left="500"/>
              <w:spacing w:after="0"/>
              <w:rPr>
                <w:sz w:val="20"/>
                <w:szCs w:val="20"/>
                <w:color w:val="auto"/>
              </w:rPr>
            </w:pPr>
            <w:r>
              <w:rPr>
                <w:rFonts w:ascii="Arial" w:cs="Arial" w:eastAsia="Arial" w:hAnsi="Arial"/>
                <w:sz w:val="18"/>
                <w:szCs w:val="18"/>
                <w:color w:val="auto"/>
              </w:rPr>
              <w:t>Taxes other than on income</w:t>
            </w: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301</w:t>
            </w:r>
          </w:p>
        </w:tc>
        <w:tc>
          <w:tcPr>
            <w:tcW w:w="0" w:type="dxa"/>
            <w:vAlign w:val="bottom"/>
          </w:tcPr>
          <w:p>
            <w:pPr>
              <w:spacing w:after="0"/>
              <w:rPr>
                <w:sz w:val="1"/>
                <w:szCs w:val="1"/>
                <w:color w:val="auto"/>
              </w:rPr>
            </w:pPr>
          </w:p>
        </w:tc>
      </w:tr>
      <w:tr>
        <w:trPr>
          <w:trHeight w:val="229"/>
        </w:trPr>
        <w:tc>
          <w:tcPr>
            <w:tcW w:w="5440" w:type="dxa"/>
            <w:vAlign w:val="bottom"/>
          </w:tcPr>
          <w:p>
            <w:pPr>
              <w:ind w:left="500"/>
              <w:spacing w:after="0"/>
              <w:rPr>
                <w:sz w:val="20"/>
                <w:szCs w:val="20"/>
                <w:color w:val="auto"/>
              </w:rPr>
            </w:pPr>
            <w:r>
              <w:rPr>
                <w:rFonts w:ascii="Arial" w:cs="Arial" w:eastAsia="Arial" w:hAnsi="Arial"/>
                <w:sz w:val="18"/>
                <w:szCs w:val="18"/>
                <w:color w:val="auto"/>
              </w:rPr>
              <w:t>Insurance</w:t>
            </w: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Sales rebates</w:t>
            </w:r>
          </w:p>
        </w:tc>
        <w:tc>
          <w:tcPr>
            <w:tcW w:w="1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34"/>
        </w:trPr>
        <w:tc>
          <w:tcPr>
            <w:tcW w:w="5440" w:type="dxa"/>
            <w:vAlign w:val="bottom"/>
          </w:tcPr>
          <w:p>
            <w:pPr>
              <w:ind w:left="500"/>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0" w:type="dxa"/>
            <w:vAlign w:val="bottom"/>
          </w:tcPr>
          <w:p>
            <w:pPr>
              <w:spacing w:after="0"/>
              <w:rPr>
                <w:sz w:val="1"/>
                <w:szCs w:val="1"/>
                <w:color w:val="auto"/>
              </w:rPr>
            </w:pPr>
          </w:p>
        </w:tc>
      </w:tr>
      <w:tr>
        <w:trPr>
          <w:trHeight w:val="223"/>
        </w:trPr>
        <w:tc>
          <w:tcPr>
            <w:tcW w:w="5440" w:type="dxa"/>
            <w:vAlign w:val="bottom"/>
          </w:tcPr>
          <w:p>
            <w:pPr>
              <w:ind w:left="260"/>
              <w:spacing w:after="0"/>
              <w:rPr>
                <w:sz w:val="20"/>
                <w:szCs w:val="20"/>
                <w:color w:val="auto"/>
              </w:rPr>
            </w:pPr>
            <w:r>
              <w:rPr>
                <w:rFonts w:ascii="Arial" w:cs="Arial" w:eastAsia="Arial" w:hAnsi="Arial"/>
                <w:sz w:val="18"/>
                <w:szCs w:val="18"/>
                <w:color w:val="auto"/>
              </w:rPr>
              <w:t>Total accounts payable and accrued liabilities</w:t>
            </w:r>
          </w:p>
        </w:tc>
        <w:tc>
          <w:tcPr>
            <w:tcW w:w="1900" w:type="dxa"/>
            <w:vAlign w:val="bottom"/>
          </w:tcPr>
          <w:p>
            <w:pPr>
              <w:spacing w:after="0"/>
              <w:rPr>
                <w:sz w:val="19"/>
                <w:szCs w:val="19"/>
                <w:color w:val="auto"/>
              </w:rPr>
            </w:pPr>
          </w:p>
        </w:tc>
        <w:tc>
          <w:tcPr>
            <w:tcW w:w="1100" w:type="dxa"/>
            <w:vAlign w:val="bottom"/>
            <w:tcBorders>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12,078</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12,198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121" w:lineRule="exact"/>
        <w:rPr>
          <w:sz w:val="20"/>
          <w:szCs w:val="20"/>
          <w:color w:val="auto"/>
        </w:rPr>
      </w:pPr>
    </w:p>
    <w:p>
      <w:pPr>
        <w:jc w:val="both"/>
        <w:ind w:firstLine="1175"/>
        <w:spacing w:after="0" w:line="308" w:lineRule="auto"/>
        <w:rPr>
          <w:sz w:val="20"/>
          <w:szCs w:val="20"/>
          <w:color w:val="auto"/>
        </w:rPr>
      </w:pPr>
      <w:r>
        <w:rPr>
          <w:rFonts w:ascii="Arial" w:cs="Arial" w:eastAsia="Arial" w:hAnsi="Arial"/>
          <w:sz w:val="17"/>
          <w:szCs w:val="17"/>
          <w:color w:val="auto"/>
        </w:rPr>
        <w:t>The provision for income taxes and the difference between such provision for income taxes and the amount that would be expected using the U.S. federal statutory income tax rate of 21% are presented below. All of our pre-tax income relates to operations in the United States.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2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24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24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40" w:type="dxa"/>
            <w:vAlign w:val="bottom"/>
          </w:tcPr>
          <w:p>
            <w:pPr>
              <w:ind w:left="380"/>
              <w:spacing w:after="0"/>
              <w:rPr>
                <w:sz w:val="20"/>
                <w:szCs w:val="20"/>
                <w:color w:val="auto"/>
              </w:rPr>
            </w:pPr>
            <w:r>
              <w:rPr>
                <w:rFonts w:ascii="Arial" w:cs="Arial" w:eastAsia="Arial" w:hAnsi="Arial"/>
                <w:sz w:val="18"/>
                <w:szCs w:val="18"/>
                <w:color w:val="auto"/>
              </w:rPr>
              <w:t>Currently payable</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5,064</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4,849</w:t>
            </w:r>
          </w:p>
        </w:tc>
        <w:tc>
          <w:tcPr>
            <w:tcW w:w="3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40" w:type="dxa"/>
            <w:vAlign w:val="bottom"/>
          </w:tcPr>
          <w:p>
            <w:pPr>
              <w:ind w:left="380"/>
              <w:spacing w:after="0"/>
              <w:rPr>
                <w:sz w:val="20"/>
                <w:szCs w:val="20"/>
                <w:color w:val="auto"/>
              </w:rPr>
            </w:pPr>
            <w:r>
              <w:rPr>
                <w:rFonts w:ascii="Arial" w:cs="Arial" w:eastAsia="Arial" w:hAnsi="Arial"/>
                <w:sz w:val="18"/>
                <w:szCs w:val="18"/>
                <w:color w:val="auto"/>
              </w:rPr>
              <w:t>Deferred income tax expense (benefit)</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5,150</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4,938</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Expected tax expense, at the U.S. federal statutory</w:t>
            </w: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2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income tax rate of 21%</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4,300</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4,397</w:t>
            </w:r>
          </w:p>
        </w:tc>
        <w:tc>
          <w:tcPr>
            <w:tcW w:w="30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State income taxes</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742</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Foreign derived intangible income benefit</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260"/>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5,150</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4,938</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175"/>
        <w:spacing w:after="0" w:line="259" w:lineRule="auto"/>
        <w:rPr>
          <w:sz w:val="20"/>
          <w:szCs w:val="20"/>
          <w:color w:val="auto"/>
        </w:rPr>
      </w:pPr>
      <w:r>
        <w:rPr>
          <w:rFonts w:ascii="Arial" w:cs="Arial" w:eastAsia="Arial" w:hAnsi="Arial"/>
          <w:sz w:val="18"/>
          <w:szCs w:val="18"/>
          <w:color w:val="auto"/>
        </w:rPr>
        <w:t>Under the “Tax Cuts and Jobs Act,” domestic corporations who are U.S. exporters with no foreign operations may be eligible for a deduction under the foreign derived intangible income provisions. We qualify for this deduction and recognized a current cash tax benefit of $0.2 million in 2019 ($0.1 million of such current cash tax benefit is related to 2018) and $0.1 million in 2020. See also Note 10 to our Consolidated Financial Statements.</w:t>
      </w:r>
    </w:p>
    <w:p>
      <w:pPr>
        <w:spacing w:after="0" w:line="187" w:lineRule="exact"/>
        <w:rPr>
          <w:sz w:val="20"/>
          <w:szCs w:val="20"/>
          <w:color w:val="auto"/>
        </w:rPr>
      </w:pPr>
    </w:p>
    <w:p>
      <w:pPr>
        <w:jc w:val="both"/>
        <w:ind w:firstLine="1175"/>
        <w:spacing w:after="0" w:line="257" w:lineRule="auto"/>
        <w:rPr>
          <w:sz w:val="20"/>
          <w:szCs w:val="20"/>
          <w:color w:val="auto"/>
        </w:rPr>
      </w:pPr>
      <w:r>
        <w:rPr>
          <w:rFonts w:ascii="Arial" w:cs="Arial" w:eastAsia="Arial" w:hAnsi="Arial"/>
          <w:sz w:val="18"/>
          <w:szCs w:val="18"/>
          <w:color w:val="auto"/>
        </w:rPr>
        <w:t>On March 27, 2020, the “Coronavirus Aid, Relief and Economic Security (CARES) Act” was signed into law in response to the COVID-19 pandemic. The CARES Act, among other things, includes provisions relating to refundable payroll tax credits, deferment of employer side social security payments, modifications to the limitation of business interest for tax years beginning in 2019 and 2020 and technical corrections to tax depreciation methods for qualified improvement property. We have evaluated the relevant provisions of the CARES Act and determined the impact is not material to our tax provision.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1180"/>
        <w:spacing w:after="0"/>
        <w:rPr>
          <w:sz w:val="20"/>
          <w:szCs w:val="20"/>
          <w:color w:val="auto"/>
        </w:rPr>
      </w:pPr>
      <w:r>
        <w:rPr>
          <w:rFonts w:ascii="Arial" w:cs="Arial" w:eastAsia="Arial" w:hAnsi="Arial"/>
          <w:sz w:val="18"/>
          <w:szCs w:val="18"/>
          <w:color w:val="auto"/>
        </w:rPr>
        <w:t>The components of the net deferred tax liability are summarized below.</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00" w:type="dxa"/>
            <w:vAlign w:val="bottom"/>
            <w:vMerge w:val="restart"/>
          </w:tcPr>
          <w:p>
            <w:pPr>
              <w:spacing w:after="0"/>
              <w:rPr>
                <w:sz w:val="20"/>
                <w:szCs w:val="20"/>
                <w:color w:val="auto"/>
              </w:rPr>
            </w:pPr>
            <w:r>
              <w:rPr>
                <w:rFonts w:ascii="Arial" w:cs="Arial" w:eastAsia="Arial" w:hAnsi="Arial"/>
                <w:sz w:val="18"/>
                <w:szCs w:val="18"/>
                <w:color w:val="auto"/>
              </w:rPr>
              <w:t>Tax effect of temporary differences related to:</w:t>
            </w: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20" w:type="dxa"/>
            <w:vAlign w:val="bottom"/>
            <w:gridSpan w:val="4"/>
          </w:tcPr>
          <w:p>
            <w:pPr>
              <w:jc w:val="right"/>
              <w:ind w:right="169"/>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70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gridSpan w:val="2"/>
            <w:vMerge w:val="restart"/>
          </w:tcPr>
          <w:p>
            <w:pPr>
              <w:jc w:val="right"/>
              <w:ind w:right="349"/>
              <w:spacing w:after="0"/>
              <w:rPr>
                <w:sz w:val="20"/>
                <w:szCs w:val="20"/>
                <w:color w:val="auto"/>
              </w:rPr>
            </w:pPr>
            <w:r>
              <w:rPr>
                <w:rFonts w:ascii="Arial" w:cs="Arial" w:eastAsia="Arial" w:hAnsi="Arial"/>
                <w:sz w:val="15"/>
                <w:szCs w:val="15"/>
                <w:b w:val="1"/>
                <w:bCs w:val="1"/>
                <w:color w:val="auto"/>
                <w:w w:val="71"/>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760" w:type="dxa"/>
            <w:vAlign w:val="bottom"/>
            <w:gridSpan w:val="2"/>
          </w:tcPr>
          <w:p>
            <w:pPr>
              <w:jc w:val="right"/>
              <w:ind w:right="96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(3,058)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(2,887)</w:t>
            </w:r>
          </w:p>
        </w:tc>
        <w:tc>
          <w:tcPr>
            <w:tcW w:w="0" w:type="dxa"/>
            <w:vAlign w:val="bottom"/>
          </w:tcPr>
          <w:p>
            <w:pPr>
              <w:spacing w:after="0"/>
              <w:rPr>
                <w:sz w:val="1"/>
                <w:szCs w:val="1"/>
                <w:color w:val="auto"/>
              </w:rPr>
            </w:pPr>
          </w:p>
        </w:tc>
      </w:tr>
      <w:tr>
        <w:trPr>
          <w:trHeight w:val="230"/>
        </w:trPr>
        <w:tc>
          <w:tcPr>
            <w:tcW w:w="5700" w:type="dxa"/>
            <w:vAlign w:val="bottom"/>
          </w:tcPr>
          <w:p>
            <w:pPr>
              <w:ind w:left="380"/>
              <w:spacing w:after="0"/>
              <w:rPr>
                <w:sz w:val="20"/>
                <w:szCs w:val="20"/>
                <w:color w:val="auto"/>
              </w:rPr>
            </w:pPr>
            <w:r>
              <w:rPr>
                <w:rFonts w:ascii="Arial" w:cs="Arial" w:eastAsia="Arial" w:hAnsi="Arial"/>
                <w:sz w:val="18"/>
                <w:szCs w:val="18"/>
                <w:color w:val="auto"/>
              </w:rPr>
              <w:t>Accrued liabilities and other deductible differences</w:t>
            </w: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80"/>
              <w:spacing w:after="0"/>
              <w:rPr>
                <w:sz w:val="20"/>
                <w:szCs w:val="20"/>
                <w:color w:val="auto"/>
              </w:rPr>
            </w:pPr>
            <w:r>
              <w:rPr>
                <w:rFonts w:ascii="Arial" w:cs="Arial" w:eastAsia="Arial" w:hAnsi="Arial"/>
                <w:sz w:val="18"/>
                <w:szCs w:val="18"/>
                <w:color w:val="auto"/>
              </w:rPr>
              <w:t>Accrued employee benefits</w:t>
            </w: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380"/>
              <w:spacing w:after="0"/>
              <w:rPr>
                <w:sz w:val="20"/>
                <w:szCs w:val="20"/>
                <w:color w:val="auto"/>
              </w:rPr>
            </w:pPr>
            <w:r>
              <w:rPr>
                <w:rFonts w:ascii="Arial" w:cs="Arial" w:eastAsia="Arial" w:hAnsi="Arial"/>
                <w:sz w:val="18"/>
                <w:szCs w:val="18"/>
                <w:color w:val="auto"/>
              </w:rPr>
              <w:t>Goodwill</w:t>
            </w: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(1,693)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(1,693)</w:t>
            </w:r>
          </w:p>
        </w:tc>
        <w:tc>
          <w:tcPr>
            <w:tcW w:w="0" w:type="dxa"/>
            <w:vAlign w:val="bottom"/>
          </w:tcPr>
          <w:p>
            <w:pPr>
              <w:spacing w:after="0"/>
              <w:rPr>
                <w:sz w:val="1"/>
                <w:szCs w:val="1"/>
                <w:color w:val="auto"/>
              </w:rPr>
            </w:pPr>
          </w:p>
        </w:tc>
      </w:tr>
      <w:tr>
        <w:trPr>
          <w:trHeight w:val="234"/>
        </w:trPr>
        <w:tc>
          <w:tcPr>
            <w:tcW w:w="5700" w:type="dxa"/>
            <w:vAlign w:val="bottom"/>
          </w:tcPr>
          <w:p>
            <w:pPr>
              <w:ind w:left="380"/>
              <w:spacing w:after="0"/>
              <w:rPr>
                <w:sz w:val="20"/>
                <w:szCs w:val="20"/>
                <w:color w:val="auto"/>
              </w:rPr>
            </w:pPr>
            <w:r>
              <w:rPr>
                <w:rFonts w:ascii="Arial" w:cs="Arial" w:eastAsia="Arial" w:hAnsi="Arial"/>
                <w:sz w:val="18"/>
                <w:szCs w:val="18"/>
                <w:color w:val="auto"/>
              </w:rPr>
              <w:t>Other taxable differences</w:t>
            </w:r>
          </w:p>
        </w:tc>
        <w:tc>
          <w:tcPr>
            <w:tcW w:w="1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Total deferred tax liability</w:t>
            </w:r>
          </w:p>
        </w:tc>
        <w:tc>
          <w:tcPr>
            <w:tcW w:w="16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175"/>
        <w:spacing w:after="0" w:line="277" w:lineRule="auto"/>
        <w:rPr>
          <w:sz w:val="20"/>
          <w:szCs w:val="20"/>
          <w:color w:val="auto"/>
        </w:rPr>
      </w:pPr>
      <w:r>
        <w:rPr>
          <w:rFonts w:ascii="Arial" w:cs="Arial" w:eastAsia="Arial" w:hAnsi="Arial"/>
          <w:sz w:val="18"/>
          <w:szCs w:val="18"/>
          <w:color w:val="auto"/>
        </w:rPr>
        <w:t>We and Contran file income tax returns in U.S. federal and various state and local jurisdictions. Our income tax returns prior to 2017 are generally considered closed to examination by applicable tax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380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Shares of common stock</w:t>
            </w:r>
          </w:p>
        </w:tc>
      </w:tr>
      <w:tr>
        <w:trPr>
          <w:trHeight w:val="156"/>
        </w:trPr>
        <w:tc>
          <w:tcPr>
            <w:tcW w:w="7380" w:type="dxa"/>
            <w:vAlign w:val="bottom"/>
          </w:tcPr>
          <w:p>
            <w:pPr>
              <w:spacing w:after="0"/>
              <w:rPr>
                <w:sz w:val="13"/>
                <w:szCs w:val="13"/>
                <w:color w:val="auto"/>
              </w:rPr>
            </w:pPr>
          </w:p>
        </w:tc>
        <w:tc>
          <w:tcPr>
            <w:tcW w:w="202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Class A</w:t>
            </w:r>
          </w:p>
        </w:tc>
        <w:tc>
          <w:tcPr>
            <w:tcW w:w="17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3"/>
                <w:szCs w:val="13"/>
                <w:color w:val="auto"/>
              </w:rPr>
            </w:pPr>
          </w:p>
        </w:tc>
      </w:tr>
      <w:tr>
        <w:trPr>
          <w:trHeight w:val="133"/>
        </w:trPr>
        <w:tc>
          <w:tcPr>
            <w:tcW w:w="7380" w:type="dxa"/>
            <w:vAlign w:val="bottom"/>
          </w:tcPr>
          <w:p>
            <w:pPr>
              <w:spacing w:after="0"/>
              <w:rPr>
                <w:sz w:val="11"/>
                <w:szCs w:val="11"/>
                <w:color w:val="auto"/>
              </w:rPr>
            </w:pPr>
          </w:p>
        </w:tc>
        <w:tc>
          <w:tcPr>
            <w:tcW w:w="17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0"/>
              </w:rPr>
              <w:t>Issued and</w:t>
            </w:r>
          </w:p>
        </w:tc>
        <w:tc>
          <w:tcPr>
            <w:tcW w:w="320" w:type="dxa"/>
            <w:vAlign w:val="bottom"/>
          </w:tcPr>
          <w:p>
            <w:pPr>
              <w:spacing w:after="0"/>
              <w:rPr>
                <w:sz w:val="11"/>
                <w:szCs w:val="11"/>
                <w:color w:val="auto"/>
              </w:rPr>
            </w:pPr>
          </w:p>
        </w:tc>
        <w:tc>
          <w:tcPr>
            <w:tcW w:w="17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0"/>
              </w:rPr>
              <w:t>Issued and</w:t>
            </w:r>
          </w:p>
        </w:tc>
        <w:tc>
          <w:tcPr>
            <w:tcW w:w="60" w:type="dxa"/>
            <w:vAlign w:val="bottom"/>
          </w:tcPr>
          <w:p>
            <w:pPr>
              <w:spacing w:after="0"/>
              <w:rPr>
                <w:sz w:val="11"/>
                <w:szCs w:val="11"/>
                <w:color w:val="auto"/>
              </w:rPr>
            </w:pPr>
          </w:p>
        </w:tc>
      </w:tr>
      <w:tr>
        <w:trPr>
          <w:trHeight w:val="171"/>
        </w:trPr>
        <w:tc>
          <w:tcPr>
            <w:tcW w:w="7380" w:type="dxa"/>
            <w:vAlign w:val="bottom"/>
          </w:tcPr>
          <w:p>
            <w:pPr>
              <w:spacing w:after="0"/>
              <w:rPr>
                <w:sz w:val="14"/>
                <w:szCs w:val="14"/>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outstanding</w:t>
            </w:r>
          </w:p>
        </w:tc>
        <w:tc>
          <w:tcPr>
            <w:tcW w:w="1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outstanding</w:t>
            </w:r>
          </w:p>
        </w:tc>
      </w:tr>
      <w:tr>
        <w:trPr>
          <w:trHeight w:val="384"/>
        </w:trPr>
        <w:tc>
          <w:tcPr>
            <w:tcW w:w="738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2,426,107</w:t>
            </w:r>
          </w:p>
        </w:tc>
        <w:tc>
          <w:tcPr>
            <w:tcW w:w="320" w:type="dxa"/>
            <w:vAlign w:val="bottom"/>
          </w:tcPr>
          <w:p>
            <w:pPr>
              <w:spacing w:after="0"/>
              <w:rPr>
                <w:sz w:val="24"/>
                <w:szCs w:val="24"/>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60" w:type="dxa"/>
            <w:vAlign w:val="bottom"/>
          </w:tcPr>
          <w:p>
            <w:pPr>
              <w:spacing w:after="0"/>
              <w:rPr>
                <w:sz w:val="24"/>
                <w:szCs w:val="24"/>
                <w:color w:val="auto"/>
              </w:rPr>
            </w:pPr>
          </w:p>
        </w:tc>
      </w:tr>
      <w:tr>
        <w:trPr>
          <w:trHeight w:val="230"/>
        </w:trPr>
        <w:tc>
          <w:tcPr>
            <w:tcW w:w="7380" w:type="dxa"/>
            <w:vAlign w:val="bottom"/>
          </w:tcPr>
          <w:p>
            <w:pPr>
              <w:ind w:left="380"/>
              <w:spacing w:after="0"/>
              <w:rPr>
                <w:sz w:val="20"/>
                <w:szCs w:val="20"/>
                <w:color w:val="auto"/>
              </w:rPr>
            </w:pPr>
            <w:r>
              <w:rPr>
                <w:rFonts w:ascii="Arial" w:cs="Arial" w:eastAsia="Arial" w:hAnsi="Arial"/>
                <w:sz w:val="18"/>
                <w:szCs w:val="18"/>
                <w:color w:val="auto"/>
              </w:rPr>
              <w:t>Share conversion</w:t>
            </w:r>
          </w:p>
        </w:tc>
        <w:tc>
          <w:tcPr>
            <w:tcW w:w="1700" w:type="dxa"/>
            <w:vAlign w:val="bottom"/>
          </w:tcPr>
          <w:p>
            <w:pPr>
              <w:jc w:val="right"/>
              <w:spacing w:after="0"/>
              <w:rPr>
                <w:sz w:val="20"/>
                <w:szCs w:val="20"/>
                <w:color w:val="auto"/>
              </w:rPr>
            </w:pPr>
            <w:r>
              <w:rPr>
                <w:rFonts w:ascii="Arial" w:cs="Arial" w:eastAsia="Arial" w:hAnsi="Arial"/>
                <w:sz w:val="18"/>
                <w:szCs w:val="18"/>
                <w:color w:val="auto"/>
              </w:rPr>
              <w:t>10,000,000</w:t>
            </w:r>
          </w:p>
        </w:tc>
        <w:tc>
          <w:tcPr>
            <w:tcW w:w="3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r>
      <w:tr>
        <w:trPr>
          <w:trHeight w:val="230"/>
        </w:trPr>
        <w:tc>
          <w:tcPr>
            <w:tcW w:w="7380" w:type="dxa"/>
            <w:vAlign w:val="bottom"/>
          </w:tcPr>
          <w:p>
            <w:pPr>
              <w:ind w:left="380"/>
              <w:spacing w:after="0"/>
              <w:rPr>
                <w:sz w:val="20"/>
                <w:szCs w:val="20"/>
                <w:color w:val="auto"/>
              </w:rPr>
            </w:pPr>
            <w:r>
              <w:rPr>
                <w:rFonts w:ascii="Arial" w:cs="Arial" w:eastAsia="Arial" w:hAnsi="Arial"/>
                <w:sz w:val="18"/>
                <w:szCs w:val="18"/>
                <w:color w:val="auto"/>
              </w:rPr>
              <w:t>Issued</w:t>
            </w:r>
          </w:p>
        </w:tc>
        <w:tc>
          <w:tcPr>
            <w:tcW w:w="1700" w:type="dxa"/>
            <w:vAlign w:val="bottom"/>
          </w:tcPr>
          <w:p>
            <w:pPr>
              <w:jc w:val="right"/>
              <w:spacing w:after="0"/>
              <w:rPr>
                <w:sz w:val="20"/>
                <w:szCs w:val="20"/>
                <w:color w:val="auto"/>
              </w:rPr>
            </w:pPr>
            <w:r>
              <w:rPr>
                <w:rFonts w:ascii="Arial" w:cs="Arial" w:eastAsia="Arial" w:hAnsi="Arial"/>
                <w:sz w:val="18"/>
                <w:szCs w:val="18"/>
                <w:color w:val="auto"/>
              </w:rPr>
              <w:t>9,450</w:t>
            </w:r>
          </w:p>
        </w:tc>
        <w:tc>
          <w:tcPr>
            <w:tcW w:w="320" w:type="dxa"/>
            <w:vAlign w:val="bottom"/>
          </w:tcPr>
          <w:p>
            <w:pPr>
              <w:spacing w:after="0"/>
              <w:rPr>
                <w:sz w:val="20"/>
                <w:szCs w:val="20"/>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2"/>
        </w:trPr>
        <w:tc>
          <w:tcPr>
            <w:tcW w:w="738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12,435,557</w:t>
            </w:r>
          </w:p>
        </w:tc>
        <w:tc>
          <w:tcPr>
            <w:tcW w:w="320" w:type="dxa"/>
            <w:vAlign w:val="bottom"/>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7380" w:type="dxa"/>
            <w:vAlign w:val="bottom"/>
          </w:tcPr>
          <w:p>
            <w:pPr>
              <w:ind w:left="380"/>
              <w:spacing w:after="0"/>
              <w:rPr>
                <w:sz w:val="20"/>
                <w:szCs w:val="20"/>
                <w:color w:val="auto"/>
              </w:rPr>
            </w:pPr>
            <w:r>
              <w:rPr>
                <w:rFonts w:ascii="Arial" w:cs="Arial" w:eastAsia="Arial" w:hAnsi="Arial"/>
                <w:sz w:val="18"/>
                <w:szCs w:val="18"/>
                <w:color w:val="auto"/>
              </w:rPr>
              <w:t>Issued</w:t>
            </w:r>
          </w:p>
        </w:tc>
        <w:tc>
          <w:tcPr>
            <w:tcW w:w="1700" w:type="dxa"/>
            <w:vAlign w:val="bottom"/>
          </w:tcPr>
          <w:p>
            <w:pPr>
              <w:jc w:val="right"/>
              <w:spacing w:after="0"/>
              <w:rPr>
                <w:sz w:val="20"/>
                <w:szCs w:val="20"/>
                <w:color w:val="auto"/>
              </w:rPr>
            </w:pPr>
            <w:r>
              <w:rPr>
                <w:rFonts w:ascii="Arial" w:cs="Arial" w:eastAsia="Arial" w:hAnsi="Arial"/>
                <w:sz w:val="18"/>
                <w:szCs w:val="18"/>
                <w:color w:val="auto"/>
              </w:rPr>
              <w:t>7,500</w:t>
            </w:r>
          </w:p>
        </w:tc>
        <w:tc>
          <w:tcPr>
            <w:tcW w:w="320" w:type="dxa"/>
            <w:vAlign w:val="bottom"/>
          </w:tcPr>
          <w:p>
            <w:pPr>
              <w:spacing w:after="0"/>
              <w:rPr>
                <w:sz w:val="20"/>
                <w:szCs w:val="20"/>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2"/>
        </w:trPr>
        <w:tc>
          <w:tcPr>
            <w:tcW w:w="73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12,443,057</w:t>
            </w:r>
          </w:p>
        </w:tc>
        <w:tc>
          <w:tcPr>
            <w:tcW w:w="320" w:type="dxa"/>
            <w:vAlign w:val="bottom"/>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7380" w:type="dxa"/>
            <w:vAlign w:val="bottom"/>
          </w:tcPr>
          <w:p>
            <w:pPr>
              <w:ind w:left="380"/>
              <w:spacing w:after="0"/>
              <w:rPr>
                <w:sz w:val="20"/>
                <w:szCs w:val="20"/>
                <w:color w:val="auto"/>
              </w:rPr>
            </w:pPr>
            <w:r>
              <w:rPr>
                <w:rFonts w:ascii="Arial" w:cs="Arial" w:eastAsia="Arial" w:hAnsi="Arial"/>
                <w:sz w:val="18"/>
                <w:szCs w:val="18"/>
                <w:color w:val="auto"/>
              </w:rPr>
              <w:t>Issued</w:t>
            </w:r>
          </w:p>
        </w:tc>
        <w:tc>
          <w:tcPr>
            <w:tcW w:w="1700" w:type="dxa"/>
            <w:vAlign w:val="bottom"/>
          </w:tcPr>
          <w:p>
            <w:pPr>
              <w:jc w:val="right"/>
              <w:spacing w:after="0"/>
              <w:rPr>
                <w:sz w:val="20"/>
                <w:szCs w:val="20"/>
                <w:color w:val="auto"/>
              </w:rPr>
            </w:pPr>
            <w:r>
              <w:rPr>
                <w:rFonts w:ascii="Arial" w:cs="Arial" w:eastAsia="Arial" w:hAnsi="Arial"/>
                <w:sz w:val="18"/>
                <w:szCs w:val="18"/>
                <w:color w:val="auto"/>
              </w:rPr>
              <w:t>8,100</w:t>
            </w:r>
          </w:p>
        </w:tc>
        <w:tc>
          <w:tcPr>
            <w:tcW w:w="320" w:type="dxa"/>
            <w:vAlign w:val="bottom"/>
          </w:tcPr>
          <w:p>
            <w:pPr>
              <w:spacing w:after="0"/>
              <w:rPr>
                <w:sz w:val="20"/>
                <w:szCs w:val="20"/>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12,451,157</w:t>
            </w:r>
          </w:p>
        </w:tc>
        <w:tc>
          <w:tcPr>
            <w:tcW w:w="32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175"/>
        <w:spacing w:after="0" w:line="268" w:lineRule="auto"/>
        <w:rPr>
          <w:sz w:val="20"/>
          <w:szCs w:val="20"/>
          <w:color w:val="auto"/>
        </w:rPr>
      </w:pPr>
      <w:r>
        <w:rPr>
          <w:rFonts w:ascii="Arial" w:cs="Arial" w:eastAsia="Arial" w:hAnsi="Arial"/>
          <w:sz w:val="17"/>
          <w:szCs w:val="17"/>
          <w:i w:val="1"/>
          <w:iCs w:val="1"/>
          <w:color w:val="auto"/>
        </w:rPr>
        <w:t xml:space="preserve">Class A and Class B common stock. </w:t>
      </w:r>
      <w:r>
        <w:rPr>
          <w:rFonts w:ascii="Arial" w:cs="Arial" w:eastAsia="Arial" w:hAnsi="Arial"/>
          <w:sz w:val="17"/>
          <w:szCs w:val="17"/>
          <w:color w:val="auto"/>
        </w:rPr>
        <w:t>At our 2018 annual meeting of stockholders held May 23, 2018, our stockholders approved our second</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certificate of incorporation, which among other things added a right for each holder of shares of our Class B common stock, at its option, to convert any or all of those shares into the same number of shares of our Class A common stock. Previously, shares of our Class B common stock were convertible into the same number of Class A common shares only under certain specified conditions. The shares of our Class A and Class B common stock were otherwise identical in all respects, except for certain voting rights in which holders of our shares of Class B common stock were entitled to ten votes per share for election of our directors and one vote per share on all other matters presented to our stockholders for their approval. Holders of our shares of Class A common stock are entitled to one vote per share on all matters. Our second amended and restated certificate of incorporation became effective on July 17, 2018 when we filed such certificate with the Delaware Secretary of State. Immediately after such effectiveness, NL, which owned all of the 10,000,000 issued and outstanding shares of our Class B common stock, converted such Class B shares into 10,000,000 shares of our Class A common stock. This conversion eliminated the dual-class voting structure with respect to election of our directors, providing for equal voting rights with respect to the election of directors for all shares of common stock and providing for uniform and equivalent corporate governance rights to all holders of our common stock. The rights of holders of Class A common stock were not otherwise affected, and the conversion did not affect the calculation of our earnings per share and had no impact on our consolidated financial position, results of operations or liquidity. The second amended and restated certificate of incorporation did not permit the reissuance or resale of any of the shares of Class B common stock which were converted. On November 5, 2018, upon the filing of 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Certificate of Retirement with respect to the shares of Class B common stock with the Delaware Secretary of State, the shares of Class B common stock were retired, and our second amended and restated certificate of incorporation was amended to eliminate all references to the Class B common stock. Following the conversion and subsequent retirement of our shares of Class B common stock, our authorized capital stock consists of 20,000,000 shares of Class A common stock and 1,000 shares of preferred stock.</w:t>
      </w:r>
    </w:p>
    <w:p>
      <w:pPr>
        <w:spacing w:after="0" w:line="187" w:lineRule="exact"/>
        <w:rPr>
          <w:sz w:val="20"/>
          <w:szCs w:val="20"/>
          <w:color w:val="auto"/>
        </w:rPr>
      </w:pPr>
    </w:p>
    <w:p>
      <w:pPr>
        <w:jc w:val="both"/>
        <w:ind w:firstLine="1175"/>
        <w:spacing w:after="0" w:line="293" w:lineRule="auto"/>
        <w:rPr>
          <w:sz w:val="20"/>
          <w:szCs w:val="20"/>
          <w:color w:val="auto"/>
        </w:rPr>
      </w:pPr>
      <w:r>
        <w:rPr>
          <w:rFonts w:ascii="Arial" w:cs="Arial" w:eastAsia="Arial" w:hAnsi="Arial"/>
          <w:sz w:val="16"/>
          <w:szCs w:val="16"/>
          <w:i w:val="1"/>
          <w:iCs w:val="1"/>
          <w:color w:val="auto"/>
        </w:rPr>
        <w:t xml:space="preserve">Share repurchases and cancellations. </w:t>
      </w:r>
      <w:r>
        <w:rPr>
          <w:rFonts w:ascii="Arial" w:cs="Arial" w:eastAsia="Arial" w:hAnsi="Arial"/>
          <w:sz w:val="16"/>
          <w:szCs w:val="16"/>
          <w:color w:val="auto"/>
        </w:rPr>
        <w:t>Prior to 2018, our board of directors authorized various repurchases of shares of our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will generally use cash on hand to acquire the shares. Repurchased shares will be added to our treasury and cancelled. We made no treasury purchases during 2018, 2019 or 2020 and at December 31, 2020, approximately 678,000 shares were available for purchase under these authorizations.</w:t>
      </w:r>
    </w:p>
    <w:p>
      <w:pPr>
        <w:spacing w:after="0" w:line="164" w:lineRule="exact"/>
        <w:rPr>
          <w:sz w:val="20"/>
          <w:szCs w:val="20"/>
          <w:color w:val="auto"/>
        </w:rPr>
      </w:pPr>
    </w:p>
    <w:p>
      <w:pPr>
        <w:jc w:val="both"/>
        <w:ind w:firstLine="1175"/>
        <w:spacing w:after="0" w:line="286" w:lineRule="auto"/>
        <w:rPr>
          <w:sz w:val="20"/>
          <w:szCs w:val="20"/>
          <w:color w:val="auto"/>
        </w:rPr>
      </w:pPr>
      <w:r>
        <w:rPr>
          <w:rFonts w:ascii="Arial" w:cs="Arial" w:eastAsia="Arial" w:hAnsi="Arial"/>
          <w:sz w:val="17"/>
          <w:szCs w:val="17"/>
          <w:i w:val="1"/>
          <w:iCs w:val="1"/>
          <w:color w:val="auto"/>
        </w:rPr>
        <w:t xml:space="preserve">Incentive compensation plan. </w:t>
      </w:r>
      <w:r>
        <w:rPr>
          <w:rFonts w:ascii="Arial" w:cs="Arial" w:eastAsia="Arial" w:hAnsi="Arial"/>
          <w:sz w:val="17"/>
          <w:szCs w:val="17"/>
          <w:color w:val="auto"/>
        </w:rPr>
        <w:t>We have a share based incentive compensation plan pursuant to which an aggregate of up to 200,000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common stock can be awarded to non-employee members of our board of directors. All of the Class A common shares we issued in 2018, 2019 and 2020 were issued under this plan. At December 31, 2020, 140,950 shares were available for award under this plan.</w:t>
      </w:r>
    </w:p>
    <w:p>
      <w:pPr>
        <w:spacing w:after="0" w:line="165" w:lineRule="exact"/>
        <w:rPr>
          <w:sz w:val="20"/>
          <w:szCs w:val="20"/>
          <w:color w:val="auto"/>
        </w:rPr>
      </w:pPr>
    </w:p>
    <w:p>
      <w:pPr>
        <w:jc w:val="both"/>
        <w:ind w:firstLine="1175"/>
        <w:spacing w:after="0" w:line="311"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We paid regular quarterly dividends of $.05 per share during 2018, $0.07 per share during 2019 and $.10 per share during 2020.</w:t>
      </w:r>
      <w:r>
        <w:rPr>
          <w:rFonts w:ascii="Arial" w:cs="Arial" w:eastAsia="Arial" w:hAnsi="Arial"/>
          <w:sz w:val="16"/>
          <w:szCs w:val="16"/>
          <w:i w:val="1"/>
          <w:iCs w:val="1"/>
          <w:color w:val="auto"/>
        </w:rPr>
        <w:t xml:space="preserve"> </w:t>
      </w:r>
      <w:r>
        <w:rPr>
          <w:rFonts w:ascii="Arial" w:cs="Arial" w:eastAsia="Arial" w:hAnsi="Arial"/>
          <w:sz w:val="16"/>
          <w:szCs w:val="16"/>
          <w:color w:val="auto"/>
        </w:rPr>
        <w:t>Declaration and payment of future dividends and the amount thereof, if any, is discretionary and dependent upon our results of operations, financial condition, cash requirements for our businesses, contractual requirements and restrictions and other factors deemed relevant by our board of directors.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 9 – Related party transactions:</w:t>
      </w:r>
    </w:p>
    <w:p>
      <w:pPr>
        <w:spacing w:after="0" w:line="121" w:lineRule="exact"/>
        <w:rPr>
          <w:sz w:val="20"/>
          <w:szCs w:val="20"/>
          <w:color w:val="auto"/>
        </w:rPr>
      </w:pPr>
    </w:p>
    <w:p>
      <w:pPr>
        <w:jc w:val="both"/>
        <w:ind w:firstLine="1175"/>
        <w:spacing w:after="0" w:line="270" w:lineRule="auto"/>
        <w:rPr>
          <w:sz w:val="20"/>
          <w:szCs w:val="20"/>
          <w:color w:val="auto"/>
        </w:rPr>
      </w:pPr>
      <w:r>
        <w:rPr>
          <w:rFonts w:ascii="Arial" w:cs="Arial" w:eastAsia="Arial" w:hAnsi="Arial"/>
          <w:sz w:val="17"/>
          <w:szCs w:val="17"/>
          <w:color w:val="auto"/>
        </w:rPr>
        <w:t>We may be deemed to be controlled by Ms. Lisa Simmons and the Family Trust. See Note 1. Corporations that may be deemed to be controlled by or affiliated with these individuals sometimes engage in (a) intercorporate transactions such as guarantees, management and expense sharing arrangements, shared fee arrangements, joint ventures, partnerships, loans, options, advances of funds on open account, and sales, leases and exchanges of assets, including securities issued by both related and unrelated parties and (b) 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 publicly-held minority equity interest in another related party. We continuously consider, review and evaluate, and understand that Contran and related entities consider, review and evaluate such transactions. Depending upon the business, tax and other objectives then relevant, it is possible that we might be a party to one or more such transactions in the future.</w:t>
      </w:r>
    </w:p>
    <w:p>
      <w:pPr>
        <w:spacing w:after="0" w:line="181" w:lineRule="exact"/>
        <w:rPr>
          <w:sz w:val="20"/>
          <w:szCs w:val="20"/>
          <w:color w:val="auto"/>
        </w:rPr>
      </w:pPr>
    </w:p>
    <w:p>
      <w:pPr>
        <w:jc w:val="both"/>
        <w:ind w:firstLine="1175"/>
        <w:spacing w:after="0" w:line="289" w:lineRule="auto"/>
        <w:rPr>
          <w:sz w:val="20"/>
          <w:szCs w:val="20"/>
          <w:color w:val="auto"/>
        </w:rPr>
      </w:pPr>
      <w:r>
        <w:rPr>
          <w:rFonts w:ascii="Arial" w:cs="Arial" w:eastAsia="Arial" w:hAnsi="Arial"/>
          <w:sz w:val="16"/>
          <w:szCs w:val="16"/>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While certain of these loans may be of a lesser credit quality than cash equivalent instruments otherwise available to us, we believe we have evaluated the credit risks in the terms of the applicable loans. In this regard, prior to 2018, we entered into an unsecured revolving demand promissory note with Valhi whereby we have agreed to loan Valhi up to $40 million. Our loan to Valhi, as amended, bears interest at prime plus 1.00%, payable quarterly, with all principal due on demand, but in any event no earlier than December 31, 2022. Loans made to Valhi at any time under the agreement are at our discretion. At the end of our fiscal year in 2019 and 2020, the outstanding principal balance receivable from Valhi under the promissory note was $28.1 million and $29.5 million, respectively. Interest income (including unused commitment fees) on our loan to Valhi was $2.1 million in 2018, $2.4 million in 2019 and $1.5 million in 2020.</w:t>
      </w:r>
    </w:p>
    <w:p>
      <w:pPr>
        <w:spacing w:after="0" w:line="166" w:lineRule="exact"/>
        <w:rPr>
          <w:sz w:val="20"/>
          <w:szCs w:val="20"/>
          <w:color w:val="auto"/>
        </w:rPr>
      </w:pPr>
    </w:p>
    <w:p>
      <w:pPr>
        <w:jc w:val="both"/>
        <w:ind w:firstLine="1175"/>
        <w:spacing w:after="0" w:line="277" w:lineRule="auto"/>
        <w:rPr>
          <w:sz w:val="20"/>
          <w:szCs w:val="20"/>
          <w:color w:val="auto"/>
        </w:rPr>
      </w:pPr>
      <w:r>
        <w:rPr>
          <w:rFonts w:ascii="Arial" w:cs="Arial" w:eastAsia="Arial" w:hAnsi="Arial"/>
          <w:sz w:val="18"/>
          <w:szCs w:val="18"/>
          <w:color w:val="auto"/>
        </w:rPr>
        <w:t>Under the terms of an Intercorporate Service Agreement (“ISA”) with Contran, employees of Contran perform certain management, tax planning, financial, legal and administrative services for us on a fee basis.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fees are based upon estimates of time devoted to our affairs by individual Contran employees and the compensation of such persons. Because of the large number of companies affiliated with Contran, we believe we benefit from cost savings and economies of scale gained by not having certain management, financial and administrative staffs duplicated at each entity, thus allowing certain individuals to provide services to multiple companies but only be compensated by one entity. We negotiate ISA fees annually and agreements renew quarterly. Fees pursuant to these agreements aggregated $3.5 million in 2018, $3.4 million in 2019 and $3.4 million in 2020.</w:t>
      </w:r>
    </w:p>
    <w:p>
      <w:pPr>
        <w:spacing w:after="0" w:line="188" w:lineRule="exact"/>
        <w:rPr>
          <w:sz w:val="20"/>
          <w:szCs w:val="20"/>
          <w:color w:val="auto"/>
        </w:rPr>
      </w:pPr>
    </w:p>
    <w:p>
      <w:pPr>
        <w:jc w:val="both"/>
        <w:ind w:firstLine="1175"/>
        <w:spacing w:after="0" w:line="287" w:lineRule="auto"/>
        <w:rPr>
          <w:sz w:val="20"/>
          <w:szCs w:val="20"/>
          <w:color w:val="auto"/>
        </w:rPr>
      </w:pPr>
      <w:r>
        <w:rPr>
          <w:rFonts w:ascii="Arial" w:cs="Arial" w:eastAsia="Arial" w:hAnsi="Arial"/>
          <w:sz w:val="16"/>
          <w:szCs w:val="16"/>
          <w:color w:val="auto"/>
        </w:rPr>
        <w:t>Contran and certain of its subsidiaries and affiliates, including us, purchase certain of their insurance policies as a group, with the costs of the jointly-owned policies being apportioned among the participating companies. Tall Pines Insurance Company (“Tall Pines”), a subsidiary of Valhi, underwrites certain insurance policies for Contran and certain of its subsidiaries and affiliates, including us. Tall Pines purchases reinsurance from third-party insurance carriers with an A.M. Best Company rating of generally at least A-(Excellent) for substantially all of the risks it underwrites. EWI RE, Inc., a subsidiary of NL, brokered certain of our insurance policies, provided claims and risk management services and, where appropriate, engaged certain third-party risk management consultants prior to NL’s sale of EWI’s insurance and risk management business to a third party in November 2019. Consistent with insurance industry practices, Tall Pines receives commissions from reinsurance underwriters and/or assesses fees for certain of the policies that it underwrites, and prior to November 2019 EWI received commissions from the insurance and reinsurance underwriters for the policies that it brokered. The aggregate amounts we paid under the group insurance program were approximately $2.0 million in 2018 and $2.3 million through the date of the sale in 2019. These amounts principally represent insurance premiums paid to Tall Pines or EWI, including amounts paid to EWI that EWI then remitted, net of brokerage commissions, to insurers. Following the sale of EWI’s insurance and risk management business, Contran engaged the third-party insurance broker that purchased the business to provide many of the services previously provided by EWI, and we continue to utilize Tall Pines to underwrite certain insurance risks. During 2020, we paid $2.8 million under the group insurance program, which amount principally represents insurance premiums, including $0.7 million for policies written by Tall Pines. Amounts paid under the group insurance program also include payments to insurers or reinsurers (which prior to the sale were made through EWI) for the reimbursement of claims within our applicable deductible or retention ranges that such insurers and reinsurers paid to third parties on our behalf, as well as amounts for claims and risk management services and various other third-party fees and expenses incurred by the program. We expect that these relationships in place during 2020 will continue in 2021.</w:t>
      </w:r>
    </w:p>
    <w:p>
      <w:pPr>
        <w:spacing w:after="0" w:line="175" w:lineRule="exact"/>
        <w:rPr>
          <w:sz w:val="20"/>
          <w:szCs w:val="20"/>
          <w:color w:val="auto"/>
        </w:rPr>
      </w:pPr>
    </w:p>
    <w:p>
      <w:pPr>
        <w:jc w:val="both"/>
        <w:ind w:firstLine="1175"/>
        <w:spacing w:after="0" w:line="254" w:lineRule="auto"/>
        <w:rPr>
          <w:sz w:val="20"/>
          <w:szCs w:val="20"/>
          <w:color w:val="auto"/>
        </w:rPr>
      </w:pPr>
      <w:r>
        <w:rPr>
          <w:rFonts w:ascii="Arial" w:cs="Arial" w:eastAsia="Arial" w:hAnsi="Arial"/>
          <w:sz w:val="18"/>
          <w:szCs w:val="18"/>
          <w:color w:val="auto"/>
        </w:rPr>
        <w:t>With respect to certain of such jointly-owned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amongst those entities that had submitted claims under the relevant policy. We believe the benefits, in the form of reduced premiums and broader coverage associated with the group coverage for such policies, justifies the risk associated with the potential for any uninsured loss.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121" w:lineRule="exact"/>
        <w:rPr>
          <w:sz w:val="20"/>
          <w:szCs w:val="20"/>
          <w:color w:val="auto"/>
        </w:rPr>
      </w:pPr>
    </w:p>
    <w:p>
      <w:pPr>
        <w:jc w:val="both"/>
        <w:ind w:firstLine="1175"/>
        <w:spacing w:after="0" w:line="311" w:lineRule="auto"/>
        <w:rPr>
          <w:sz w:val="20"/>
          <w:szCs w:val="20"/>
          <w:color w:val="auto"/>
        </w:rPr>
      </w:pPr>
      <w:r>
        <w:rPr>
          <w:rFonts w:ascii="Arial" w:cs="Arial" w:eastAsia="Arial" w:hAnsi="Arial"/>
          <w:sz w:val="16"/>
          <w:szCs w:val="16"/>
          <w:i w:val="1"/>
          <w:iCs w:val="1"/>
          <w:color w:val="auto"/>
        </w:rPr>
        <w:t>Legal proceedings</w:t>
      </w:r>
      <w:r>
        <w:rPr>
          <w:rFonts w:ascii="Arial" w:cs="Arial" w:eastAsia="Arial" w:hAnsi="Arial"/>
          <w:sz w:val="16"/>
          <w:szCs w:val="16"/>
          <w:color w:val="auto"/>
        </w:rPr>
        <w:t>. We are involved, from time to time, in various environmental, contractual, product liability, patent (or intellectual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employment and other claims and disputes incidental to our business. We currently believe the disposition of all claims and disputes, individually or in the aggregate, should not have a material long-term adverse effect on our consolidated financial condition, results of operations or liquidity.</w:t>
      </w:r>
    </w:p>
    <w:p>
      <w:pPr>
        <w:spacing w:after="0" w:line="149" w:lineRule="exact"/>
        <w:rPr>
          <w:sz w:val="20"/>
          <w:szCs w:val="20"/>
          <w:color w:val="auto"/>
        </w:rPr>
      </w:pPr>
    </w:p>
    <w:p>
      <w:pPr>
        <w:jc w:val="both"/>
        <w:ind w:firstLine="1175"/>
        <w:spacing w:after="0" w:line="257" w:lineRule="auto"/>
        <w:rPr>
          <w:sz w:val="20"/>
          <w:szCs w:val="20"/>
          <w:color w:val="auto"/>
        </w:rPr>
      </w:pPr>
      <w:r>
        <w:rPr>
          <w:rFonts w:ascii="Arial" w:cs="Arial" w:eastAsia="Arial" w:hAnsi="Arial"/>
          <w:sz w:val="18"/>
          <w:szCs w:val="18"/>
          <w:i w:val="1"/>
          <w:iCs w:val="1"/>
          <w:color w:val="auto"/>
        </w:rPr>
        <w:t>Environmental matters and litigation</w:t>
      </w:r>
      <w:r>
        <w:rPr>
          <w:rFonts w:ascii="Arial" w:cs="Arial" w:eastAsia="Arial" w:hAnsi="Arial"/>
          <w:sz w:val="18"/>
          <w:szCs w:val="18"/>
          <w:color w:val="auto"/>
        </w:rPr>
        <w:t>. Our operations are governed by various federal, state and local environmental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Our policy is to comply with environmental laws and regulations at all of our facilities and to continually strive to improve environmental performance in association with applicable industry initiatives. We believe our operations are in substantial compliance with applicable requirements of environmental laws. From time to time, we may be subject to environmental regulatory enforcement under various statutes, resolution of which typically involves the establishment of compliance programs.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both"/>
        <w:ind w:firstLine="1175"/>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From time to time, we undergo examinations of our income tax returns, and tax authorities have or may propose tax</w:t>
      </w:r>
      <w:r>
        <w:rPr>
          <w:rFonts w:ascii="Arial" w:cs="Arial" w:eastAsia="Arial" w:hAnsi="Arial"/>
          <w:sz w:val="18"/>
          <w:szCs w:val="18"/>
          <w:i w:val="1"/>
          <w:iCs w:val="1"/>
          <w:color w:val="auto"/>
        </w:rPr>
        <w:t xml:space="preserve"> </w:t>
      </w:r>
      <w:r>
        <w:rPr>
          <w:rFonts w:ascii="Arial" w:cs="Arial" w:eastAsia="Arial" w:hAnsi="Arial"/>
          <w:sz w:val="18"/>
          <w:szCs w:val="18"/>
          <w:color w:val="auto"/>
        </w:rPr>
        <w:t>deficiencies. We believe we have adequately provided accruals for additional income taxes and related interest expense which may ultimately result from such examinations and we believe that the ultimate disposition of all such examinations should not have a material adverse effect on our consolidated financial position, results of operations or liquidity.</w:t>
      </w:r>
    </w:p>
    <w:p>
      <w:pPr>
        <w:spacing w:after="0" w:line="187" w:lineRule="exact"/>
        <w:rPr>
          <w:sz w:val="20"/>
          <w:szCs w:val="20"/>
          <w:color w:val="auto"/>
        </w:rPr>
      </w:pPr>
    </w:p>
    <w:p>
      <w:pPr>
        <w:jc w:val="both"/>
        <w:ind w:firstLine="1175"/>
        <w:spacing w:after="0" w:line="257" w:lineRule="auto"/>
        <w:rPr>
          <w:sz w:val="20"/>
          <w:szCs w:val="20"/>
          <w:color w:val="auto"/>
        </w:rPr>
      </w:pPr>
      <w:r>
        <w:rPr>
          <w:rFonts w:ascii="Arial" w:cs="Arial" w:eastAsia="Arial" w:hAnsi="Arial"/>
          <w:sz w:val="18"/>
          <w:szCs w:val="18"/>
          <w:color w:val="auto"/>
        </w:rPr>
        <w:t>We are a party to a tax sharing agreement with Contran and NL providing for the allocation of tax liabilities and tax payments as described in Note 1. Under applicable law, we, as well as every other member of the Contran Tax Group, are each jointly and severally liable for the aggregate federal income tax liability of Contran and the other companies included in the Contran Tax Group for all periods in which we are included in the Contran Tax Group. NL has agreed, however, to indemnify us for any liability for income taxes of the Contran Tax Group in excess of our tax liability in accordance with the tax sharing agreement.</w:t>
      </w:r>
    </w:p>
    <w:p>
      <w:pPr>
        <w:spacing w:after="0" w:line="188" w:lineRule="exact"/>
        <w:rPr>
          <w:sz w:val="20"/>
          <w:szCs w:val="20"/>
          <w:color w:val="auto"/>
        </w:rPr>
      </w:pPr>
    </w:p>
    <w:p>
      <w:pPr>
        <w:jc w:val="both"/>
        <w:ind w:firstLine="1175"/>
        <w:spacing w:after="0" w:line="263" w:lineRule="auto"/>
        <w:rPr>
          <w:sz w:val="20"/>
          <w:szCs w:val="20"/>
          <w:color w:val="auto"/>
        </w:rPr>
      </w:pPr>
      <w:r>
        <w:rPr>
          <w:rFonts w:ascii="Arial" w:cs="Arial" w:eastAsia="Arial" w:hAnsi="Arial"/>
          <w:sz w:val="18"/>
          <w:szCs w:val="18"/>
          <w:i w:val="1"/>
          <w:iCs w:val="1"/>
          <w:color w:val="auto"/>
        </w:rPr>
        <w:t>Concentration of credit risk</w:t>
      </w:r>
      <w:r>
        <w:rPr>
          <w:rFonts w:ascii="Arial" w:cs="Arial" w:eastAsia="Arial" w:hAnsi="Arial"/>
          <w:sz w:val="18"/>
          <w:szCs w:val="18"/>
          <w:color w:val="auto"/>
        </w:rPr>
        <w:t>. Our products are sold primarily in North America to original equipment manufacturers. Our ten largest</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accounted for approximately 44% of sales in 2018, 47% in 2019 and 48% in 2020. One customer of the Security Products segment accounted for 13% of consolidated sales in 2018, 14% in 2019 and 17% in 2020.</w:t>
      </w:r>
    </w:p>
    <w:p>
      <w:pPr>
        <w:spacing w:after="0" w:line="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instruments:</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820" w:type="dxa"/>
            <w:vAlign w:val="bottom"/>
            <w:tcBorders>
              <w:bottom w:val="single" w:sz="8" w:color="auto"/>
            </w:tcBorders>
          </w:tcPr>
          <w:p>
            <w:pPr>
              <w:spacing w:after="0"/>
              <w:rPr>
                <w:sz w:val="14"/>
                <w:szCs w:val="14"/>
                <w:color w:val="auto"/>
              </w:rPr>
            </w:pPr>
          </w:p>
        </w:tc>
      </w:tr>
      <w:tr>
        <w:trPr>
          <w:trHeight w:val="133"/>
        </w:trPr>
        <w:tc>
          <w:tcPr>
            <w:tcW w:w="3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1"/>
                <w:szCs w:val="11"/>
                <w:color w:val="auto"/>
              </w:rPr>
            </w:pPr>
          </w:p>
        </w:tc>
        <w:tc>
          <w:tcPr>
            <w:tcW w:w="800" w:type="dxa"/>
            <w:vAlign w:val="bottom"/>
          </w:tcPr>
          <w:p>
            <w:pPr>
              <w:jc w:val="right"/>
              <w:ind w:right="397"/>
              <w:spacing w:after="0" w:line="13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1"/>
                <w:szCs w:val="11"/>
                <w:color w:val="auto"/>
              </w:rPr>
            </w:pPr>
          </w:p>
        </w:tc>
        <w:tc>
          <w:tcPr>
            <w:tcW w:w="820" w:type="dxa"/>
            <w:vAlign w:val="bottom"/>
          </w:tcPr>
          <w:p>
            <w:pPr>
              <w:jc w:val="right"/>
              <w:ind w:right="417"/>
              <w:spacing w:after="0" w:line="133" w:lineRule="exact"/>
              <w:rPr>
                <w:sz w:val="20"/>
                <w:szCs w:val="20"/>
                <w:color w:val="auto"/>
              </w:rPr>
            </w:pPr>
            <w:r>
              <w:rPr>
                <w:rFonts w:ascii="Arial" w:cs="Arial" w:eastAsia="Arial" w:hAnsi="Arial"/>
                <w:sz w:val="14"/>
                <w:szCs w:val="14"/>
                <w:b w:val="1"/>
                <w:bCs w:val="1"/>
                <w:color w:val="auto"/>
              </w:rPr>
              <w:t>Fair</w:t>
            </w:r>
          </w:p>
        </w:tc>
      </w:tr>
      <w:tr>
        <w:trPr>
          <w:trHeight w:val="171"/>
        </w:trPr>
        <w:tc>
          <w:tcPr>
            <w:tcW w:w="3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w w:val="89"/>
              </w:rPr>
              <w:t>value</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w w:val="89"/>
              </w:rPr>
              <w:t>value</w:t>
            </w:r>
          </w:p>
        </w:tc>
      </w:tr>
      <w:tr>
        <w:trPr>
          <w:trHeight w:val="448"/>
        </w:trPr>
        <w:tc>
          <w:tcPr>
            <w:tcW w:w="3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63,255</w:t>
            </w:r>
          </w:p>
        </w:tc>
        <w:tc>
          <w:tcPr>
            <w:tcW w:w="3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63,255</w:t>
            </w:r>
          </w:p>
        </w:tc>
        <w:tc>
          <w:tcPr>
            <w:tcW w:w="3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70,637</w:t>
            </w:r>
          </w:p>
        </w:tc>
        <w:tc>
          <w:tcPr>
            <w:tcW w:w="30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70,637</w:t>
            </w:r>
          </w:p>
        </w:tc>
      </w:tr>
      <w:tr>
        <w:trPr>
          <w:trHeight w:val="234"/>
        </w:trPr>
        <w:tc>
          <w:tcPr>
            <w:tcW w:w="35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11,870</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11,870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10,731</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10,731</w:t>
            </w:r>
          </w:p>
        </w:tc>
      </w:tr>
      <w:tr>
        <w:trPr>
          <w:trHeight w:val="243"/>
        </w:trPr>
        <w:tc>
          <w:tcPr>
            <w:tcW w:w="3580" w:type="dxa"/>
            <w:vAlign w:val="bottom"/>
          </w:tcPr>
          <w:p>
            <w:pPr>
              <w:spacing w:after="0"/>
              <w:rPr>
                <w:sz w:val="20"/>
                <w:szCs w:val="20"/>
                <w:color w:val="auto"/>
              </w:rPr>
            </w:pPr>
            <w:r>
              <w:rPr>
                <w:rFonts w:ascii="Arial" w:cs="Arial" w:eastAsia="Arial" w:hAnsi="Arial"/>
                <w:sz w:val="18"/>
                <w:szCs w:val="18"/>
                <w:color w:val="auto"/>
              </w:rPr>
              <w:t>Accounts payable</w:t>
            </w:r>
          </w:p>
        </w:tc>
        <w:tc>
          <w:tcPr>
            <w:tcW w:w="1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2,514</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2,514</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2,632</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2,632</w:t>
            </w:r>
          </w:p>
        </w:tc>
      </w:tr>
    </w:tbl>
    <w:p>
      <w:pPr>
        <w:spacing w:after="0" w:line="33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Due to their near-term maturities, the carrying amounts of accounts receivable and accounts payable are considered equivalent to fair value.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color w:val="auto"/>
        </w:rPr>
        <w:t>–</w:t>
      </w:r>
      <w:r>
        <w:rPr>
          <w:rFonts w:ascii="Arial" w:cs="Arial" w:eastAsia="Arial" w:hAnsi="Arial"/>
          <w:sz w:val="18"/>
          <w:szCs w:val="18"/>
          <w:b w:val="1"/>
          <w:bCs w:val="1"/>
          <w:color w:val="auto"/>
        </w:rPr>
        <w:t xml:space="preserve"> Recent Accounting Pronouncements:</w:t>
      </w:r>
    </w:p>
    <w:p>
      <w:pPr>
        <w:spacing w:after="0" w:line="229"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 xml:space="preserve">In December 2019, the Financial Accounting Standards Board issued Accounting Standards Update (“ASU”) 2019-12, </w:t>
      </w:r>
      <w:r>
        <w:rPr>
          <w:rFonts w:ascii="Arial" w:cs="Arial" w:eastAsia="Arial" w:hAnsi="Arial"/>
          <w:sz w:val="16"/>
          <w:szCs w:val="16"/>
          <w:i w:val="1"/>
          <w:iCs w:val="1"/>
          <w:color w:val="auto"/>
        </w:rPr>
        <w:t>Simplifying the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Income Taxes</w:t>
      </w:r>
      <w:r>
        <w:rPr>
          <w:rFonts w:ascii="Arial" w:cs="Arial" w:eastAsia="Arial" w:hAnsi="Arial"/>
          <w:sz w:val="16"/>
          <w:szCs w:val="16"/>
          <w:color w:val="auto"/>
        </w:rPr>
        <w:t>, which changes the accounting for certain income tax transactions and reduces complexity in accounting for income taxes in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areas. The ASU introduces new guidance including providing a policy election for an entity to not allocate consolidated current and deferred tax expense when a member of a consolidated tax return is not subject to income tax in its separate financial statements and is a disregarded entity by the taxing authority; and providing guidance to evaluate whether a step-up in tax basis of goodwill relates to a business combination in which book goodwill was recognized or a separate transaction. The ASU also changes existing guidance in a number of areas, including: the method of making an intraperiod allocation of total income tax expense if there is a loss in continuing operations and gains outside of continuing operations; accounting for tax law changes and year-to-date losses in interim periods; and determining how to apply the income tax guidance to franchise taxes that are partially based on income. We adopted this ASU in the first quarter of 2020 and the adoption of this standard did not have a material effect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Quarterly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852"/>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March 31</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238"/>
        </w:trPr>
        <w:tc>
          <w:tcPr>
            <w:tcW w:w="4480" w:type="dxa"/>
            <w:vAlign w:val="bottom"/>
            <w:vMerge w:val="restart"/>
          </w:tcPr>
          <w:p>
            <w:pPr>
              <w:spacing w:after="0"/>
              <w:rPr>
                <w:sz w:val="20"/>
                <w:szCs w:val="20"/>
                <w:color w:val="auto"/>
              </w:rPr>
            </w:pPr>
            <w:r>
              <w:rPr>
                <w:rFonts w:ascii="Arial" w:cs="Arial" w:eastAsia="Arial" w:hAnsi="Arial"/>
                <w:sz w:val="18"/>
                <w:szCs w:val="18"/>
                <w:color w:val="auto"/>
              </w:rPr>
              <w:t>2019:</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9"/>
              </w:rPr>
              <w:t>(In millions, except per share amounts)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8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31.2</w:t>
            </w:r>
          </w:p>
        </w:tc>
        <w:tc>
          <w:tcPr>
            <w:tcW w:w="3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33.7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4480" w:type="dxa"/>
            <w:vAlign w:val="bottom"/>
          </w:tcPr>
          <w:p>
            <w:pPr>
              <w:ind w:left="500"/>
              <w:spacing w:after="0"/>
              <w:rPr>
                <w:sz w:val="20"/>
                <w:szCs w:val="20"/>
                <w:color w:val="auto"/>
              </w:rPr>
            </w:pPr>
            <w:r>
              <w:rPr>
                <w:rFonts w:ascii="Arial" w:cs="Arial" w:eastAsia="Arial" w:hAnsi="Arial"/>
                <w:sz w:val="18"/>
                <w:szCs w:val="18"/>
                <w:color w:val="auto"/>
              </w:rPr>
              <w:t>Gross margin</w:t>
            </w: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448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48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86"/>
        </w:trPr>
        <w:tc>
          <w:tcPr>
            <w:tcW w:w="4480" w:type="dxa"/>
            <w:vAlign w:val="bottom"/>
          </w:tcPr>
          <w:p>
            <w:pPr>
              <w:ind w:left="500"/>
              <w:spacing w:after="0"/>
              <w:rPr>
                <w:sz w:val="20"/>
                <w:szCs w:val="20"/>
                <w:color w:val="auto"/>
              </w:rPr>
            </w:pPr>
            <w:r>
              <w:rPr>
                <w:rFonts w:ascii="Arial" w:cs="Arial" w:eastAsia="Arial" w:hAnsi="Arial"/>
                <w:sz w:val="18"/>
                <w:szCs w:val="18"/>
                <w:color w:val="auto"/>
              </w:rPr>
              <w:t>Basic and diluted earnings per share</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3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86"/>
        </w:trPr>
        <w:tc>
          <w:tcPr>
            <w:tcW w:w="4480" w:type="dxa"/>
            <w:vAlign w:val="bottom"/>
          </w:tcPr>
          <w:p>
            <w:pPr>
              <w:spacing w:after="0"/>
              <w:rPr>
                <w:sz w:val="20"/>
                <w:szCs w:val="20"/>
                <w:color w:val="auto"/>
              </w:rPr>
            </w:pPr>
            <w:r>
              <w:rPr>
                <w:rFonts w:ascii="Arial" w:cs="Arial" w:eastAsia="Arial" w:hAnsi="Arial"/>
                <w:sz w:val="18"/>
                <w:szCs w:val="18"/>
                <w:color w:val="auto"/>
              </w:rPr>
              <w:t>2020:</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500"/>
              <w:spacing w:after="0"/>
              <w:rPr>
                <w:sz w:val="20"/>
                <w:szCs w:val="20"/>
                <w:color w:val="auto"/>
              </w:rPr>
            </w:pPr>
            <w:r>
              <w:rPr>
                <w:rFonts w:ascii="Arial" w:cs="Arial" w:eastAsia="Arial" w:hAnsi="Arial"/>
                <w:sz w:val="18"/>
                <w:szCs w:val="18"/>
                <w:color w:val="auto"/>
              </w:rPr>
              <w:t>Net sales</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32.3</w:t>
            </w:r>
          </w:p>
        </w:tc>
        <w:tc>
          <w:tcPr>
            <w:tcW w:w="34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b w:val="1"/>
                <w:bCs w:val="1"/>
                <w:color w:val="auto"/>
              </w:rPr>
              <w:t>23.8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28.4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r>
        <w:trPr>
          <w:trHeight w:val="243"/>
        </w:trPr>
        <w:tc>
          <w:tcPr>
            <w:tcW w:w="4480" w:type="dxa"/>
            <w:vAlign w:val="bottom"/>
          </w:tcPr>
          <w:p>
            <w:pPr>
              <w:ind w:left="500"/>
              <w:spacing w:after="0"/>
              <w:rPr>
                <w:sz w:val="20"/>
                <w:szCs w:val="20"/>
                <w:color w:val="auto"/>
              </w:rPr>
            </w:pPr>
            <w:r>
              <w:rPr>
                <w:rFonts w:ascii="Arial" w:cs="Arial" w:eastAsia="Arial" w:hAnsi="Arial"/>
                <w:sz w:val="18"/>
                <w:szCs w:val="18"/>
                <w:color w:val="auto"/>
              </w:rPr>
              <w:t>Gross margin</w:t>
            </w: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10.4</w:t>
            </w:r>
          </w:p>
        </w:tc>
        <w:tc>
          <w:tcPr>
            <w:tcW w:w="34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b w:val="1"/>
                <w:bCs w:val="1"/>
                <w:color w:val="auto"/>
              </w:rPr>
              <w:t>7.4</w:t>
            </w:r>
          </w:p>
        </w:tc>
        <w:tc>
          <w:tcPr>
            <w:tcW w:w="2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7.3</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43"/>
        </w:trPr>
        <w:tc>
          <w:tcPr>
            <w:tcW w:w="448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5.0</w:t>
            </w:r>
          </w:p>
        </w:tc>
        <w:tc>
          <w:tcPr>
            <w:tcW w:w="34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b w:val="1"/>
                <w:bCs w:val="1"/>
                <w:color w:val="auto"/>
              </w:rPr>
              <w:t>2.4</w:t>
            </w:r>
          </w:p>
        </w:tc>
        <w:tc>
          <w:tcPr>
            <w:tcW w:w="2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43"/>
        </w:trPr>
        <w:tc>
          <w:tcPr>
            <w:tcW w:w="448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4.3</w:t>
            </w:r>
          </w:p>
        </w:tc>
        <w:tc>
          <w:tcPr>
            <w:tcW w:w="34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1.8</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486"/>
        </w:trPr>
        <w:tc>
          <w:tcPr>
            <w:tcW w:w="4480" w:type="dxa"/>
            <w:vAlign w:val="bottom"/>
          </w:tcPr>
          <w:p>
            <w:pPr>
              <w:ind w:left="500"/>
              <w:spacing w:after="0"/>
              <w:rPr>
                <w:sz w:val="20"/>
                <w:szCs w:val="20"/>
                <w:color w:val="auto"/>
              </w:rPr>
            </w:pPr>
            <w:r>
              <w:rPr>
                <w:rFonts w:ascii="Arial" w:cs="Arial" w:eastAsia="Arial" w:hAnsi="Arial"/>
                <w:sz w:val="18"/>
                <w:szCs w:val="18"/>
                <w:color w:val="auto"/>
              </w:rPr>
              <w:t>Basic and diluted earnings per share</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.34</w:t>
            </w:r>
          </w:p>
        </w:tc>
        <w:tc>
          <w:tcPr>
            <w:tcW w:w="34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3"/>
              <w:spacing w:after="0"/>
              <w:rPr>
                <w:sz w:val="20"/>
                <w:szCs w:val="20"/>
                <w:color w:val="auto"/>
              </w:rPr>
            </w:pPr>
            <w:r>
              <w:rPr>
                <w:rFonts w:ascii="Arial" w:cs="Arial" w:eastAsia="Arial" w:hAnsi="Arial"/>
                <w:sz w:val="18"/>
                <w:szCs w:val="18"/>
                <w:b w:val="1"/>
                <w:bCs w:val="1"/>
                <w:color w:val="auto"/>
              </w:rPr>
              <w:t>.17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sum of the quarterly per share amounts may not equal the annual per share amounts due to relative changes in the weighted-average number of shares used in the per share computations.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553"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color w:val="auto"/>
        </w:rPr>
        <w:t>Exhibit 3.3</w:t>
      </w:r>
    </w:p>
    <w:p>
      <w:pPr>
        <w:jc w:val="center"/>
        <w:ind w:right="1100"/>
        <w:spacing w:after="0" w:line="238" w:lineRule="auto"/>
        <w:rPr>
          <w:sz w:val="20"/>
          <w:szCs w:val="20"/>
          <w:color w:val="auto"/>
        </w:rPr>
      </w:pPr>
      <w:r>
        <w:rPr>
          <w:rFonts w:ascii="Arial" w:cs="Arial" w:eastAsia="Arial" w:hAnsi="Arial"/>
          <w:sz w:val="22"/>
          <w:szCs w:val="22"/>
          <w:b w:val="1"/>
          <w:bCs w:val="1"/>
          <w:color w:val="auto"/>
        </w:rPr>
        <w:t>AMENDED AND RESTATED</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BYLAWS</w:t>
      </w:r>
    </w:p>
    <w:p>
      <w:pPr>
        <w:spacing w:after="0" w:line="19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w:t>
      </w:r>
      <w:r>
        <w:rPr>
          <w:rFonts w:ascii="Arial" w:cs="Arial" w:eastAsia="Arial" w:hAnsi="Arial"/>
          <w:sz w:val="20"/>
          <w:szCs w:val="20"/>
          <w:b w:val="1"/>
          <w:bCs w:val="1"/>
          <w:color w:val="auto"/>
        </w:rPr>
        <w:t>OMP</w:t>
      </w:r>
      <w:r>
        <w:rPr>
          <w:rFonts w:ascii="Arial" w:cs="Arial" w:eastAsia="Arial" w:hAnsi="Arial"/>
          <w:sz w:val="29"/>
          <w:szCs w:val="29"/>
          <w:b w:val="1"/>
          <w:bCs w:val="1"/>
          <w:color w:val="auto"/>
        </w:rPr>
        <w:t>X I</w:t>
      </w:r>
      <w:r>
        <w:rPr>
          <w:rFonts w:ascii="Arial" w:cs="Arial" w:eastAsia="Arial" w:hAnsi="Arial"/>
          <w:sz w:val="20"/>
          <w:szCs w:val="20"/>
          <w:b w:val="1"/>
          <w:bCs w:val="1"/>
          <w:color w:val="auto"/>
        </w:rPr>
        <w:t>NTERNATIONAL</w:t>
      </w:r>
      <w:r>
        <w:rPr>
          <w:rFonts w:ascii="Arial" w:cs="Arial" w:eastAsia="Arial" w:hAnsi="Arial"/>
          <w:sz w:val="29"/>
          <w:szCs w:val="29"/>
          <w:b w:val="1"/>
          <w:bCs w:val="1"/>
          <w:color w:val="auto"/>
        </w:rPr>
        <w:t xml:space="preserve"> I</w:t>
      </w:r>
      <w:r>
        <w:rPr>
          <w:rFonts w:ascii="Arial" w:cs="Arial" w:eastAsia="Arial" w:hAnsi="Arial"/>
          <w:sz w:val="20"/>
          <w:szCs w:val="20"/>
          <w:b w:val="1"/>
          <w:bCs w:val="1"/>
          <w:color w:val="auto"/>
        </w:rPr>
        <w:t>NC</w:t>
      </w:r>
      <w:r>
        <w:rPr>
          <w:rFonts w:ascii="Arial" w:cs="Arial" w:eastAsia="Arial" w:hAnsi="Arial"/>
          <w:sz w:val="29"/>
          <w:szCs w:val="29"/>
          <w:b w:val="1"/>
          <w:bCs w:val="1"/>
          <w:color w:val="auto"/>
        </w:rPr>
        <w:t>.</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 Delaware Corporation</w:t>
      </w:r>
    </w:p>
    <w:p>
      <w:pPr>
        <w:spacing w:after="0" w:line="7"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(Amended and Restated as of March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414655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47" w:name="page48"/>
    <w:bookmarkEnd w:id="47"/>
    <w:p>
      <w:pPr>
        <w:jc w:val="right"/>
        <w:ind w:right="35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63" w:lineRule="exact"/>
        <w:rPr>
          <w:sz w:val="20"/>
          <w:szCs w:val="20"/>
          <w:color w:val="auto"/>
        </w:rPr>
      </w:pPr>
    </w:p>
    <w:p>
      <w:pPr>
        <w:spacing w:after="0"/>
        <w:rPr>
          <w:rFonts w:ascii="Arial" w:cs="Arial" w:eastAsia="Arial" w:hAnsi="Arial"/>
          <w:sz w:val="18"/>
          <w:szCs w:val="18"/>
          <w:color w:val="0000EE"/>
        </w:rPr>
      </w:pPr>
      <w:hyperlink w:anchor="page50">
        <w:r>
          <w:rPr>
            <w:rFonts w:ascii="Arial" w:cs="Arial" w:eastAsia="Arial" w:hAnsi="Arial"/>
            <w:sz w:val="18"/>
            <w:szCs w:val="18"/>
            <w:u w:val="single" w:color="auto"/>
            <w:color w:val="0000EE"/>
          </w:rPr>
          <w:t>ARTICLE I</w:t>
        </w:r>
        <w:r>
          <w:rPr>
            <w:rFonts w:ascii="Arial" w:cs="Arial" w:eastAsia="Arial" w:hAnsi="Arial"/>
            <w:sz w:val="18"/>
            <w:szCs w:val="18"/>
            <w:color w:val="0000EE"/>
          </w:rPr>
          <w:t xml:space="preserve">. </w:t>
        </w:r>
      </w:hyperlink>
      <w:r>
        <w:rPr>
          <w:rFonts w:ascii="Arial" w:cs="Arial" w:eastAsia="Arial" w:hAnsi="Arial"/>
          <w:sz w:val="18"/>
          <w:szCs w:val="18"/>
          <w:i w:val="1"/>
          <w:iCs w:val="1"/>
          <w:color w:val="000000"/>
        </w:rPr>
        <w:t>REGISTERED</w:t>
      </w:r>
      <w:r>
        <w:rPr>
          <w:rFonts w:ascii="Arial" w:cs="Arial" w:eastAsia="Arial" w:hAnsi="Arial"/>
          <w:sz w:val="18"/>
          <w:szCs w:val="18"/>
          <w:color w:val="0000EE"/>
        </w:rPr>
        <w:t xml:space="preserve"> </w:t>
      </w:r>
      <w:r>
        <w:rPr>
          <w:rFonts w:ascii="Arial" w:cs="Arial" w:eastAsia="Arial" w:hAnsi="Arial"/>
          <w:sz w:val="18"/>
          <w:szCs w:val="18"/>
          <w:i w:val="1"/>
          <w:iCs w:val="1"/>
          <w:color w:val="000000"/>
        </w:rPr>
        <w:t>AGENT AND OFFICES</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Registered Agent and Office</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Other Offices</w:t>
      </w:r>
    </w:p>
    <w:p>
      <w:pPr>
        <w:spacing w:after="0" w:line="49" w:lineRule="exact"/>
        <w:rPr>
          <w:sz w:val="20"/>
          <w:szCs w:val="20"/>
          <w:color w:val="auto"/>
        </w:rPr>
      </w:pPr>
    </w:p>
    <w:p>
      <w:pPr>
        <w:spacing w:after="0"/>
        <w:rPr>
          <w:rFonts w:ascii="Arial" w:cs="Arial" w:eastAsia="Arial" w:hAnsi="Arial"/>
          <w:sz w:val="18"/>
          <w:szCs w:val="18"/>
          <w:color w:val="0000EE"/>
        </w:rPr>
      </w:pPr>
      <w:hyperlink w:anchor="page50">
        <w:r>
          <w:rPr>
            <w:rFonts w:ascii="Arial" w:cs="Arial" w:eastAsia="Arial" w:hAnsi="Arial"/>
            <w:sz w:val="18"/>
            <w:szCs w:val="18"/>
            <w:u w:val="single" w:color="auto"/>
            <w:color w:val="0000EE"/>
          </w:rPr>
          <w:t>ARTICLE II.</w:t>
        </w:r>
        <w:r>
          <w:rPr>
            <w:rFonts w:ascii="Arial" w:cs="Arial" w:eastAsia="Arial" w:hAnsi="Arial"/>
            <w:sz w:val="18"/>
            <w:szCs w:val="18"/>
            <w:color w:val="0000EE"/>
          </w:rPr>
          <w:t xml:space="preserve"> </w:t>
        </w:r>
      </w:hyperlink>
      <w:r>
        <w:rPr>
          <w:rFonts w:ascii="Arial" w:cs="Arial" w:eastAsia="Arial" w:hAnsi="Arial"/>
          <w:sz w:val="18"/>
          <w:szCs w:val="18"/>
          <w:i w:val="1"/>
          <w:iCs w:val="1"/>
          <w:color w:val="000000"/>
        </w:rPr>
        <w:t>MEETINGS</w:t>
      </w:r>
      <w:r>
        <w:rPr>
          <w:rFonts w:ascii="Arial" w:cs="Arial" w:eastAsia="Arial" w:hAnsi="Arial"/>
          <w:sz w:val="18"/>
          <w:szCs w:val="18"/>
          <w:color w:val="0000EE"/>
        </w:rPr>
        <w:t xml:space="preserve"> </w:t>
      </w:r>
      <w:r>
        <w:rPr>
          <w:rFonts w:ascii="Arial" w:cs="Arial" w:eastAsia="Arial" w:hAnsi="Arial"/>
          <w:sz w:val="18"/>
          <w:szCs w:val="18"/>
          <w:i w:val="1"/>
          <w:iCs w:val="1"/>
          <w:color w:val="000000"/>
        </w:rPr>
        <w:t>OF STOCKHOLDERS</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Place and Time of Meetings</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Business to be Transacted at Meetings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Notice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i w:val="1"/>
          <w:iCs w:val="1"/>
          <w:color w:val="auto"/>
        </w:rPr>
        <w:t>Notice by Electronic Transmission</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List of Stockholders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Quorum</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i w:val="1"/>
          <w:iCs w:val="1"/>
          <w:color w:val="auto"/>
        </w:rPr>
        <w:t>Proxies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i w:val="1"/>
          <w:iCs w:val="1"/>
          <w:color w:val="auto"/>
        </w:rPr>
        <w:t>Order of Business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i w:val="1"/>
          <w:iCs w:val="1"/>
          <w:color w:val="auto"/>
        </w:rPr>
        <w:t>Appointment of Inspectors of Election</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Confidential Voting</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Action Without a Meeting</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Fixing A Record Date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Remote Communications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Minutes</w:t>
      </w:r>
    </w:p>
    <w:p>
      <w:pPr>
        <w:spacing w:after="0" w:line="49" w:lineRule="exact"/>
        <w:rPr>
          <w:sz w:val="20"/>
          <w:szCs w:val="20"/>
          <w:color w:val="auto"/>
        </w:rPr>
      </w:pPr>
    </w:p>
    <w:p>
      <w:pPr>
        <w:spacing w:after="0"/>
        <w:rPr>
          <w:rFonts w:ascii="Arial" w:cs="Arial" w:eastAsia="Arial" w:hAnsi="Arial"/>
          <w:sz w:val="18"/>
          <w:szCs w:val="18"/>
          <w:color w:val="0000EE"/>
        </w:rPr>
      </w:pPr>
      <w:hyperlink w:anchor="page53">
        <w:r>
          <w:rPr>
            <w:rFonts w:ascii="Arial" w:cs="Arial" w:eastAsia="Arial" w:hAnsi="Arial"/>
            <w:sz w:val="18"/>
            <w:szCs w:val="18"/>
            <w:u w:val="single" w:color="auto"/>
            <w:color w:val="0000EE"/>
          </w:rPr>
          <w:t>ARTICLE III.</w:t>
        </w:r>
        <w:r>
          <w:rPr>
            <w:rFonts w:ascii="Arial" w:cs="Arial" w:eastAsia="Arial" w:hAnsi="Arial"/>
            <w:sz w:val="18"/>
            <w:szCs w:val="18"/>
            <w:color w:val="0000EE"/>
          </w:rPr>
          <w:t xml:space="preserve"> </w:t>
        </w:r>
      </w:hyperlink>
      <w:r>
        <w:rPr>
          <w:rFonts w:ascii="Arial" w:cs="Arial" w:eastAsia="Arial" w:hAnsi="Arial"/>
          <w:sz w:val="18"/>
          <w:szCs w:val="18"/>
          <w:i w:val="1"/>
          <w:iCs w:val="1"/>
          <w:color w:val="000000"/>
        </w:rPr>
        <w:t>DIRECTORS</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Number, Qualifications and Term of Office</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Nomination of Director Candidates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Removals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Vacancies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i w:val="1"/>
          <w:iCs w:val="1"/>
          <w:color w:val="auto"/>
        </w:rPr>
        <w:t>Annual Meeting</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i w:val="1"/>
          <w:iCs w:val="1"/>
          <w:color w:val="auto"/>
        </w:rPr>
        <w:t>Other Meetings and Notice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i w:val="1"/>
          <w:iCs w:val="1"/>
          <w:color w:val="auto"/>
        </w:rPr>
        <w:t>Quorum</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i w:val="1"/>
          <w:iCs w:val="1"/>
          <w:color w:val="auto"/>
        </w:rPr>
        <w:t>Committees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i w:val="1"/>
          <w:iCs w:val="1"/>
          <w:color w:val="auto"/>
        </w:rPr>
        <w:t>Committee Rules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i w:val="1"/>
          <w:iCs w:val="1"/>
          <w:color w:val="auto"/>
        </w:rPr>
        <w:t>Telephonic Meetings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Presumption of Assent</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i w:val="1"/>
          <w:iCs w:val="1"/>
          <w:color w:val="auto"/>
        </w:rPr>
        <w:t>Action Without a Meeting</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i w:val="1"/>
          <w:iCs w:val="1"/>
          <w:color w:val="auto"/>
        </w:rPr>
        <w:t>Compensation</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i w:val="1"/>
          <w:iCs w:val="1"/>
          <w:color w:val="auto"/>
        </w:rPr>
        <w:t>Minutes</w:t>
      </w:r>
    </w:p>
    <w:p>
      <w:pPr>
        <w:spacing w:after="0" w:line="49" w:lineRule="exact"/>
        <w:rPr>
          <w:sz w:val="20"/>
          <w:szCs w:val="20"/>
          <w:color w:val="auto"/>
        </w:rPr>
      </w:pPr>
    </w:p>
    <w:p>
      <w:pPr>
        <w:spacing w:after="0"/>
        <w:rPr>
          <w:rFonts w:ascii="Arial" w:cs="Arial" w:eastAsia="Arial" w:hAnsi="Arial"/>
          <w:sz w:val="18"/>
          <w:szCs w:val="18"/>
          <w:color w:val="0000EE"/>
        </w:rPr>
      </w:pPr>
      <w:hyperlink w:anchor="page56">
        <w:r>
          <w:rPr>
            <w:rFonts w:ascii="Arial" w:cs="Arial" w:eastAsia="Arial" w:hAnsi="Arial"/>
            <w:sz w:val="18"/>
            <w:szCs w:val="18"/>
            <w:u w:val="single" w:color="auto"/>
            <w:color w:val="0000EE"/>
          </w:rPr>
          <w:t>ARTICLE IV.</w:t>
        </w:r>
        <w:r>
          <w:rPr>
            <w:rFonts w:ascii="Arial" w:cs="Arial" w:eastAsia="Arial" w:hAnsi="Arial"/>
            <w:sz w:val="18"/>
            <w:szCs w:val="18"/>
            <w:color w:val="0000EE"/>
          </w:rPr>
          <w:t xml:space="preserve"> </w:t>
        </w:r>
      </w:hyperlink>
      <w:r>
        <w:rPr>
          <w:rFonts w:ascii="Arial" w:cs="Arial" w:eastAsia="Arial" w:hAnsi="Arial"/>
          <w:sz w:val="18"/>
          <w:szCs w:val="18"/>
          <w:i w:val="1"/>
          <w:iCs w:val="1"/>
          <w:color w:val="000000"/>
        </w:rPr>
        <w:t>OFFICERS</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Number</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Election and Term of Office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The Chairman of the Board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The Vice Chairman of the Board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i w:val="1"/>
          <w:iCs w:val="1"/>
          <w:color w:val="auto"/>
        </w:rPr>
        <w:t>The President</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i w:val="1"/>
          <w:iCs w:val="1"/>
          <w:color w:val="auto"/>
        </w:rPr>
        <w:t>The Chief Executive Officer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i w:val="1"/>
          <w:iCs w:val="1"/>
          <w:color w:val="auto"/>
        </w:rPr>
        <w:t>The Chief Financial Officer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i w:val="1"/>
          <w:iCs w:val="1"/>
          <w:color w:val="auto"/>
        </w:rPr>
        <w:t>Vice Presidents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i w:val="1"/>
          <w:iCs w:val="1"/>
          <w:color w:val="auto"/>
        </w:rPr>
        <w:t>The Secretary and Assistant Secretary</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The Treasurer and Assistant Treasurer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Vacancies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i w:val="1"/>
          <w:iCs w:val="1"/>
          <w:color w:val="auto"/>
        </w:rPr>
        <w:t>Other Officers, Assistant Officers and Agents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Normal Duties and Responsibilities of Officers</w:t>
      </w:r>
    </w:p>
    <w:p>
      <w:pPr>
        <w:spacing w:after="0" w:line="200" w:lineRule="exact"/>
        <w:rPr>
          <w:sz w:val="20"/>
          <w:szCs w:val="20"/>
          <w:color w:val="auto"/>
        </w:rPr>
      </w:pPr>
    </w:p>
    <w:p>
      <w:pPr>
        <w:spacing w:after="0" w:line="28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w:t>
      </w:r>
      <w:r>
        <w:rPr>
          <w:rFonts w:ascii="Arial" w:cs="Arial" w:eastAsia="Arial" w:hAnsi="Arial"/>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999"/>
          </w:cols>
          <w:pgMar w:left="460" w:top="553" w:right="1440" w:bottom="1440" w:gutter="0" w:footer="0" w:header="0"/>
        </w:sectPr>
      </w:pPr>
    </w:p>
    <w:bookmarkStart w:id="48" w:name="page49"/>
    <w:bookmarkEnd w:id="48"/>
    <w:p>
      <w:pPr>
        <w:spacing w:after="0"/>
        <w:rPr>
          <w:rFonts w:ascii="Arial" w:cs="Arial" w:eastAsia="Arial" w:hAnsi="Arial"/>
          <w:sz w:val="16"/>
          <w:szCs w:val="16"/>
          <w:color w:val="0000EE"/>
        </w:rPr>
      </w:pPr>
      <w:hyperlink w:anchor="page57">
        <w:r>
          <w:rPr>
            <w:rFonts w:ascii="Arial" w:cs="Arial" w:eastAsia="Arial" w:hAnsi="Arial"/>
            <w:sz w:val="16"/>
            <w:szCs w:val="16"/>
            <w:u w:val="single" w:color="auto"/>
            <w:color w:val="0000EE"/>
          </w:rPr>
          <w:t>ARTICLE V.</w:t>
        </w:r>
        <w:r>
          <w:rPr>
            <w:rFonts w:ascii="Arial" w:cs="Arial" w:eastAsia="Arial" w:hAnsi="Arial"/>
            <w:sz w:val="16"/>
            <w:szCs w:val="16"/>
            <w:color w:val="0000EE"/>
          </w:rPr>
          <w:t xml:space="preserve"> </w:t>
        </w:r>
      </w:hyperlink>
      <w:r>
        <w:rPr>
          <w:rFonts w:ascii="Arial" w:cs="Arial" w:eastAsia="Arial" w:hAnsi="Arial"/>
          <w:sz w:val="16"/>
          <w:szCs w:val="16"/>
          <w:i w:val="1"/>
          <w:iCs w:val="1"/>
          <w:color w:val="000000"/>
        </w:rPr>
        <w:t>INDEMNIFICATION</w:t>
      </w:r>
      <w:r>
        <w:rPr>
          <w:rFonts w:ascii="Arial" w:cs="Arial" w:eastAsia="Arial" w:hAnsi="Arial"/>
          <w:sz w:val="16"/>
          <w:szCs w:val="16"/>
          <w:color w:val="0000EE"/>
        </w:rPr>
        <w:t xml:space="preserve"> </w:t>
      </w:r>
      <w:r>
        <w:rPr>
          <w:rFonts w:ascii="Arial" w:cs="Arial" w:eastAsia="Arial" w:hAnsi="Arial"/>
          <w:sz w:val="16"/>
          <w:szCs w:val="16"/>
          <w:i w:val="1"/>
          <w:iCs w:val="1"/>
          <w:color w:val="000000"/>
        </w:rPr>
        <w:t>AND INSURANCE OF DIRECTORS, OFFICERS AND OTHERS</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Indemnification</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Advancement of Expenses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Expenses of Contested Indemnification Claims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Indemnification Not Exclusive</w:t>
      </w:r>
    </w:p>
    <w:p>
      <w:pPr>
        <w:spacing w:after="0" w:line="9" w:lineRule="exact"/>
        <w:rPr>
          <w:sz w:val="20"/>
          <w:szCs w:val="20"/>
          <w:color w:val="auto"/>
        </w:rPr>
      </w:pPr>
    </w:p>
    <w:p>
      <w:pPr>
        <w:ind w:left="1160" w:right="3699"/>
        <w:spacing w:after="0" w:line="250"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Survival of Indemnification and Advancement of Expenses</w:t>
      </w:r>
      <w:r>
        <w:rPr>
          <w:rFonts w:ascii="Arial" w:cs="Arial" w:eastAsia="Arial" w:hAnsi="Arial"/>
          <w:sz w:val="18"/>
          <w:szCs w:val="18"/>
          <w:color w:val="auto"/>
        </w:rPr>
        <w:t xml:space="preserve"> Section 5.6. </w:t>
      </w:r>
      <w:r>
        <w:rPr>
          <w:rFonts w:ascii="Arial" w:cs="Arial" w:eastAsia="Arial" w:hAnsi="Arial"/>
          <w:sz w:val="18"/>
          <w:szCs w:val="18"/>
          <w:i w:val="1"/>
          <w:iCs w:val="1"/>
          <w:color w:val="auto"/>
        </w:rPr>
        <w:t>Employees, Agents and Others</w:t>
      </w:r>
      <w:r>
        <w:rPr>
          <w:rFonts w:ascii="Arial" w:cs="Arial" w:eastAsia="Arial" w:hAnsi="Arial"/>
          <w:sz w:val="18"/>
          <w:szCs w:val="18"/>
          <w:color w:val="auto"/>
        </w:rPr>
        <w:t xml:space="preserve"> Section 5.7. </w:t>
      </w:r>
      <w:r>
        <w:rPr>
          <w:rFonts w:ascii="Arial" w:cs="Arial" w:eastAsia="Arial" w:hAnsi="Arial"/>
          <w:sz w:val="18"/>
          <w:szCs w:val="18"/>
          <w:i w:val="1"/>
          <w:iCs w:val="1"/>
          <w:color w:val="auto"/>
        </w:rPr>
        <w:t>Contract Right</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i w:val="1"/>
          <w:iCs w:val="1"/>
          <w:color w:val="auto"/>
        </w:rPr>
        <w:t>Insurance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i w:val="1"/>
          <w:iCs w:val="1"/>
          <w:color w:val="auto"/>
        </w:rPr>
        <w:t>Certain References Under Article V</w:t>
      </w:r>
    </w:p>
    <w:p>
      <w:pPr>
        <w:spacing w:after="0" w:line="49" w:lineRule="exact"/>
        <w:rPr>
          <w:sz w:val="20"/>
          <w:szCs w:val="20"/>
          <w:color w:val="auto"/>
        </w:rPr>
      </w:pPr>
    </w:p>
    <w:p>
      <w:pPr>
        <w:spacing w:after="0"/>
        <w:rPr>
          <w:rFonts w:ascii="Arial" w:cs="Arial" w:eastAsia="Arial" w:hAnsi="Arial"/>
          <w:sz w:val="18"/>
          <w:szCs w:val="18"/>
          <w:color w:val="0000EE"/>
        </w:rPr>
      </w:pPr>
      <w:hyperlink w:anchor="page59">
        <w:r>
          <w:rPr>
            <w:rFonts w:ascii="Arial" w:cs="Arial" w:eastAsia="Arial" w:hAnsi="Arial"/>
            <w:sz w:val="18"/>
            <w:szCs w:val="18"/>
            <w:u w:val="single" w:color="auto"/>
            <w:color w:val="0000EE"/>
          </w:rPr>
          <w:t>ARTICLE VI.</w:t>
        </w:r>
        <w:r>
          <w:rPr>
            <w:rFonts w:ascii="Arial" w:cs="Arial" w:eastAsia="Arial" w:hAnsi="Arial"/>
            <w:sz w:val="18"/>
            <w:szCs w:val="18"/>
            <w:color w:val="0000EE"/>
          </w:rPr>
          <w:t xml:space="preserve"> </w:t>
        </w:r>
      </w:hyperlink>
      <w:r>
        <w:rPr>
          <w:rFonts w:ascii="Arial" w:cs="Arial" w:eastAsia="Arial" w:hAnsi="Arial"/>
          <w:sz w:val="18"/>
          <w:szCs w:val="18"/>
          <w:i w:val="1"/>
          <w:iCs w:val="1"/>
          <w:color w:val="000000"/>
        </w:rPr>
        <w:t>STOCK</w:t>
      </w:r>
      <w:r>
        <w:rPr>
          <w:rFonts w:ascii="Arial" w:cs="Arial" w:eastAsia="Arial" w:hAnsi="Arial"/>
          <w:sz w:val="18"/>
          <w:szCs w:val="18"/>
          <w:color w:val="0000EE"/>
        </w:rPr>
        <w:t xml:space="preserve"> </w:t>
      </w:r>
      <w:r>
        <w:rPr>
          <w:rFonts w:ascii="Arial" w:cs="Arial" w:eastAsia="Arial" w:hAnsi="Arial"/>
          <w:sz w:val="18"/>
          <w:szCs w:val="18"/>
          <w:i w:val="1"/>
          <w:iCs w:val="1"/>
          <w:color w:val="000000"/>
        </w:rPr>
        <w:t>CERTIFICATES</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Form</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Transfers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Lost or Destroyed Certificates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i w:val="1"/>
          <w:iCs w:val="1"/>
          <w:color w:val="auto"/>
        </w:rPr>
        <w:t>Registered Stockholders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Restrictions on Transfers of Shares</w:t>
      </w:r>
    </w:p>
    <w:p>
      <w:pPr>
        <w:spacing w:after="0" w:line="49" w:lineRule="exact"/>
        <w:rPr>
          <w:sz w:val="20"/>
          <w:szCs w:val="20"/>
          <w:color w:val="auto"/>
        </w:rPr>
      </w:pPr>
    </w:p>
    <w:p>
      <w:pPr>
        <w:spacing w:after="0"/>
        <w:rPr>
          <w:rFonts w:ascii="Arial" w:cs="Arial" w:eastAsia="Arial" w:hAnsi="Arial"/>
          <w:sz w:val="18"/>
          <w:szCs w:val="18"/>
          <w:color w:val="0000EE"/>
        </w:rPr>
      </w:pPr>
      <w:hyperlink w:anchor="page59">
        <w:r>
          <w:rPr>
            <w:rFonts w:ascii="Arial" w:cs="Arial" w:eastAsia="Arial" w:hAnsi="Arial"/>
            <w:sz w:val="18"/>
            <w:szCs w:val="18"/>
            <w:u w:val="single" w:color="auto"/>
            <w:color w:val="0000EE"/>
          </w:rPr>
          <w:t>ARTICLE VII.</w:t>
        </w:r>
        <w:r>
          <w:rPr>
            <w:rFonts w:ascii="Arial" w:cs="Arial" w:eastAsia="Arial" w:hAnsi="Arial"/>
            <w:sz w:val="18"/>
            <w:szCs w:val="18"/>
            <w:color w:val="0000EE"/>
          </w:rPr>
          <w:t xml:space="preserve"> </w:t>
        </w:r>
      </w:hyperlink>
      <w:r>
        <w:rPr>
          <w:rFonts w:ascii="Arial" w:cs="Arial" w:eastAsia="Arial" w:hAnsi="Arial"/>
          <w:sz w:val="18"/>
          <w:szCs w:val="18"/>
          <w:i w:val="1"/>
          <w:iCs w:val="1"/>
          <w:color w:val="000000"/>
        </w:rPr>
        <w:t>CERTAIN</w:t>
      </w:r>
      <w:r>
        <w:rPr>
          <w:rFonts w:ascii="Arial" w:cs="Arial" w:eastAsia="Arial" w:hAnsi="Arial"/>
          <w:sz w:val="18"/>
          <w:szCs w:val="18"/>
          <w:color w:val="0000EE"/>
        </w:rPr>
        <w:t xml:space="preserve"> </w:t>
      </w:r>
      <w:r>
        <w:rPr>
          <w:rFonts w:ascii="Arial" w:cs="Arial" w:eastAsia="Arial" w:hAnsi="Arial"/>
          <w:sz w:val="18"/>
          <w:szCs w:val="18"/>
          <w:i w:val="1"/>
          <w:iCs w:val="1"/>
          <w:color w:val="000000"/>
        </w:rPr>
        <w:t>BUSINESS COMBINATIONS</w:t>
      </w:r>
    </w:p>
    <w:p>
      <w:pPr>
        <w:spacing w:after="0" w:line="63" w:lineRule="exact"/>
        <w:rPr>
          <w:sz w:val="20"/>
          <w:szCs w:val="20"/>
          <w:color w:val="auto"/>
        </w:rPr>
      </w:pPr>
    </w:p>
    <w:p>
      <w:pPr>
        <w:spacing w:after="0"/>
        <w:rPr>
          <w:rFonts w:ascii="Arial" w:cs="Arial" w:eastAsia="Arial" w:hAnsi="Arial"/>
          <w:sz w:val="18"/>
          <w:szCs w:val="18"/>
          <w:color w:val="0000EE"/>
        </w:rPr>
      </w:pPr>
      <w:hyperlink w:anchor="page60">
        <w:r>
          <w:rPr>
            <w:rFonts w:ascii="Arial" w:cs="Arial" w:eastAsia="Arial" w:hAnsi="Arial"/>
            <w:sz w:val="18"/>
            <w:szCs w:val="18"/>
            <w:u w:val="single" w:color="auto"/>
            <w:color w:val="0000EE"/>
          </w:rPr>
          <w:t>ARTICLE VIII.</w:t>
        </w:r>
        <w:r>
          <w:rPr>
            <w:rFonts w:ascii="Arial" w:cs="Arial" w:eastAsia="Arial" w:hAnsi="Arial"/>
            <w:sz w:val="18"/>
            <w:szCs w:val="18"/>
            <w:color w:val="0000EE"/>
          </w:rPr>
          <w:t xml:space="preserve"> </w:t>
        </w:r>
      </w:hyperlink>
      <w:r>
        <w:rPr>
          <w:rFonts w:ascii="Arial" w:cs="Arial" w:eastAsia="Arial" w:hAnsi="Arial"/>
          <w:sz w:val="18"/>
          <w:szCs w:val="18"/>
          <w:i w:val="1"/>
          <w:iCs w:val="1"/>
          <w:color w:val="000000"/>
        </w:rPr>
        <w:t>GENERAL</w:t>
      </w:r>
      <w:r>
        <w:rPr>
          <w:rFonts w:ascii="Arial" w:cs="Arial" w:eastAsia="Arial" w:hAnsi="Arial"/>
          <w:sz w:val="18"/>
          <w:szCs w:val="18"/>
          <w:color w:val="0000EE"/>
        </w:rPr>
        <w:t xml:space="preserve"> </w:t>
      </w:r>
      <w:r>
        <w:rPr>
          <w:rFonts w:ascii="Arial" w:cs="Arial" w:eastAsia="Arial" w:hAnsi="Arial"/>
          <w:sz w:val="18"/>
          <w:szCs w:val="18"/>
          <w:i w:val="1"/>
          <w:iCs w:val="1"/>
          <w:color w:val="000000"/>
        </w:rPr>
        <w:t>PROVISIONS</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Dividends</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Accounts</w:t>
      </w:r>
    </w:p>
    <w:p>
      <w:pPr>
        <w:spacing w:after="0" w:line="49" w:lineRule="exact"/>
        <w:rPr>
          <w:sz w:val="20"/>
          <w:szCs w:val="20"/>
          <w:color w:val="auto"/>
        </w:rPr>
      </w:pPr>
    </w:p>
    <w:p>
      <w:pPr>
        <w:spacing w:after="0"/>
        <w:rPr>
          <w:rFonts w:ascii="Arial" w:cs="Arial" w:eastAsia="Arial" w:hAnsi="Arial"/>
          <w:sz w:val="18"/>
          <w:szCs w:val="18"/>
          <w:color w:val="0000EE"/>
        </w:rPr>
      </w:pPr>
      <w:hyperlink w:anchor="page60">
        <w:r>
          <w:rPr>
            <w:rFonts w:ascii="Arial" w:cs="Arial" w:eastAsia="Arial" w:hAnsi="Arial"/>
            <w:sz w:val="18"/>
            <w:szCs w:val="18"/>
            <w:u w:val="single" w:color="auto"/>
            <w:color w:val="0000EE"/>
          </w:rPr>
          <w:t>ARTICLE IX.</w:t>
        </w:r>
        <w:r>
          <w:rPr>
            <w:rFonts w:ascii="Arial" w:cs="Arial" w:eastAsia="Arial" w:hAnsi="Arial"/>
            <w:sz w:val="18"/>
            <w:szCs w:val="18"/>
            <w:color w:val="0000EE"/>
          </w:rPr>
          <w:t xml:space="preserve"> </w:t>
        </w:r>
      </w:hyperlink>
      <w:r>
        <w:rPr>
          <w:rFonts w:ascii="Arial" w:cs="Arial" w:eastAsia="Arial" w:hAnsi="Arial"/>
          <w:sz w:val="18"/>
          <w:szCs w:val="18"/>
          <w:i w:val="1"/>
          <w:iCs w:val="1"/>
          <w:color w:val="000000"/>
        </w:rPr>
        <w:t>NOTICES</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General</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Waivers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Attendance as Waiver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i w:val="1"/>
          <w:iCs w:val="1"/>
          <w:color w:val="auto"/>
        </w:rPr>
        <w:t>Omission of Notice to Stockholders</w:t>
      </w:r>
    </w:p>
    <w:p>
      <w:pPr>
        <w:spacing w:after="0" w:line="49" w:lineRule="exact"/>
        <w:rPr>
          <w:sz w:val="20"/>
          <w:szCs w:val="20"/>
          <w:color w:val="auto"/>
        </w:rPr>
      </w:pPr>
    </w:p>
    <w:p>
      <w:pPr>
        <w:spacing w:after="0"/>
        <w:rPr>
          <w:rFonts w:ascii="Arial" w:cs="Arial" w:eastAsia="Arial" w:hAnsi="Arial"/>
          <w:sz w:val="18"/>
          <w:szCs w:val="18"/>
          <w:color w:val="0000EE"/>
        </w:rPr>
      </w:pPr>
      <w:hyperlink w:anchor="page61">
        <w:r>
          <w:rPr>
            <w:rFonts w:ascii="Arial" w:cs="Arial" w:eastAsia="Arial" w:hAnsi="Arial"/>
            <w:sz w:val="18"/>
            <w:szCs w:val="18"/>
            <w:u w:val="single" w:color="auto"/>
            <w:color w:val="0000EE"/>
          </w:rPr>
          <w:t>ARTICLE X.</w:t>
        </w:r>
        <w:r>
          <w:rPr>
            <w:rFonts w:ascii="Arial" w:cs="Arial" w:eastAsia="Arial" w:hAnsi="Arial"/>
            <w:sz w:val="18"/>
            <w:szCs w:val="18"/>
            <w:color w:val="0000EE"/>
          </w:rPr>
          <w:t xml:space="preserve"> </w:t>
        </w:r>
      </w:hyperlink>
      <w:r>
        <w:rPr>
          <w:rFonts w:ascii="Arial" w:cs="Arial" w:eastAsia="Arial" w:hAnsi="Arial"/>
          <w:sz w:val="18"/>
          <w:szCs w:val="18"/>
          <w:i w:val="1"/>
          <w:iCs w:val="1"/>
          <w:color w:val="000000"/>
        </w:rPr>
        <w:t>FORUM</w:t>
      </w:r>
      <w:r>
        <w:rPr>
          <w:rFonts w:ascii="Arial" w:cs="Arial" w:eastAsia="Arial" w:hAnsi="Arial"/>
          <w:sz w:val="18"/>
          <w:szCs w:val="18"/>
          <w:color w:val="0000EE"/>
        </w:rPr>
        <w:t xml:space="preserve"> </w:t>
      </w:r>
      <w:r>
        <w:rPr>
          <w:rFonts w:ascii="Arial" w:cs="Arial" w:eastAsia="Arial" w:hAnsi="Arial"/>
          <w:sz w:val="18"/>
          <w:szCs w:val="18"/>
          <w:i w:val="1"/>
          <w:iCs w:val="1"/>
          <w:color w:val="000000"/>
        </w:rPr>
        <w:t>SELECTION</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Delaware Forum</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Securities Act Claims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Notice and Consent</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Injunctive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-ii</w:t>
      </w:r>
      <w:r>
        <w:rPr>
          <w:rFonts w:ascii="Arial" w:cs="Arial" w:eastAsia="Arial" w:hAnsi="Arial"/>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999"/>
          </w:cols>
          <w:pgMar w:left="460" w:top="395"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BYLAWS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w:t>
      </w:r>
      <w:r>
        <w:rPr>
          <w:rFonts w:ascii="Arial" w:cs="Arial" w:eastAsia="Arial" w:hAnsi="Arial"/>
          <w:sz w:val="20"/>
          <w:szCs w:val="20"/>
          <w:b w:val="1"/>
          <w:bCs w:val="1"/>
          <w:color w:val="auto"/>
        </w:rPr>
        <w:t>OMP</w:t>
      </w:r>
      <w:r>
        <w:rPr>
          <w:rFonts w:ascii="Arial" w:cs="Arial" w:eastAsia="Arial" w:hAnsi="Arial"/>
          <w:sz w:val="29"/>
          <w:szCs w:val="29"/>
          <w:b w:val="1"/>
          <w:bCs w:val="1"/>
          <w:color w:val="auto"/>
        </w:rPr>
        <w:t>X I</w:t>
      </w:r>
      <w:r>
        <w:rPr>
          <w:rFonts w:ascii="Arial" w:cs="Arial" w:eastAsia="Arial" w:hAnsi="Arial"/>
          <w:sz w:val="20"/>
          <w:szCs w:val="20"/>
          <w:b w:val="1"/>
          <w:bCs w:val="1"/>
          <w:color w:val="auto"/>
        </w:rPr>
        <w:t>NTERNATIONAL</w:t>
      </w:r>
      <w:r>
        <w:rPr>
          <w:rFonts w:ascii="Arial" w:cs="Arial" w:eastAsia="Arial" w:hAnsi="Arial"/>
          <w:sz w:val="29"/>
          <w:szCs w:val="29"/>
          <w:b w:val="1"/>
          <w:bCs w:val="1"/>
          <w:color w:val="auto"/>
        </w:rPr>
        <w:t xml:space="preserve"> I</w:t>
      </w:r>
      <w:r>
        <w:rPr>
          <w:rFonts w:ascii="Arial" w:cs="Arial" w:eastAsia="Arial" w:hAnsi="Arial"/>
          <w:sz w:val="20"/>
          <w:szCs w:val="20"/>
          <w:b w:val="1"/>
          <w:bCs w:val="1"/>
          <w:color w:val="auto"/>
        </w:rPr>
        <w:t>NC</w:t>
      </w:r>
      <w:r>
        <w:rPr>
          <w:rFonts w:ascii="Arial" w:cs="Arial" w:eastAsia="Arial" w:hAnsi="Arial"/>
          <w:sz w:val="29"/>
          <w:szCs w:val="29"/>
          <w:b w:val="1"/>
          <w:bCs w:val="1"/>
          <w:color w:val="auto"/>
        </w:rPr>
        <w: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March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REGISTERED AGENT AND OFFICES</w:t>
      </w:r>
    </w:p>
    <w:p>
      <w:pPr>
        <w:spacing w:after="0" w:line="207"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i w:val="1"/>
          <w:iCs w:val="1"/>
          <w:color w:val="auto"/>
        </w:rPr>
        <w:t>Registered Agent and Office</w:t>
      </w:r>
      <w:r>
        <w:rPr>
          <w:rFonts w:ascii="Arial" w:cs="Arial" w:eastAsia="Arial" w:hAnsi="Arial"/>
          <w:sz w:val="18"/>
          <w:szCs w:val="18"/>
          <w:color w:val="auto"/>
        </w:rPr>
        <w:t>. The registered agent and office of the corporation shall be such person or entity and located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place within the state of Delaware as the board of directors may from time to time determine.</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i w:val="1"/>
          <w:iCs w:val="1"/>
          <w:color w:val="auto"/>
        </w:rPr>
        <w:t>Other Offices.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may also have offices at such other places, both within and without the state of Delaware,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board of directors may from time to time determine or the business of the corporation may require.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20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b w:val="1"/>
          <w:bCs w:val="1"/>
          <w:color w:val="auto"/>
        </w:rPr>
        <w:t xml:space="preserve">Section 2.1. </w:t>
      </w:r>
      <w:r>
        <w:rPr>
          <w:rFonts w:ascii="Arial" w:cs="Arial" w:eastAsia="Arial" w:hAnsi="Arial"/>
          <w:sz w:val="17"/>
          <w:szCs w:val="17"/>
          <w:b w:val="1"/>
          <w:bCs w:val="1"/>
          <w:i w:val="1"/>
          <w:iCs w:val="1"/>
          <w:color w:val="auto"/>
        </w:rPr>
        <w:t>Place and Time of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All meetings of the stockholders shall be held on such date and at such time and place, within or</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the state of Delaware, as shall be determined, from time to time, by the board of directors or by means of remote communication at the discretion of the board of directors, as stated in the notice and call of the meeting or a duly executed waiver of notice thereof. The chairman of the board, the president, the chief executive officer, the board of directors or the holders of at least 15 percent of the shares of the corporation that would be entitled to vote at such a meeting may call special meetings of stockholders. If a special meeting is called by any person or persons other than the board of directors, the request shall be in writing, specifying the time of such meeting and the general nature of the business proposed to be transacted, and shall be delivered personally or sent by registered mail or by facsimile transmission to the chairman of the board, the president, the chief executive officer or the secretary of the corporation. Nothing contained in this Section shall be construed as limiting, fixing, or affecting the time when a meeting of stockholders called by action of the board of directors may be held.</w:t>
      </w:r>
    </w:p>
    <w:p>
      <w:pPr>
        <w:spacing w:after="0" w:line="173"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b w:val="1"/>
          <w:bCs w:val="1"/>
          <w:color w:val="auto"/>
        </w:rPr>
        <w:t xml:space="preserve">Section 2.2. </w:t>
      </w:r>
      <w:r>
        <w:rPr>
          <w:rFonts w:ascii="Arial" w:cs="Arial" w:eastAsia="Arial" w:hAnsi="Arial"/>
          <w:sz w:val="16"/>
          <w:szCs w:val="16"/>
          <w:b w:val="1"/>
          <w:bCs w:val="1"/>
          <w:i w:val="1"/>
          <w:iCs w:val="1"/>
          <w:color w:val="auto"/>
        </w:rPr>
        <w:t>Business to be Transacted at Meetings</w:t>
      </w:r>
      <w:r>
        <w:rPr>
          <w:rFonts w:ascii="Arial" w:cs="Arial" w:eastAsia="Arial" w:hAnsi="Arial"/>
          <w:sz w:val="16"/>
          <w:szCs w:val="16"/>
          <w:color w:val="auto"/>
        </w:rPr>
        <w:t>. At a meeting of the stockholders, only such business shall be conducted as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been properly brought before the meeting. To be properly brought before a special meeting, business must be specified in the notice of the meeting (or any supplement thereto). To be properly brought before an annual meeting, business must be </w:t>
      </w:r>
      <w:r>
        <w:rPr>
          <w:rFonts w:ascii="Arial" w:cs="Arial" w:eastAsia="Arial" w:hAnsi="Arial"/>
          <w:sz w:val="16"/>
          <w:szCs w:val="16"/>
          <w:b w:val="1"/>
          <w:bCs w:val="1"/>
          <w:color w:val="auto"/>
        </w:rPr>
        <w:t>(a)</w:t>
      </w:r>
      <w:r>
        <w:rPr>
          <w:rFonts w:ascii="Arial" w:cs="Arial" w:eastAsia="Arial" w:hAnsi="Arial"/>
          <w:sz w:val="16"/>
          <w:szCs w:val="16"/>
          <w:color w:val="auto"/>
        </w:rPr>
        <w:t xml:space="preserve"> specified in the notice of the meeting (or any supplement thereto) given by or at the direction of the board of directors, </w:t>
      </w:r>
      <w:r>
        <w:rPr>
          <w:rFonts w:ascii="Arial" w:cs="Arial" w:eastAsia="Arial" w:hAnsi="Arial"/>
          <w:sz w:val="16"/>
          <w:szCs w:val="16"/>
          <w:b w:val="1"/>
          <w:bCs w:val="1"/>
          <w:color w:val="auto"/>
        </w:rPr>
        <w:t>(b)</w:t>
      </w:r>
      <w:r>
        <w:rPr>
          <w:rFonts w:ascii="Arial" w:cs="Arial" w:eastAsia="Arial" w:hAnsi="Arial"/>
          <w:sz w:val="16"/>
          <w:szCs w:val="16"/>
          <w:color w:val="auto"/>
        </w:rPr>
        <w:t xml:space="preserve"> otherwise properly brought before the meeting by or at the direction of the board of directors or </w:t>
      </w:r>
      <w:r>
        <w:rPr>
          <w:rFonts w:ascii="Arial" w:cs="Arial" w:eastAsia="Arial" w:hAnsi="Arial"/>
          <w:sz w:val="16"/>
          <w:szCs w:val="16"/>
          <w:b w:val="1"/>
          <w:bCs w:val="1"/>
          <w:color w:val="auto"/>
        </w:rPr>
        <w:t>(c)</w:t>
      </w:r>
      <w:r>
        <w:rPr>
          <w:rFonts w:ascii="Arial" w:cs="Arial" w:eastAsia="Arial" w:hAnsi="Arial"/>
          <w:sz w:val="16"/>
          <w:szCs w:val="16"/>
          <w:color w:val="auto"/>
        </w:rPr>
        <w:t xml:space="preserve"> otherwise properly brought before the meeting by a stockholder. For business to be properly brought before an annual meeting by a stockholder, the stockholder must, in addition to any requirements imposed by federal securities law or other applicable laws, have given timely notice thereof in writing to the secretary of the corporation. To be timely for an annual meeting, a stockholder’s notice must be delivered to or mailed and received at the principal executive offices of the corporation, no later than </w:t>
      </w:r>
      <w:r>
        <w:rPr>
          <w:rFonts w:ascii="Arial" w:cs="Arial" w:eastAsia="Arial" w:hAnsi="Arial"/>
          <w:sz w:val="16"/>
          <w:szCs w:val="16"/>
          <w:b w:val="1"/>
          <w:bCs w:val="1"/>
          <w:color w:val="auto"/>
        </w:rPr>
        <w:t>(i)</w:t>
      </w:r>
      <w:r>
        <w:rPr>
          <w:rFonts w:ascii="Arial" w:cs="Arial" w:eastAsia="Arial" w:hAnsi="Arial"/>
          <w:sz w:val="16"/>
          <w:szCs w:val="16"/>
          <w:color w:val="auto"/>
        </w:rPr>
        <w:t xml:space="preserve"> if the corporation mailed notice of the last annual meeting or publicly disclosed the date of such meeting and the annual meeting for the current year has not changed more than thirty days from such date (as if in the current year), forty-five days before the earlier of the date (as if in the current year) of such mailing or public disclosure or </w:t>
      </w:r>
      <w:r>
        <w:rPr>
          <w:rFonts w:ascii="Arial" w:cs="Arial" w:eastAsia="Arial" w:hAnsi="Arial"/>
          <w:sz w:val="16"/>
          <w:szCs w:val="16"/>
          <w:b w:val="1"/>
          <w:bCs w:val="1"/>
          <w:color w:val="auto"/>
        </w:rPr>
        <w:t>(ii)</w:t>
      </w:r>
      <w:r>
        <w:rPr>
          <w:rFonts w:ascii="Arial" w:cs="Arial" w:eastAsia="Arial" w:hAnsi="Arial"/>
          <w:sz w:val="16"/>
          <w:szCs w:val="16"/>
          <w:color w:val="auto"/>
        </w:rPr>
        <w:t xml:space="preserve"> otherwise ninety days prior to the annual meeting. A stockholder’s notice to the secretary with regard to an annual meeting shall set forth as to each order of business that the stockholder proposes to bring before the meeting </w:t>
      </w:r>
      <w:r>
        <w:rPr>
          <w:rFonts w:ascii="Arial" w:cs="Arial" w:eastAsia="Arial" w:hAnsi="Arial"/>
          <w:sz w:val="16"/>
          <w:szCs w:val="16"/>
          <w:b w:val="1"/>
          <w:bCs w:val="1"/>
          <w:color w:val="auto"/>
        </w:rPr>
        <w:t>(a)</w:t>
      </w:r>
      <w:r>
        <w:rPr>
          <w:rFonts w:ascii="Arial" w:cs="Arial" w:eastAsia="Arial" w:hAnsi="Arial"/>
          <w:sz w:val="16"/>
          <w:szCs w:val="16"/>
          <w:color w:val="auto"/>
        </w:rPr>
        <w:t xml:space="preserve"> a brief description of such business desired to be brought before the meeting and the reasons for conducting such business at the annual meeting, </w:t>
      </w:r>
      <w:r>
        <w:rPr>
          <w:rFonts w:ascii="Arial" w:cs="Arial" w:eastAsia="Arial" w:hAnsi="Arial"/>
          <w:sz w:val="16"/>
          <w:szCs w:val="16"/>
          <w:b w:val="1"/>
          <w:bCs w:val="1"/>
          <w:color w:val="auto"/>
        </w:rPr>
        <w:t>(b)</w:t>
      </w:r>
      <w:r>
        <w:rPr>
          <w:rFonts w:ascii="Arial" w:cs="Arial" w:eastAsia="Arial" w:hAnsi="Arial"/>
          <w:sz w:val="16"/>
          <w:szCs w:val="16"/>
          <w:color w:val="auto"/>
        </w:rPr>
        <w:t xml:space="preserve"> the name and address, as they appear on the corporation’s books, of the stockholder proposing such business, </w:t>
      </w:r>
      <w:r>
        <w:rPr>
          <w:rFonts w:ascii="Arial" w:cs="Arial" w:eastAsia="Arial" w:hAnsi="Arial"/>
          <w:sz w:val="16"/>
          <w:szCs w:val="16"/>
          <w:b w:val="1"/>
          <w:bCs w:val="1"/>
          <w:color w:val="auto"/>
        </w:rPr>
        <w:t>(c)</w:t>
      </w:r>
      <w:r>
        <w:rPr>
          <w:rFonts w:ascii="Arial" w:cs="Arial" w:eastAsia="Arial" w:hAnsi="Arial"/>
          <w:sz w:val="16"/>
          <w:szCs w:val="16"/>
          <w:color w:val="auto"/>
        </w:rPr>
        <w:t xml:space="preserve"> the class and number of shares of the corporation that are beneficially owned by the stockholder and </w:t>
      </w:r>
      <w:r>
        <w:rPr>
          <w:rFonts w:ascii="Arial" w:cs="Arial" w:eastAsia="Arial" w:hAnsi="Arial"/>
          <w:sz w:val="16"/>
          <w:szCs w:val="16"/>
          <w:b w:val="1"/>
          <w:bCs w:val="1"/>
          <w:color w:val="auto"/>
        </w:rPr>
        <w:t>(d)</w:t>
      </w:r>
      <w:r>
        <w:rPr>
          <w:rFonts w:ascii="Arial" w:cs="Arial" w:eastAsia="Arial" w:hAnsi="Arial"/>
          <w:sz w:val="16"/>
          <w:szCs w:val="16"/>
          <w:color w:val="auto"/>
        </w:rPr>
        <w:t xml:space="preserve"> any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of the stockholder in such business. The chairman of the meeting may refuse to bring before a meeting any business not properly brought before the meeting in compliance with this section.</w:t>
      </w:r>
    </w:p>
    <w:p>
      <w:pPr>
        <w:spacing w:after="0" w:line="166" w:lineRule="exact"/>
        <w:rPr>
          <w:sz w:val="20"/>
          <w:szCs w:val="20"/>
          <w:color w:val="auto"/>
        </w:rPr>
      </w:pPr>
    </w:p>
    <w:p>
      <w:pPr>
        <w:jc w:val="both"/>
        <w:ind w:firstLine="864"/>
        <w:spacing w:after="0" w:line="329" w:lineRule="auto"/>
        <w:rPr>
          <w:sz w:val="20"/>
          <w:szCs w:val="20"/>
          <w:color w:val="auto"/>
        </w:rPr>
      </w:pPr>
      <w:r>
        <w:rPr>
          <w:rFonts w:ascii="Arial" w:cs="Arial" w:eastAsia="Arial" w:hAnsi="Arial"/>
          <w:sz w:val="15"/>
          <w:szCs w:val="15"/>
          <w:b w:val="1"/>
          <w:bCs w:val="1"/>
          <w:color w:val="auto"/>
        </w:rPr>
        <w:t xml:space="preserve">Section 2.3. </w:t>
      </w:r>
      <w:r>
        <w:rPr>
          <w:rFonts w:ascii="Arial" w:cs="Arial" w:eastAsia="Arial" w:hAnsi="Arial"/>
          <w:sz w:val="15"/>
          <w:szCs w:val="15"/>
          <w:b w:val="1"/>
          <w:bCs w:val="1"/>
          <w:i w:val="1"/>
          <w:iCs w:val="1"/>
          <w:color w:val="auto"/>
        </w:rPr>
        <w:t>Notice.</w:t>
      </w:r>
      <w:r>
        <w:rPr>
          <w:rFonts w:ascii="Arial" w:cs="Arial" w:eastAsia="Arial" w:hAnsi="Arial"/>
          <w:sz w:val="15"/>
          <w:szCs w:val="15"/>
          <w:b w:val="1"/>
          <w:bCs w:val="1"/>
          <w:color w:val="auto"/>
        </w:rPr>
        <w:t xml:space="preserve"> </w:t>
      </w:r>
      <w:r>
        <w:rPr>
          <w:rFonts w:ascii="Arial" w:cs="Arial" w:eastAsia="Arial" w:hAnsi="Arial"/>
          <w:sz w:val="15"/>
          <w:szCs w:val="15"/>
          <w:color w:val="auto"/>
        </w:rPr>
        <w:t>Notice of the time, place and means of remote communication of an annual meeting of stockholders and notice of the time,</w:t>
      </w:r>
      <w:r>
        <w:rPr>
          <w:rFonts w:ascii="Arial" w:cs="Arial" w:eastAsia="Arial" w:hAnsi="Arial"/>
          <w:sz w:val="15"/>
          <w:szCs w:val="15"/>
          <w:b w:val="1"/>
          <w:bCs w:val="1"/>
          <w:color w:val="auto"/>
        </w:rPr>
        <w:t xml:space="preserve"> </w:t>
      </w:r>
      <w:r>
        <w:rPr>
          <w:rFonts w:ascii="Arial" w:cs="Arial" w:eastAsia="Arial" w:hAnsi="Arial"/>
          <w:sz w:val="15"/>
          <w:szCs w:val="15"/>
          <w:color w:val="auto"/>
        </w:rPr>
        <w:t>place, means of remote communication and purpose or purposes of a special meeting of the stockholders shall be given not less than 10, nor more than 60, days prior to the meeting to each stockholder of record of the corporation entitled to vote at such meeting. If mailed, such notice shall be deemed to be delivered when deposited in the United States mail, postage paid, addressed to the stockholder’s address appearing on the corporate books of the corporation.</w:t>
      </w:r>
    </w:p>
    <w:p>
      <w:pPr>
        <w:spacing w:after="0" w:line="134"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i w:val="1"/>
          <w:iCs w:val="1"/>
          <w:color w:val="auto"/>
        </w:rPr>
        <w:t>Notice by Electronic Transmission.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limiting the manner by which notice otherwise may be given effectively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stockholders, any notice to stockholders given by the corporation under any applicable law, the certificate of incorporation or these bylaws shall be effective if given by a form of electronic transmission consented to by the stockholder to whom the notice is given. Any such consent shall be revocable by the stockholder by written notice to the corporation. Notice by electronic transmission shall be deemed given: </w:t>
      </w:r>
      <w:r>
        <w:rPr>
          <w:rFonts w:ascii="Arial" w:cs="Arial" w:eastAsia="Arial" w:hAnsi="Arial"/>
          <w:sz w:val="18"/>
          <w:szCs w:val="18"/>
          <w:b w:val="1"/>
          <w:bCs w:val="1"/>
          <w:color w:val="auto"/>
        </w:rPr>
        <w:t>(a)</w:t>
      </w:r>
      <w:r>
        <w:rPr>
          <w:rFonts w:ascii="Arial" w:cs="Arial" w:eastAsia="Arial" w:hAnsi="Arial"/>
          <w:sz w:val="18"/>
          <w:szCs w:val="18"/>
          <w:color w:val="auto"/>
        </w:rPr>
        <w:t xml:space="preserve"> if by facsimile telecommunication, when directed to a number at which the stockholder has consented to receive notice; </w:t>
      </w:r>
      <w:r>
        <w:rPr>
          <w:rFonts w:ascii="Arial" w:cs="Arial" w:eastAsia="Arial" w:hAnsi="Arial"/>
          <w:sz w:val="18"/>
          <w:szCs w:val="18"/>
          <w:b w:val="1"/>
          <w:bCs w:val="1"/>
          <w:color w:val="auto"/>
        </w:rPr>
        <w:t>(b)</w:t>
      </w:r>
      <w:r>
        <w:rPr>
          <w:rFonts w:ascii="Arial" w:cs="Arial" w:eastAsia="Arial" w:hAnsi="Arial"/>
          <w:sz w:val="18"/>
          <w:szCs w:val="18"/>
          <w:color w:val="auto"/>
        </w:rPr>
        <w:t xml:space="preserve"> if by electronic mail, when directed to an electronic mail address at which the stockholder has consented to receive notice; </w:t>
      </w:r>
      <w:r>
        <w:rPr>
          <w:rFonts w:ascii="Arial" w:cs="Arial" w:eastAsia="Arial" w:hAnsi="Arial"/>
          <w:sz w:val="18"/>
          <w:szCs w:val="18"/>
          <w:b w:val="1"/>
          <w:bCs w:val="1"/>
          <w:color w:val="auto"/>
        </w:rPr>
        <w:t>(c)</w:t>
      </w:r>
      <w:r>
        <w:rPr>
          <w:rFonts w:ascii="Arial" w:cs="Arial" w:eastAsia="Arial" w:hAnsi="Arial"/>
          <w:sz w:val="18"/>
          <w:szCs w:val="18"/>
          <w:color w:val="auto"/>
        </w:rPr>
        <w:t xml:space="preserve"> if by a posting on an electronic network together with separate notice to the stockholder of such specific posting, upon the later of </w:t>
      </w:r>
      <w:r>
        <w:rPr>
          <w:rFonts w:ascii="Arial" w:cs="Arial" w:eastAsia="Arial" w:hAnsi="Arial"/>
          <w:sz w:val="18"/>
          <w:szCs w:val="18"/>
          <w:b w:val="1"/>
          <w:bCs w:val="1"/>
          <w:color w:val="auto"/>
        </w:rPr>
        <w:t>(i)</w:t>
      </w:r>
      <w:r>
        <w:rPr>
          <w:rFonts w:ascii="Arial" w:cs="Arial" w:eastAsia="Arial" w:hAnsi="Arial"/>
          <w:sz w:val="18"/>
          <w:szCs w:val="18"/>
          <w:color w:val="auto"/>
        </w:rPr>
        <w:t xml:space="preserve"> such posting and </w:t>
      </w:r>
      <w:r>
        <w:rPr>
          <w:rFonts w:ascii="Arial" w:cs="Arial" w:eastAsia="Arial" w:hAnsi="Arial"/>
          <w:sz w:val="18"/>
          <w:szCs w:val="18"/>
          <w:b w:val="1"/>
          <w:bCs w:val="1"/>
          <w:color w:val="auto"/>
        </w:rPr>
        <w:t>(ii)</w:t>
      </w:r>
      <w:r>
        <w:rPr>
          <w:rFonts w:ascii="Arial" w:cs="Arial" w:eastAsia="Arial" w:hAnsi="Arial"/>
          <w:sz w:val="18"/>
          <w:szCs w:val="18"/>
          <w:color w:val="auto"/>
        </w:rPr>
        <w:t xml:space="preserve"> the giving of such separate notice; and </w:t>
      </w:r>
      <w:r>
        <w:rPr>
          <w:rFonts w:ascii="Arial" w:cs="Arial" w:eastAsia="Arial" w:hAnsi="Arial"/>
          <w:sz w:val="18"/>
          <w:szCs w:val="18"/>
          <w:b w:val="1"/>
          <w:bCs w:val="1"/>
          <w:color w:val="auto"/>
        </w:rPr>
        <w:t>(d)</w:t>
      </w:r>
      <w:r>
        <w:rPr>
          <w:rFonts w:ascii="Arial" w:cs="Arial" w:eastAsia="Arial" w:hAnsi="Arial"/>
          <w:sz w:val="18"/>
          <w:szCs w:val="18"/>
          <w:color w:val="auto"/>
        </w:rPr>
        <w:t xml:space="preserve"> if by any other form of electronic transmission, when directed to the stockholder.</w:t>
      </w:r>
    </w:p>
    <w:p>
      <w:pPr>
        <w:spacing w:after="0" w:line="19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i w:val="1"/>
          <w:iCs w:val="1"/>
          <w:color w:val="auto"/>
        </w:rPr>
        <w:t>List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The officer or agent having charge of the stock transfer books of the corporation shall make, at least 10 days</w:t>
      </w:r>
      <w:r>
        <w:rPr>
          <w:rFonts w:ascii="Arial" w:cs="Arial" w:eastAsia="Arial" w:hAnsi="Arial"/>
          <w:sz w:val="16"/>
          <w:szCs w:val="16"/>
          <w:b w:val="1"/>
          <w:bCs w:val="1"/>
          <w:color w:val="auto"/>
        </w:rPr>
        <w:t xml:space="preserve"> </w:t>
      </w:r>
      <w:r>
        <w:rPr>
          <w:rFonts w:ascii="Arial" w:cs="Arial" w:eastAsia="Arial" w:hAnsi="Arial"/>
          <w:sz w:val="16"/>
          <w:szCs w:val="16"/>
          <w:color w:val="auto"/>
        </w:rPr>
        <w:t>before every meeting of the stockholders, a complete list of the stockholders entitled to vote at such meeting arranged in alphabetical order, specifying the address of and the number of shares registered in the name of each stockholder. Such list shall be open to the examination of any stockholder, for any purpose germane to the meeting for a period of at least 10 days prior to the meeting on a reasonably accessible electronic network or, during ordinary business hours, at the principal place of business of the corporation. The list shall also be produced and kept at the time and place of the meeting during the whole time thereof and may be inspected by any stockholder who is present. If the meeting of stockholders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The original stock transfer books shall be the only evidence as to who are the stockholders entitled to examine such list or transfer book or to vote at any such meeting of stockholders.</w:t>
      </w:r>
    </w:p>
    <w:p>
      <w:pPr>
        <w:spacing w:after="0" w:line="166" w:lineRule="exact"/>
        <w:rPr>
          <w:sz w:val="20"/>
          <w:szCs w:val="20"/>
          <w:color w:val="auto"/>
        </w:rPr>
      </w:pPr>
    </w:p>
    <w:p>
      <w:pPr>
        <w:jc w:val="both"/>
        <w:ind w:firstLine="864"/>
        <w:spacing w:after="0" w:line="310" w:lineRule="auto"/>
        <w:rPr>
          <w:sz w:val="20"/>
          <w:szCs w:val="20"/>
          <w:color w:val="auto"/>
        </w:rPr>
      </w:pPr>
      <w:r>
        <w:rPr>
          <w:rFonts w:ascii="Arial" w:cs="Arial" w:eastAsia="Arial" w:hAnsi="Arial"/>
          <w:sz w:val="15"/>
          <w:szCs w:val="15"/>
          <w:b w:val="1"/>
          <w:bCs w:val="1"/>
          <w:color w:val="auto"/>
        </w:rPr>
        <w:t xml:space="preserve">Section 2.6. </w:t>
      </w:r>
      <w:r>
        <w:rPr>
          <w:rFonts w:ascii="Arial" w:cs="Arial" w:eastAsia="Arial" w:hAnsi="Arial"/>
          <w:sz w:val="15"/>
          <w:szCs w:val="15"/>
          <w:b w:val="1"/>
          <w:bCs w:val="1"/>
          <w:i w:val="1"/>
          <w:iCs w:val="1"/>
          <w:color w:val="auto"/>
        </w:rPr>
        <w:t>Quorum.</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holders of a majority of the votes entitled to be cast at any meeting of stockholders, counted as a single class if there be</w:t>
      </w:r>
      <w:r>
        <w:rPr>
          <w:rFonts w:ascii="Arial" w:cs="Arial" w:eastAsia="Arial" w:hAnsi="Arial"/>
          <w:sz w:val="15"/>
          <w:szCs w:val="15"/>
          <w:b w:val="1"/>
          <w:bCs w:val="1"/>
          <w:color w:val="auto"/>
        </w:rPr>
        <w:t xml:space="preserve"> </w:t>
      </w:r>
      <w:r>
        <w:rPr>
          <w:rFonts w:ascii="Arial" w:cs="Arial" w:eastAsia="Arial" w:hAnsi="Arial"/>
          <w:sz w:val="15"/>
          <w:szCs w:val="15"/>
          <w:color w:val="auto"/>
        </w:rPr>
        <w:t>more than one class of stock entitled to vote at such meeting, present in person or represented by proxy, shall constitute a quorum at all meetings of the stockholders except as otherwise provided by statute or by the certificate of incorporation. Once a quorum is present at a meeting of the stockholders, the stockholders represented in person or by proxy at the meeting may conduct such business as may be properly brought before the meeting until it is adjourned, and the subsequent withdrawal from the meeting by any stockholder or the refusal of any stockholder represented in person or by proxy to vote shall not affect the presence of a quorum at the meeting. If a quorum is not present, the chairman of the meeting or the holders of the shares present in person or represented by proxy at the meeting, and entitled to vote thereat, shall have the power, by the affirmative vote of the holders of a majority of such shares, to adjourn the meeting to another time and/or place. Unless the adjournment is for more than thirty days or unless a new record date is set for the adjourned meeting, no notice of the adjourned meeting need be given to any stockholder provided that the time and place of the adjourned meeting were announced at the meeting at which the adjournment was taken. At the adjourned meeting the corporation may transact any business that might have been transacted at the original meeting.</w:t>
      </w:r>
    </w:p>
    <w:p>
      <w:pPr>
        <w:spacing w:after="0" w:line="148"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i w:val="1"/>
          <w:iCs w:val="1"/>
          <w:color w:val="auto"/>
        </w:rPr>
        <w:t>Proxies.</w:t>
      </w:r>
      <w:r>
        <w:rPr>
          <w:rFonts w:ascii="Arial" w:cs="Arial" w:eastAsia="Arial" w:hAnsi="Arial"/>
          <w:sz w:val="18"/>
          <w:szCs w:val="18"/>
          <w:b w:val="1"/>
          <w:bCs w:val="1"/>
          <w:color w:val="auto"/>
        </w:rPr>
        <w:t xml:space="preserve"> </w:t>
      </w:r>
      <w:r>
        <w:rPr>
          <w:rFonts w:ascii="Arial" w:cs="Arial" w:eastAsia="Arial" w:hAnsi="Arial"/>
          <w:sz w:val="18"/>
          <w:szCs w:val="18"/>
          <w:color w:val="auto"/>
        </w:rPr>
        <w:t>Each stockholder entitled to vote at a meeting of stockholders or to express consent or dissent to corporate action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a meeting may authorize another person or persons to act for him by proxy. A telegram, telex, cablegram or reliable electronic transmission executed or duly authorized by the stockholder, or a photographic, photostatic, facsimile or reliable reproduction of a writing executed or duly authorized by the stockholder shall be treated as an execution in writing for purposes of this section. No proxy shall be valid after three years from the date of its execution unless otherwise provided in the proxy. Each proxy shall be revocable unless the proxy form conspicuously states that the proxy is irrevocable and the proxy is coupled with an interest.</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w:t>
      </w:r>
      <w:r>
        <w:rPr>
          <w:rFonts w:ascii="Arial" w:cs="Arial" w:eastAsia="Arial" w:hAnsi="Arial"/>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jc w:val="both"/>
        <w:ind w:right="20" w:firstLine="864"/>
        <w:spacing w:after="0" w:line="292" w:lineRule="auto"/>
        <w:rPr>
          <w:sz w:val="20"/>
          <w:szCs w:val="20"/>
          <w:color w:val="auto"/>
        </w:rPr>
      </w:pPr>
      <w:r>
        <w:rPr>
          <w:rFonts w:ascii="Arial" w:cs="Arial" w:eastAsia="Arial" w:hAnsi="Arial"/>
          <w:sz w:val="16"/>
          <w:szCs w:val="16"/>
          <w:b w:val="1"/>
          <w:bCs w:val="1"/>
          <w:color w:val="auto"/>
        </w:rPr>
        <w:t xml:space="preserve">Section 2.8. </w:t>
      </w:r>
      <w:r>
        <w:rPr>
          <w:rFonts w:ascii="Arial" w:cs="Arial" w:eastAsia="Arial" w:hAnsi="Arial"/>
          <w:sz w:val="16"/>
          <w:szCs w:val="16"/>
          <w:b w:val="1"/>
          <w:bCs w:val="1"/>
          <w:i w:val="1"/>
          <w:iCs w:val="1"/>
          <w:color w:val="auto"/>
        </w:rPr>
        <w:t>Order of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The order of business at each such stockholders meeting shall be as determined by the chairman of the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One of the following persons, in the order in which they are listed (and in the absence of the first, the next, and so on), shall serve as chairman of the meeting: the chairman of the board, vice chairman of the board, president, the chief executive officer, vice presidents (in the order of their seniority if more than one) and secretary. The chairman of the meeting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corporation, restrictions on entry to such meeting after the time prescribed for the commencement thereof, and the opening and closing of the voting polls.</w:t>
      </w:r>
    </w:p>
    <w:p>
      <w:pPr>
        <w:spacing w:after="0" w:line="161" w:lineRule="exact"/>
        <w:rPr>
          <w:sz w:val="20"/>
          <w:szCs w:val="20"/>
          <w:color w:val="auto"/>
        </w:rPr>
      </w:pPr>
    </w:p>
    <w:p>
      <w:pPr>
        <w:jc w:val="both"/>
        <w:ind w:right="20" w:firstLine="864"/>
        <w:spacing w:after="0" w:line="294"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i w:val="1"/>
          <w:iCs w:val="1"/>
          <w:color w:val="auto"/>
        </w:rPr>
        <w:t>Appointment of Inspectors of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shall appoint one or more inspectors of election (“inspectors”) to act</w:t>
      </w:r>
      <w:r>
        <w:rPr>
          <w:rFonts w:ascii="Arial" w:cs="Arial" w:eastAsia="Arial" w:hAnsi="Arial"/>
          <w:sz w:val="16"/>
          <w:szCs w:val="16"/>
          <w:b w:val="1"/>
          <w:bCs w:val="1"/>
          <w:color w:val="auto"/>
        </w:rPr>
        <w:t xml:space="preserve"> </w:t>
      </w:r>
      <w:r>
        <w:rPr>
          <w:rFonts w:ascii="Arial" w:cs="Arial" w:eastAsia="Arial" w:hAnsi="Arial"/>
          <w:sz w:val="16"/>
          <w:szCs w:val="16"/>
          <w:color w:val="auto"/>
        </w:rPr>
        <w:t>at such meeting or any adjournment or postponement thereof and make a written report thereof. The board of directors may designate one or more persons as alternate inspectors to replace any inspector who fails to act. If no inspector or alternate is so appointed or if no inspector or alternate is able to act, the chairman of the board, the vice chairman of the board, the president or the chief executive officer shall appoint one or more inspectors to act at such meeting. Each inspector, before entering upon the discharge of his or her duties, shall take and sign an oath faithfully to execute the duties of inspector with strict impartiality and according to the best of his or her ability. The inspectors may be directors, officers or employees of the corporation.</w:t>
      </w:r>
    </w:p>
    <w:p>
      <w:pPr>
        <w:spacing w:after="0" w:line="160" w:lineRule="exact"/>
        <w:rPr>
          <w:sz w:val="20"/>
          <w:szCs w:val="20"/>
          <w:color w:val="auto"/>
        </w:rPr>
      </w:pPr>
    </w:p>
    <w:p>
      <w:pPr>
        <w:jc w:val="both"/>
        <w:ind w:right="20" w:firstLine="864"/>
        <w:spacing w:after="0" w:line="258"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b w:val="1"/>
          <w:bCs w:val="1"/>
          <w:i w:val="1"/>
          <w:iCs w:val="1"/>
          <w:color w:val="auto"/>
        </w:rPr>
        <w:t>Confidential Voting.</w:t>
      </w:r>
      <w:r>
        <w:rPr>
          <w:rFonts w:ascii="Arial" w:cs="Arial" w:eastAsia="Arial" w:hAnsi="Arial"/>
          <w:sz w:val="18"/>
          <w:szCs w:val="18"/>
          <w:b w:val="1"/>
          <w:bCs w:val="1"/>
          <w:color w:val="auto"/>
        </w:rPr>
        <w:t xml:space="preserve"> </w:t>
      </w:r>
      <w:r>
        <w:rPr>
          <w:rFonts w:ascii="Arial" w:cs="Arial" w:eastAsia="Arial" w:hAnsi="Arial"/>
          <w:sz w:val="18"/>
          <w:szCs w:val="18"/>
          <w:color w:val="auto"/>
        </w:rPr>
        <w:t>All proxies, ballots and vote tabulations that identify the particular vote of a stockholder shall be kept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confidential, except that disclosure may be made </w:t>
      </w:r>
      <w:r>
        <w:rPr>
          <w:rFonts w:ascii="Arial" w:cs="Arial" w:eastAsia="Arial" w:hAnsi="Arial"/>
          <w:sz w:val="18"/>
          <w:szCs w:val="18"/>
          <w:b w:val="1"/>
          <w:bCs w:val="1"/>
          <w:color w:val="auto"/>
        </w:rPr>
        <w:t>(a)</w:t>
      </w:r>
      <w:r>
        <w:rPr>
          <w:rFonts w:ascii="Arial" w:cs="Arial" w:eastAsia="Arial" w:hAnsi="Arial"/>
          <w:sz w:val="18"/>
          <w:szCs w:val="18"/>
          <w:color w:val="auto"/>
        </w:rPr>
        <w:t xml:space="preserve"> to allow the inspectors to certify the results of the vote; </w:t>
      </w:r>
      <w:r>
        <w:rPr>
          <w:rFonts w:ascii="Arial" w:cs="Arial" w:eastAsia="Arial" w:hAnsi="Arial"/>
          <w:sz w:val="18"/>
          <w:szCs w:val="18"/>
          <w:b w:val="1"/>
          <w:bCs w:val="1"/>
          <w:color w:val="auto"/>
        </w:rPr>
        <w:t>(b)</w:t>
      </w:r>
      <w:r>
        <w:rPr>
          <w:rFonts w:ascii="Arial" w:cs="Arial" w:eastAsia="Arial" w:hAnsi="Arial"/>
          <w:sz w:val="18"/>
          <w:szCs w:val="18"/>
          <w:color w:val="auto"/>
        </w:rPr>
        <w:t xml:space="preserve"> as necessary to meet applicable legal requirements, including the pursuit or defense of judicial actions; or </w:t>
      </w:r>
      <w:r>
        <w:rPr>
          <w:rFonts w:ascii="Arial" w:cs="Arial" w:eastAsia="Arial" w:hAnsi="Arial"/>
          <w:sz w:val="18"/>
          <w:szCs w:val="18"/>
          <w:b w:val="1"/>
          <w:bCs w:val="1"/>
          <w:color w:val="auto"/>
        </w:rPr>
        <w:t>(c)</w:t>
      </w:r>
      <w:r>
        <w:rPr>
          <w:rFonts w:ascii="Arial" w:cs="Arial" w:eastAsia="Arial" w:hAnsi="Arial"/>
          <w:sz w:val="18"/>
          <w:szCs w:val="18"/>
          <w:color w:val="auto"/>
        </w:rPr>
        <w:t xml:space="preserve"> when expressly requested by such stockholder. Nothing in this section shall prohibit the inspector from making available to the corporation, during the period prior to any annual or special meeting, information as to which stockholders have not voted and periodic status reports on the aggregate vote.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i w:val="1"/>
                <w:iCs w:val="1"/>
                <w:color w:val="auto"/>
              </w:rPr>
              <w:t>Action Without a Meeting.</w:t>
            </w:r>
          </w:p>
        </w:tc>
      </w:tr>
      <w:tr>
        <w:trPr>
          <w:trHeight w:val="418"/>
        </w:trPr>
        <w:tc>
          <w:tcPr>
            <w:tcW w:w="580" w:type="dxa"/>
            <w:vAlign w:val="bottom"/>
          </w:tcPr>
          <w:p>
            <w:pPr>
              <w:ind w:left="80"/>
              <w:spacing w:after="0"/>
              <w:rPr>
                <w:sz w:val="20"/>
                <w:szCs w:val="20"/>
                <w:color w:val="auto"/>
              </w:rPr>
            </w:pPr>
            <w:r>
              <w:rPr>
                <w:rFonts w:ascii="Arial" w:cs="Arial" w:eastAsia="Arial" w:hAnsi="Arial"/>
                <w:sz w:val="18"/>
                <w:szCs w:val="18"/>
                <w:b w:val="1"/>
                <w:bCs w:val="1"/>
                <w:color w:val="auto"/>
              </w:rPr>
              <w:t>(a)</w:t>
            </w:r>
          </w:p>
        </w:tc>
        <w:tc>
          <w:tcPr>
            <w:tcW w:w="10680" w:type="dxa"/>
            <w:vAlign w:val="bottom"/>
          </w:tcPr>
          <w:p>
            <w:pPr>
              <w:ind w:left="1080"/>
              <w:spacing w:after="0"/>
              <w:rPr>
                <w:sz w:val="20"/>
                <w:szCs w:val="20"/>
                <w:color w:val="auto"/>
              </w:rPr>
            </w:pPr>
            <w:r>
              <w:rPr>
                <w:rFonts w:ascii="Arial" w:cs="Arial" w:eastAsia="Arial" w:hAnsi="Arial"/>
                <w:sz w:val="18"/>
                <w:szCs w:val="18"/>
                <w:color w:val="auto"/>
                <w:w w:val="92"/>
              </w:rPr>
              <w:t>Any action to be taken at a meeting of the stockholders, may be taken without a meeting, without prior notice, and without a vote, if</w:t>
            </w:r>
          </w:p>
        </w:tc>
      </w:tr>
      <w:tr>
        <w:trPr>
          <w:trHeight w:val="216"/>
        </w:trPr>
        <w:tc>
          <w:tcPr>
            <w:tcW w:w="58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93"/>
              </w:rPr>
              <w:t>a consent or consents in writing, setting forth the action so taken, shall be signed by the holder or holders of shares having not less than the</w:t>
            </w:r>
          </w:p>
        </w:tc>
      </w:tr>
      <w:tr>
        <w:trPr>
          <w:trHeight w:val="216"/>
        </w:trPr>
        <w:tc>
          <w:tcPr>
            <w:tcW w:w="58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93"/>
              </w:rPr>
              <w:t>minimum number of votes that would be necessary to take such action at a meeting at which the holders of all shares entitled to vote on the</w:t>
            </w:r>
          </w:p>
        </w:tc>
      </w:tr>
      <w:tr>
        <w:trPr>
          <w:trHeight w:val="230"/>
        </w:trPr>
        <w:tc>
          <w:tcPr>
            <w:tcW w:w="58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action were present and voted.</w:t>
            </w:r>
          </w:p>
        </w:tc>
      </w:tr>
      <w:tr>
        <w:trPr>
          <w:trHeight w:val="418"/>
        </w:trPr>
        <w:tc>
          <w:tcPr>
            <w:tcW w:w="580" w:type="dxa"/>
            <w:vAlign w:val="bottom"/>
          </w:tcPr>
          <w:p>
            <w:pPr>
              <w:ind w:left="80"/>
              <w:spacing w:after="0"/>
              <w:rPr>
                <w:sz w:val="20"/>
                <w:szCs w:val="20"/>
                <w:color w:val="auto"/>
              </w:rPr>
            </w:pPr>
            <w:r>
              <w:rPr>
                <w:rFonts w:ascii="Arial" w:cs="Arial" w:eastAsia="Arial" w:hAnsi="Arial"/>
                <w:sz w:val="18"/>
                <w:szCs w:val="18"/>
                <w:b w:val="1"/>
                <w:bCs w:val="1"/>
                <w:color w:val="auto"/>
              </w:rPr>
              <w:t>(b)</w:t>
            </w:r>
          </w:p>
        </w:tc>
        <w:tc>
          <w:tcPr>
            <w:tcW w:w="10680" w:type="dxa"/>
            <w:vAlign w:val="bottom"/>
          </w:tcPr>
          <w:p>
            <w:pPr>
              <w:ind w:left="1080"/>
              <w:spacing w:after="0"/>
              <w:rPr>
                <w:sz w:val="20"/>
                <w:szCs w:val="20"/>
                <w:color w:val="auto"/>
              </w:rPr>
            </w:pPr>
            <w:r>
              <w:rPr>
                <w:rFonts w:ascii="Arial" w:cs="Arial" w:eastAsia="Arial" w:hAnsi="Arial"/>
                <w:sz w:val="18"/>
                <w:szCs w:val="18"/>
                <w:color w:val="auto"/>
                <w:w w:val="93"/>
              </w:rPr>
              <w:t>Every written consent of the stockholders shall bear the date of signature of each stockholder who signs the consent.  No written</w:t>
            </w:r>
          </w:p>
        </w:tc>
      </w:tr>
      <w:tr>
        <w:trPr>
          <w:trHeight w:val="216"/>
        </w:trPr>
        <w:tc>
          <w:tcPr>
            <w:tcW w:w="58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91"/>
              </w:rPr>
              <w:t>consent shall be effective to take the action that is the subject of the consent unless, within 60 days after the date of the earliest dated consent</w:t>
            </w:r>
          </w:p>
        </w:tc>
      </w:tr>
      <w:tr>
        <w:trPr>
          <w:trHeight w:val="216"/>
        </w:trPr>
        <w:tc>
          <w:tcPr>
            <w:tcW w:w="58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96"/>
              </w:rPr>
              <w:t>delivered to the corporation as provided below, a consent or consents signed by the holder or holders of shares having not less than the</w:t>
            </w:r>
          </w:p>
        </w:tc>
      </w:tr>
      <w:tr>
        <w:trPr>
          <w:trHeight w:val="216"/>
        </w:trPr>
        <w:tc>
          <w:tcPr>
            <w:tcW w:w="58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95"/>
              </w:rPr>
              <w:t>minimum number of votes that would be necessary to take the action that is the subject of the consent are delivered to the corporation by</w:t>
            </w:r>
          </w:p>
        </w:tc>
      </w:tr>
      <w:tr>
        <w:trPr>
          <w:trHeight w:val="216"/>
        </w:trPr>
        <w:tc>
          <w:tcPr>
            <w:tcW w:w="58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94"/>
              </w:rPr>
              <w:t>delivery to its registered office, its principal place of business, or an officer or agent of the corporation having custody of the books in which</w:t>
            </w:r>
          </w:p>
        </w:tc>
      </w:tr>
      <w:tr>
        <w:trPr>
          <w:trHeight w:val="216"/>
        </w:trPr>
        <w:tc>
          <w:tcPr>
            <w:tcW w:w="58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91"/>
              </w:rPr>
              <w:t>proceedings of meetings of the stockholders are recorded. Such delivery shall be made by hand or by certified or registered mail, return receipt</w:t>
            </w:r>
          </w:p>
        </w:tc>
      </w:tr>
      <w:tr>
        <w:trPr>
          <w:trHeight w:val="216"/>
        </w:trPr>
        <w:tc>
          <w:tcPr>
            <w:tcW w:w="58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93"/>
              </w:rPr>
              <w:t>requested, and in the case of delivery to the corporation’s principal place of business, shall be addressed to the president or chief executive</w:t>
            </w:r>
          </w:p>
        </w:tc>
      </w:tr>
      <w:tr>
        <w:trPr>
          <w:trHeight w:val="230"/>
        </w:trPr>
        <w:tc>
          <w:tcPr>
            <w:tcW w:w="58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officer of the corporation.</w:t>
            </w:r>
          </w:p>
        </w:tc>
      </w:tr>
      <w:tr>
        <w:trPr>
          <w:trHeight w:val="418"/>
        </w:trPr>
        <w:tc>
          <w:tcPr>
            <w:tcW w:w="580" w:type="dxa"/>
            <w:vAlign w:val="bottom"/>
          </w:tcPr>
          <w:p>
            <w:pPr>
              <w:ind w:left="80"/>
              <w:spacing w:after="0"/>
              <w:rPr>
                <w:sz w:val="20"/>
                <w:szCs w:val="20"/>
                <w:color w:val="auto"/>
              </w:rPr>
            </w:pPr>
            <w:r>
              <w:rPr>
                <w:rFonts w:ascii="Arial" w:cs="Arial" w:eastAsia="Arial" w:hAnsi="Arial"/>
                <w:sz w:val="18"/>
                <w:szCs w:val="18"/>
                <w:b w:val="1"/>
                <w:bCs w:val="1"/>
                <w:color w:val="auto"/>
              </w:rPr>
              <w:t>(c)</w:t>
            </w:r>
          </w:p>
        </w:tc>
        <w:tc>
          <w:tcPr>
            <w:tcW w:w="10680" w:type="dxa"/>
            <w:vAlign w:val="bottom"/>
          </w:tcPr>
          <w:p>
            <w:pPr>
              <w:ind w:left="1080"/>
              <w:spacing w:after="0"/>
              <w:rPr>
                <w:sz w:val="20"/>
                <w:szCs w:val="20"/>
                <w:color w:val="auto"/>
              </w:rPr>
            </w:pPr>
            <w:r>
              <w:rPr>
                <w:rFonts w:ascii="Arial" w:cs="Arial" w:eastAsia="Arial" w:hAnsi="Arial"/>
                <w:sz w:val="18"/>
                <w:szCs w:val="18"/>
                <w:color w:val="auto"/>
                <w:w w:val="93"/>
              </w:rPr>
              <w:t>Without limitation, a telegram, cablegram or electronic transmission by a stockholder, or a photographic, photostatic, facsimile or</w:t>
            </w:r>
          </w:p>
        </w:tc>
      </w:tr>
      <w:tr>
        <w:trPr>
          <w:trHeight w:val="216"/>
        </w:trPr>
        <w:tc>
          <w:tcPr>
            <w:tcW w:w="58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92"/>
              </w:rPr>
              <w:t>other reliable reproduction of a writing signed or transmitted by a stockholder, shall be regarded as signed by the stockholder for the purposes</w:t>
            </w:r>
          </w:p>
        </w:tc>
      </w:tr>
      <w:tr>
        <w:trPr>
          <w:trHeight w:val="230"/>
        </w:trPr>
        <w:tc>
          <w:tcPr>
            <w:tcW w:w="58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of this section.</w:t>
            </w:r>
          </w:p>
        </w:tc>
      </w:tr>
      <w:tr>
        <w:trPr>
          <w:trHeight w:val="418"/>
        </w:trPr>
        <w:tc>
          <w:tcPr>
            <w:tcW w:w="580" w:type="dxa"/>
            <w:vAlign w:val="bottom"/>
          </w:tcPr>
          <w:p>
            <w:pPr>
              <w:ind w:left="80"/>
              <w:spacing w:after="0"/>
              <w:rPr>
                <w:sz w:val="20"/>
                <w:szCs w:val="20"/>
                <w:color w:val="auto"/>
              </w:rPr>
            </w:pPr>
            <w:r>
              <w:rPr>
                <w:rFonts w:ascii="Arial" w:cs="Arial" w:eastAsia="Arial" w:hAnsi="Arial"/>
                <w:sz w:val="18"/>
                <w:szCs w:val="18"/>
                <w:b w:val="1"/>
                <w:bCs w:val="1"/>
                <w:color w:val="auto"/>
              </w:rPr>
              <w:t>(d)</w:t>
            </w:r>
          </w:p>
        </w:tc>
        <w:tc>
          <w:tcPr>
            <w:tcW w:w="10680" w:type="dxa"/>
            <w:vAlign w:val="bottom"/>
          </w:tcPr>
          <w:p>
            <w:pPr>
              <w:ind w:left="1080"/>
              <w:spacing w:after="0"/>
              <w:rPr>
                <w:sz w:val="20"/>
                <w:szCs w:val="20"/>
                <w:color w:val="auto"/>
              </w:rPr>
            </w:pPr>
            <w:r>
              <w:rPr>
                <w:rFonts w:ascii="Arial" w:cs="Arial" w:eastAsia="Arial" w:hAnsi="Arial"/>
                <w:sz w:val="18"/>
                <w:szCs w:val="18"/>
                <w:color w:val="auto"/>
                <w:w w:val="92"/>
              </w:rPr>
              <w:t>Prompt notice of the taking of any action by stockholders without a meeting by less than unanimous written consent shall be given</w:t>
            </w:r>
          </w:p>
        </w:tc>
      </w:tr>
      <w:tr>
        <w:trPr>
          <w:trHeight w:val="216"/>
        </w:trPr>
        <w:tc>
          <w:tcPr>
            <w:tcW w:w="58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91"/>
              </w:rPr>
              <w:t>to those stockholders who did not consent in writing to the action and who, if the action had been taken at a meeting, would have been entitled</w:t>
            </w:r>
          </w:p>
        </w:tc>
      </w:tr>
      <w:tr>
        <w:trPr>
          <w:trHeight w:val="216"/>
        </w:trPr>
        <w:tc>
          <w:tcPr>
            <w:tcW w:w="58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91"/>
              </w:rPr>
              <w:t>to notice of the meeting if the record date for such meeting had been the date that written consents signed by a sufficient number of holders to</w:t>
            </w:r>
          </w:p>
        </w:tc>
      </w:tr>
      <w:tr>
        <w:trPr>
          <w:trHeight w:val="230"/>
        </w:trPr>
        <w:tc>
          <w:tcPr>
            <w:tcW w:w="58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take the action were delivered to the corporation.</w:t>
            </w:r>
          </w:p>
        </w:tc>
      </w:tr>
      <w:tr>
        <w:trPr>
          <w:trHeight w:val="648"/>
        </w:trPr>
        <w:tc>
          <w:tcPr>
            <w:tcW w:w="580" w:type="dxa"/>
            <w:vAlign w:val="bottom"/>
          </w:tcPr>
          <w:p>
            <w:pPr>
              <w:spacing w:after="0"/>
              <w:rPr>
                <w:sz w:val="24"/>
                <w:szCs w:val="24"/>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-3</w:t>
            </w:r>
            <w:r>
              <w:rPr>
                <w:rFonts w:ascii="Arial" w:cs="Arial" w:eastAsia="Arial" w:hAnsi="Arial"/>
                <w:sz w:val="8"/>
                <w:szCs w:val="8"/>
                <w:color w:val="auto"/>
              </w:rPr>
              <w:t>-</w:t>
            </w:r>
          </w:p>
        </w:tc>
      </w:tr>
      <w:tr>
        <w:trPr>
          <w:trHeight w:val="115"/>
        </w:trPr>
        <w:tc>
          <w:tcPr>
            <w:tcW w:w="580" w:type="dxa"/>
            <w:vAlign w:val="bottom"/>
            <w:tcBorders>
              <w:bottom w:val="single" w:sz="8" w:color="9A9A9A"/>
            </w:tcBorders>
          </w:tcPr>
          <w:p>
            <w:pPr>
              <w:spacing w:after="0"/>
              <w:rPr>
                <w:sz w:val="10"/>
                <w:szCs w:val="10"/>
                <w:color w:val="auto"/>
              </w:rPr>
            </w:pPr>
          </w:p>
        </w:tc>
        <w:tc>
          <w:tcPr>
            <w:tcW w:w="10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52" w:name="page53"/>
    <w:bookmarkEnd w:id="52"/>
    <w:p>
      <w:pPr>
        <w:jc w:val="both"/>
        <w:ind w:firstLine="864"/>
        <w:spacing w:after="0" w:line="272" w:lineRule="auto"/>
        <w:rPr>
          <w:sz w:val="20"/>
          <w:szCs w:val="20"/>
          <w:color w:val="auto"/>
        </w:rPr>
      </w:pPr>
      <w:r>
        <w:rPr>
          <w:rFonts w:ascii="Arial" w:cs="Arial" w:eastAsia="Arial" w:hAnsi="Arial"/>
          <w:sz w:val="17"/>
          <w:szCs w:val="17"/>
          <w:b w:val="1"/>
          <w:bCs w:val="1"/>
          <w:color w:val="auto"/>
        </w:rPr>
        <w:t xml:space="preserve">Section 2.12. </w:t>
      </w:r>
      <w:r>
        <w:rPr>
          <w:rFonts w:ascii="Arial" w:cs="Arial" w:eastAsia="Arial" w:hAnsi="Arial"/>
          <w:sz w:val="17"/>
          <w:szCs w:val="17"/>
          <w:b w:val="1"/>
          <w:bCs w:val="1"/>
          <w:i w:val="1"/>
          <w:iCs w:val="1"/>
          <w:color w:val="auto"/>
        </w:rPr>
        <w:t>Fixing A Record Date</w:t>
      </w:r>
      <w:r>
        <w:rPr>
          <w:rFonts w:ascii="Arial" w:cs="Arial" w:eastAsia="Arial" w:hAnsi="Arial"/>
          <w:sz w:val="17"/>
          <w:szCs w:val="17"/>
          <w:color w:val="auto"/>
        </w:rPr>
        <w:t>. In order that the corporation may determine the stockholders entitled to notice of or to vote at any</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With respect to corporate action in writing without a meeting, such record date shall not precede the date upon which the resolution fixing the record date is adopted by the board of directors nor more than 10 days after the date upon which the resolution fixing the record date is adopted by the board of directors. With respect to any other action, such record date shall not precede the date upon which the resolution fixing the record date is adopted nor more than 60 days prior to such action.</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If the board of directors does not so fix a record date:</w:t>
      </w:r>
    </w:p>
    <w:p>
      <w:pPr>
        <w:spacing w:after="0" w:line="221" w:lineRule="exact"/>
        <w:rPr>
          <w:sz w:val="20"/>
          <w:szCs w:val="20"/>
          <w:color w:val="auto"/>
        </w:rPr>
      </w:pPr>
    </w:p>
    <w:p>
      <w:pPr>
        <w:jc w:val="both"/>
        <w:ind w:left="860" w:hanging="784"/>
        <w:spacing w:after="0" w:line="263" w:lineRule="auto"/>
        <w:tabs>
          <w:tab w:leader="none" w:pos="8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4" w:lineRule="exact"/>
        <w:rPr>
          <w:sz w:val="20"/>
          <w:szCs w:val="20"/>
          <w:color w:val="auto"/>
        </w:rPr>
      </w:pPr>
    </w:p>
    <w:p>
      <w:pPr>
        <w:jc w:val="both"/>
        <w:ind w:left="860" w:hanging="784"/>
        <w:spacing w:after="0" w:line="263" w:lineRule="auto"/>
        <w:tabs>
          <w:tab w:leader="none" w:pos="8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8"/>
          <w:szCs w:val="18"/>
          <w:color w:val="auto"/>
        </w:rPr>
        <w:t>The record date for determining stockholders entitled to express consent to corporate action in writing without a meeting, when no prior action by the board of directors is required under the laws of the state of Delaware, shall be the first date on which a signed written consent is delivered to the corporation in accordance with the requirements of such law.</w:t>
      </w:r>
    </w:p>
    <w:p>
      <w:pPr>
        <w:spacing w:after="0" w:line="184" w:lineRule="exact"/>
        <w:rPr>
          <w:sz w:val="20"/>
          <w:szCs w:val="20"/>
          <w:color w:val="auto"/>
        </w:rPr>
      </w:pPr>
    </w:p>
    <w:p>
      <w:pPr>
        <w:ind w:left="860" w:hanging="784"/>
        <w:spacing w:after="0" w:line="277" w:lineRule="auto"/>
        <w:tabs>
          <w:tab w:leader="none" w:pos="8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8"/>
          <w:szCs w:val="18"/>
          <w:color w:val="auto"/>
        </w:rPr>
        <w:t>The record date for determining stockholders for any other purpose shall be at the close of business on the day on which the board of directors adopts the resolution relating thereto.</w:t>
      </w:r>
    </w:p>
    <w:p>
      <w:pPr>
        <w:spacing w:after="0" w:line="174"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of directors may fix a new record date for the adjourned meeting.</w:t>
      </w:r>
    </w:p>
    <w:p>
      <w:pPr>
        <w:spacing w:after="0" w:line="16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b w:val="1"/>
          <w:bCs w:val="1"/>
          <w:color w:val="auto"/>
        </w:rPr>
        <w:t xml:space="preserve">Section 2.13. </w:t>
      </w:r>
      <w:r>
        <w:rPr>
          <w:rFonts w:ascii="Arial" w:cs="Arial" w:eastAsia="Arial" w:hAnsi="Arial"/>
          <w:sz w:val="17"/>
          <w:szCs w:val="17"/>
          <w:b w:val="1"/>
          <w:bCs w:val="1"/>
          <w:i w:val="1"/>
          <w:iCs w:val="1"/>
          <w:color w:val="auto"/>
        </w:rPr>
        <w:t>Remote Communications</w:t>
      </w:r>
      <w:r>
        <w:rPr>
          <w:rFonts w:ascii="Arial" w:cs="Arial" w:eastAsia="Arial" w:hAnsi="Arial"/>
          <w:sz w:val="17"/>
          <w:szCs w:val="17"/>
          <w:color w:val="auto"/>
        </w:rPr>
        <w:t>. If authorized by the board of directors in its sole discretion, and subject to such guidelines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procedures as the board of directors may adopt, stockholders and proxyholders not physically present at a meeting of stockholders may, by means of remote communication, </w:t>
      </w:r>
      <w:r>
        <w:rPr>
          <w:rFonts w:ascii="Arial" w:cs="Arial" w:eastAsia="Arial" w:hAnsi="Arial"/>
          <w:sz w:val="17"/>
          <w:szCs w:val="17"/>
          <w:b w:val="1"/>
          <w:bCs w:val="1"/>
          <w:color w:val="auto"/>
        </w:rPr>
        <w:t>(a)</w:t>
      </w:r>
      <w:r>
        <w:rPr>
          <w:rFonts w:ascii="Arial" w:cs="Arial" w:eastAsia="Arial" w:hAnsi="Arial"/>
          <w:sz w:val="17"/>
          <w:szCs w:val="17"/>
          <w:color w:val="auto"/>
        </w:rPr>
        <w:t xml:space="preserve"> participate in a meeting of stockholders, and </w:t>
      </w:r>
      <w:r>
        <w:rPr>
          <w:rFonts w:ascii="Arial" w:cs="Arial" w:eastAsia="Arial" w:hAnsi="Arial"/>
          <w:sz w:val="17"/>
          <w:szCs w:val="17"/>
          <w:b w:val="1"/>
          <w:bCs w:val="1"/>
          <w:color w:val="auto"/>
        </w:rPr>
        <w:t>(b)</w:t>
      </w:r>
      <w:r>
        <w:rPr>
          <w:rFonts w:ascii="Arial" w:cs="Arial" w:eastAsia="Arial" w:hAnsi="Arial"/>
          <w:sz w:val="17"/>
          <w:szCs w:val="17"/>
          <w:color w:val="auto"/>
        </w:rPr>
        <w:t xml:space="preserve"> be deemed present in person and vote at a meeting of stockholders whether such meeting is to be held at a designated place or solely by means of remote communication, provided that </w:t>
      </w:r>
      <w:r>
        <w:rPr>
          <w:rFonts w:ascii="Arial" w:cs="Arial" w:eastAsia="Arial" w:hAnsi="Arial"/>
          <w:sz w:val="17"/>
          <w:szCs w:val="17"/>
          <w:b w:val="1"/>
          <w:bCs w:val="1"/>
          <w:color w:val="auto"/>
        </w:rPr>
        <w:t>(i)</w:t>
      </w:r>
      <w:r>
        <w:rPr>
          <w:rFonts w:ascii="Arial" w:cs="Arial" w:eastAsia="Arial" w:hAnsi="Arial"/>
          <w:sz w:val="17"/>
          <w:szCs w:val="17"/>
          <w:color w:val="auto"/>
        </w:rPr>
        <w:t xml:space="preserve"> the corporation shall implement reasonable measures to verify that each person deemed present and permitted to vote at the meeting by means of remote communication is a stockholder or proxyholder, </w:t>
      </w:r>
      <w:r>
        <w:rPr>
          <w:rFonts w:ascii="Arial" w:cs="Arial" w:eastAsia="Arial" w:hAnsi="Arial"/>
          <w:sz w:val="17"/>
          <w:szCs w:val="17"/>
          <w:b w:val="1"/>
          <w:bCs w:val="1"/>
          <w:color w:val="auto"/>
        </w:rPr>
        <w:t>(ii)</w:t>
      </w:r>
      <w:r>
        <w:rPr>
          <w:rFonts w:ascii="Arial" w:cs="Arial" w:eastAsia="Arial" w:hAnsi="Arial"/>
          <w:sz w:val="17"/>
          <w:szCs w:val="17"/>
          <w:color w:val="auto"/>
        </w:rPr>
        <w:t xml:space="preserve">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w:t>
      </w:r>
      <w:r>
        <w:rPr>
          <w:rFonts w:ascii="Arial" w:cs="Arial" w:eastAsia="Arial" w:hAnsi="Arial"/>
          <w:sz w:val="17"/>
          <w:szCs w:val="17"/>
          <w:b w:val="1"/>
          <w:bCs w:val="1"/>
          <w:color w:val="auto"/>
        </w:rPr>
        <w:t>(iii)</w:t>
      </w:r>
      <w:r>
        <w:rPr>
          <w:rFonts w:ascii="Arial" w:cs="Arial" w:eastAsia="Arial" w:hAnsi="Arial"/>
          <w:sz w:val="17"/>
          <w:szCs w:val="17"/>
          <w:color w:val="auto"/>
        </w:rPr>
        <w:t xml:space="preserve"> if any stockholder or proxyholder votes or takes other action at the meeting by means of remote communication, a record of such vote or other action shall be maintained by the corporation.</w:t>
      </w:r>
    </w:p>
    <w:p>
      <w:pPr>
        <w:spacing w:after="0" w:line="174"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Section 2.14. </w:t>
      </w:r>
      <w:r>
        <w:rPr>
          <w:rFonts w:ascii="Arial" w:cs="Arial" w:eastAsia="Arial" w:hAnsi="Arial"/>
          <w:sz w:val="18"/>
          <w:szCs w:val="18"/>
          <w:b w:val="1"/>
          <w:bCs w:val="1"/>
          <w:i w:val="1"/>
          <w:iCs w:val="1"/>
          <w:color w:val="auto"/>
        </w:rPr>
        <w:t>Minutes</w:t>
      </w:r>
      <w:r>
        <w:rPr>
          <w:rFonts w:ascii="Arial" w:cs="Arial" w:eastAsia="Arial" w:hAnsi="Arial"/>
          <w:sz w:val="18"/>
          <w:szCs w:val="18"/>
          <w:color w:val="auto"/>
        </w:rPr>
        <w:t>. The stockholders shall cause regular minutes of their proceedings to be kept, and such minutes shall be placed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minute proceedings of the corporation (which may be maintained in paper or electronic form).</w:t>
      </w:r>
    </w:p>
    <w:p>
      <w:pPr>
        <w:spacing w:after="0" w:line="16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i w:val="1"/>
          <w:iCs w:val="1"/>
          <w:color w:val="auto"/>
        </w:rPr>
        <w:t>DIRECTORS</w:t>
      </w:r>
    </w:p>
    <w:p>
      <w:pPr>
        <w:spacing w:after="0" w:line="20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b w:val="1"/>
          <w:bCs w:val="1"/>
          <w:color w:val="auto"/>
        </w:rPr>
        <w:t xml:space="preserve">Section 3.1. </w:t>
      </w:r>
      <w:r>
        <w:rPr>
          <w:rFonts w:ascii="Arial" w:cs="Arial" w:eastAsia="Arial" w:hAnsi="Arial"/>
          <w:sz w:val="17"/>
          <w:szCs w:val="17"/>
          <w:b w:val="1"/>
          <w:bCs w:val="1"/>
          <w:i w:val="1"/>
          <w:iCs w:val="1"/>
          <w:color w:val="auto"/>
        </w:rPr>
        <w:t>Number, Qualifications and Term of Office.</w:t>
      </w:r>
      <w:r>
        <w:rPr>
          <w:rFonts w:ascii="Arial" w:cs="Arial" w:eastAsia="Arial" w:hAnsi="Arial"/>
          <w:sz w:val="17"/>
          <w:szCs w:val="17"/>
          <w:b w:val="1"/>
          <w:bCs w:val="1"/>
          <w:color w:val="auto"/>
        </w:rPr>
        <w:t xml:space="preserve"> </w:t>
      </w:r>
      <w:r>
        <w:rPr>
          <w:rFonts w:ascii="Arial" w:cs="Arial" w:eastAsia="Arial" w:hAnsi="Arial"/>
          <w:sz w:val="17"/>
          <w:szCs w:val="17"/>
          <w:color w:val="auto"/>
        </w:rPr>
        <w:t>The business and affairs of the corporation shall be managed by a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directors. Subject to the preferential voting rights of the holders of preferred stock or any other class of capital stock of the corporation or any series of any of the foregoing that is then outstanding, the board of directors shall consist of one or more members. The number of members of the board of directors shall be fixed from time to time </w:t>
      </w:r>
      <w:r>
        <w:rPr>
          <w:rFonts w:ascii="Arial" w:cs="Arial" w:eastAsia="Arial" w:hAnsi="Arial"/>
          <w:sz w:val="17"/>
          <w:szCs w:val="17"/>
          <w:b w:val="1"/>
          <w:bCs w:val="1"/>
          <w:color w:val="auto"/>
        </w:rPr>
        <w:t>(a)</w:t>
      </w:r>
      <w:r>
        <w:rPr>
          <w:rFonts w:ascii="Arial" w:cs="Arial" w:eastAsia="Arial" w:hAnsi="Arial"/>
          <w:sz w:val="17"/>
          <w:szCs w:val="17"/>
          <w:color w:val="auto"/>
        </w:rPr>
        <w:t xml:space="preserve"> by the board of directors pursuant to a resolution adopted by a majority of the entire board of directors or </w:t>
      </w:r>
      <w:r>
        <w:rPr>
          <w:rFonts w:ascii="Arial" w:cs="Arial" w:eastAsia="Arial" w:hAnsi="Arial"/>
          <w:sz w:val="17"/>
          <w:szCs w:val="17"/>
          <w:b w:val="1"/>
          <w:bCs w:val="1"/>
          <w:color w:val="auto"/>
        </w:rPr>
        <w:t>(b)</w:t>
      </w:r>
      <w:r>
        <w:rPr>
          <w:rFonts w:ascii="Arial" w:cs="Arial" w:eastAsia="Arial" w:hAnsi="Arial"/>
          <w:sz w:val="17"/>
          <w:szCs w:val="17"/>
          <w:color w:val="auto"/>
        </w:rPr>
        <w:t xml:space="preserve"> by the stockholders pursuant to a resolution adopted by a majority of the holders of shares of the</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spacing w:after="0" w:line="296" w:lineRule="auto"/>
        <w:rPr>
          <w:sz w:val="20"/>
          <w:szCs w:val="20"/>
          <w:color w:val="auto"/>
        </w:rPr>
      </w:pPr>
      <w:r>
        <w:rPr>
          <w:rFonts w:ascii="Arial" w:cs="Arial" w:eastAsia="Arial" w:hAnsi="Arial"/>
          <w:sz w:val="16"/>
          <w:szCs w:val="16"/>
          <w:color w:val="auto"/>
        </w:rPr>
        <w:t xml:space="preserve">corporation entitled to vote for the election of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stockholders have acted to fix the number of directors, any action by the board of directors to fix another number shall only become effective on or after the first annual meeting of stockholders that follows such stockholder action. Each director shall be elected at the annual meeting of the stockholders, except as provided in </w:t>
      </w:r>
      <w:r>
        <w:rPr>
          <w:rFonts w:ascii="Arial" w:cs="Arial" w:eastAsia="Arial" w:hAnsi="Arial"/>
          <w:sz w:val="16"/>
          <w:szCs w:val="16"/>
          <w:b w:val="1"/>
          <w:bCs w:val="1"/>
          <w:color w:val="auto"/>
        </w:rPr>
        <w:t>Section 3.4</w:t>
      </w:r>
      <w:r>
        <w:rPr>
          <w:rFonts w:ascii="Arial" w:cs="Arial" w:eastAsia="Arial" w:hAnsi="Arial"/>
          <w:sz w:val="16"/>
          <w:szCs w:val="16"/>
          <w:color w:val="auto"/>
        </w:rPr>
        <w:t>, and each director elected shall hold office until the next annual meeting of stockholders and until his or her successor is duly elected and qualified or until his or her earlier death, resignation or removal. No reduction of the authorized number of directors shall have the effect of removing any director before that director’s term expires.</w:t>
      </w:r>
    </w:p>
    <w:p>
      <w:pPr>
        <w:spacing w:after="0" w:line="157"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i w:val="1"/>
          <w:iCs w:val="1"/>
          <w:color w:val="auto"/>
        </w:rPr>
        <w:t>Nomination of Director Candidates.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preferential voting rights of the holders of preferred stock or any other class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capital stock of the corporation or any series of any of the foregoing that is then outstanding, nominations for the election of directors may be made by the board of directors or by any stockholder entitled to vote for the election of directors. Any stockholder entitled to vote for the election of a director at a meeting may nominate persons for whom such stockholder may vote only if written notice of such stockholder’s intent to make such nomination is given, either by personal delivery or by United States mail, postage prepaid, to the secretary of the corporation not later than </w:t>
      </w:r>
      <w:r>
        <w:rPr>
          <w:rFonts w:ascii="Arial" w:cs="Arial" w:eastAsia="Arial" w:hAnsi="Arial"/>
          <w:sz w:val="16"/>
          <w:szCs w:val="16"/>
          <w:b w:val="1"/>
          <w:bCs w:val="1"/>
          <w:color w:val="auto"/>
        </w:rPr>
        <w:t>(a)</w:t>
      </w:r>
      <w:r>
        <w:rPr>
          <w:rFonts w:ascii="Arial" w:cs="Arial" w:eastAsia="Arial" w:hAnsi="Arial"/>
          <w:sz w:val="16"/>
          <w:szCs w:val="16"/>
          <w:color w:val="auto"/>
        </w:rPr>
        <w:t xml:space="preserve"> with respect to an election to be held at an annual meeting of stockholders, </w:t>
      </w:r>
      <w:r>
        <w:rPr>
          <w:rFonts w:ascii="Arial" w:cs="Arial" w:eastAsia="Arial" w:hAnsi="Arial"/>
          <w:sz w:val="16"/>
          <w:szCs w:val="16"/>
          <w:b w:val="1"/>
          <w:bCs w:val="1"/>
          <w:color w:val="auto"/>
        </w:rPr>
        <w:t>(i)</w:t>
      </w:r>
      <w:r>
        <w:rPr>
          <w:rFonts w:ascii="Arial" w:cs="Arial" w:eastAsia="Arial" w:hAnsi="Arial"/>
          <w:sz w:val="16"/>
          <w:szCs w:val="16"/>
          <w:color w:val="auto"/>
        </w:rPr>
        <w:t xml:space="preserve"> if the corporation mailed notice of the last annual meeting or publicly disclosed the date of such meeting and the annual meeting for the current year has not changed more than thirty days from such date (as if in the current year), forty-five days before the earlier of the date (as if in the current year) of such mailing or public disclosure or </w:t>
      </w:r>
      <w:r>
        <w:rPr>
          <w:rFonts w:ascii="Arial" w:cs="Arial" w:eastAsia="Arial" w:hAnsi="Arial"/>
          <w:sz w:val="16"/>
          <w:szCs w:val="16"/>
          <w:b w:val="1"/>
          <w:bCs w:val="1"/>
          <w:color w:val="auto"/>
        </w:rPr>
        <w:t>(ii)</w:t>
      </w:r>
      <w:r>
        <w:rPr>
          <w:rFonts w:ascii="Arial" w:cs="Arial" w:eastAsia="Arial" w:hAnsi="Arial"/>
          <w:sz w:val="16"/>
          <w:szCs w:val="16"/>
          <w:color w:val="auto"/>
        </w:rPr>
        <w:t xml:space="preserve"> otherwise ninety days prior to the annual meeting and </w:t>
      </w:r>
      <w:r>
        <w:rPr>
          <w:rFonts w:ascii="Arial" w:cs="Arial" w:eastAsia="Arial" w:hAnsi="Arial"/>
          <w:sz w:val="16"/>
          <w:szCs w:val="16"/>
          <w:b w:val="1"/>
          <w:bCs w:val="1"/>
          <w:color w:val="auto"/>
        </w:rPr>
        <w:t>(b)</w:t>
      </w:r>
      <w:r>
        <w:rPr>
          <w:rFonts w:ascii="Arial" w:cs="Arial" w:eastAsia="Arial" w:hAnsi="Arial"/>
          <w:sz w:val="16"/>
          <w:szCs w:val="16"/>
          <w:color w:val="auto"/>
        </w:rPr>
        <w:t xml:space="preserve"> with respect to an election to be held at a special meeting of stockholders for the election of directors, the close of business on the tenth day following the date on which notice of such meeting is first given to stockholders. Each such notice shall set forth: </w:t>
      </w:r>
      <w:r>
        <w:rPr>
          <w:rFonts w:ascii="Arial" w:cs="Arial" w:eastAsia="Arial" w:hAnsi="Arial"/>
          <w:sz w:val="16"/>
          <w:szCs w:val="16"/>
          <w:b w:val="1"/>
          <w:bCs w:val="1"/>
          <w:color w:val="auto"/>
        </w:rPr>
        <w:t>(a)</w:t>
      </w:r>
      <w:r>
        <w:rPr>
          <w:rFonts w:ascii="Arial" w:cs="Arial" w:eastAsia="Arial" w:hAnsi="Arial"/>
          <w:sz w:val="16"/>
          <w:szCs w:val="16"/>
          <w:color w:val="auto"/>
        </w:rPr>
        <w:t xml:space="preserve"> the name and address of the stockholder who intends to make the nomination and of the person or persons intended to be nominated; </w:t>
      </w:r>
      <w:r>
        <w:rPr>
          <w:rFonts w:ascii="Arial" w:cs="Arial" w:eastAsia="Arial" w:hAnsi="Arial"/>
          <w:sz w:val="16"/>
          <w:szCs w:val="16"/>
          <w:b w:val="1"/>
          <w:bCs w:val="1"/>
          <w:color w:val="auto"/>
        </w:rPr>
        <w:t>(b)</w:t>
      </w:r>
      <w:r>
        <w:rPr>
          <w:rFonts w:ascii="Arial" w:cs="Arial" w:eastAsia="Arial" w:hAnsi="Arial"/>
          <w:sz w:val="16"/>
          <w:szCs w:val="16"/>
          <w:color w:val="auto"/>
        </w:rPr>
        <w:t xml:space="preserve"> a representation that the stockholder is a holder of record of stock of the corporation entitled to vote at such meeting and intends to appear in person or by proxy at the meeting to nominate the person or persons specified in the notice; </w:t>
      </w:r>
      <w:r>
        <w:rPr>
          <w:rFonts w:ascii="Arial" w:cs="Arial" w:eastAsia="Arial" w:hAnsi="Arial"/>
          <w:sz w:val="16"/>
          <w:szCs w:val="16"/>
          <w:b w:val="1"/>
          <w:bCs w:val="1"/>
          <w:color w:val="auto"/>
        </w:rPr>
        <w:t>(c)</w:t>
      </w:r>
      <w:r>
        <w:rPr>
          <w:rFonts w:ascii="Arial" w:cs="Arial" w:eastAsia="Arial" w:hAnsi="Arial"/>
          <w:sz w:val="16"/>
          <w:szCs w:val="16"/>
          <w:color w:val="auto"/>
        </w:rPr>
        <w:t xml:space="preserve"> a description of all arrangements or understandings between the stockholder and each nominee and any other person or persons (naming such person or persons) pursuant to which the nomination or nominations are to be made by the stockholder; </w:t>
      </w:r>
      <w:r>
        <w:rPr>
          <w:rFonts w:ascii="Arial" w:cs="Arial" w:eastAsia="Arial" w:hAnsi="Arial"/>
          <w:sz w:val="16"/>
          <w:szCs w:val="16"/>
          <w:b w:val="1"/>
          <w:bCs w:val="1"/>
          <w:color w:val="auto"/>
        </w:rPr>
        <w:t>(d)</w:t>
      </w:r>
      <w:r>
        <w:rPr>
          <w:rFonts w:ascii="Arial" w:cs="Arial" w:eastAsia="Arial" w:hAnsi="Arial"/>
          <w:sz w:val="16"/>
          <w:szCs w:val="16"/>
          <w:color w:val="auto"/>
        </w:rPr>
        <w:t xml:space="preserve"> such other information regarding each nominee proposed by such stockholder as would have been required to be included in a proxy statement filed pursuant to the proxy rules of the Securities and Exchange Commission had such requirements been applicable and each nominee been nominated, or intended to be nominated, by the board of directors; and </w:t>
      </w:r>
      <w:r>
        <w:rPr>
          <w:rFonts w:ascii="Arial" w:cs="Arial" w:eastAsia="Arial" w:hAnsi="Arial"/>
          <w:sz w:val="16"/>
          <w:szCs w:val="16"/>
          <w:b w:val="1"/>
          <w:bCs w:val="1"/>
          <w:color w:val="auto"/>
        </w:rPr>
        <w:t>(e)</w:t>
      </w:r>
      <w:r>
        <w:rPr>
          <w:rFonts w:ascii="Arial" w:cs="Arial" w:eastAsia="Arial" w:hAnsi="Arial"/>
          <w:sz w:val="16"/>
          <w:szCs w:val="16"/>
          <w:color w:val="auto"/>
        </w:rPr>
        <w:t xml:space="preserve"> the consent of each nominee to serve as a director of the corporation if so elected. The chairman of the meeting may refuse to acknowledge the nomination of any person not made in compliance with this section.</w:t>
      </w:r>
    </w:p>
    <w:p>
      <w:pPr>
        <w:spacing w:after="0" w:line="171"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7"/>
          <w:szCs w:val="17"/>
          <w:b w:val="1"/>
          <w:bCs w:val="1"/>
          <w:color w:val="auto"/>
        </w:rPr>
        <w:t xml:space="preserve">Section 3.3. </w:t>
      </w:r>
      <w:r>
        <w:rPr>
          <w:rFonts w:ascii="Arial" w:cs="Arial" w:eastAsia="Arial" w:hAnsi="Arial"/>
          <w:sz w:val="17"/>
          <w:szCs w:val="17"/>
          <w:b w:val="1"/>
          <w:bCs w:val="1"/>
          <w:i w:val="1"/>
          <w:iCs w:val="1"/>
          <w:color w:val="auto"/>
        </w:rPr>
        <w:t>Removals.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preferential voting rights of the holders of preferred stock or any other class of capital stock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or any series of any of the foregoing that is then outstanding at any meeting of stockholders called expressly for the purpose of removing a director or directors, each director may be removed from office at any time by the stockholders, with or without cause, by the affirmative vote of the holders of at least a majority of the voting power of all of the shares of the corporation entitled to vote for the election of such director.</w:t>
      </w:r>
    </w:p>
    <w:p>
      <w:pPr>
        <w:spacing w:after="0" w:line="165"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b w:val="1"/>
          <w:bCs w:val="1"/>
          <w:color w:val="auto"/>
        </w:rPr>
        <w:t xml:space="preserve">Section 3.4. </w:t>
      </w:r>
      <w:r>
        <w:rPr>
          <w:rFonts w:ascii="Arial" w:cs="Arial" w:eastAsia="Arial" w:hAnsi="Arial"/>
          <w:sz w:val="17"/>
          <w:szCs w:val="17"/>
          <w:b w:val="1"/>
          <w:bCs w:val="1"/>
          <w:i w:val="1"/>
          <w:iCs w:val="1"/>
          <w:color w:val="auto"/>
        </w:rPr>
        <w:t>Vacancies.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preferential voting rights of the holders of preferred stock or any other class of capital stock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corporation or any series of any of the foregoing that is then outstanding and except as otherwise required by law, all vacancies in the board of directors, whether caused by resignation, death or otherwise, may be filled by a majority of the remaining directors though less than a quorum;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vacancy resulting from an increase in the number of directors that is the result of a resolution adopted by the stockholders of the corporation may be filled by the stockholders of the corporation in accordance with the laws of the state of Delaware, any other applicable provisions of the certificate of incorporation and these bylaws. Each director so chosen shall hold office for the unexpired term of his or her predecessor and until his or her successor is elected and qualified or until his or her earlier death, resignation or removal.</w:t>
      </w:r>
    </w:p>
    <w:p>
      <w:pPr>
        <w:spacing w:after="0" w:line="17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i w:val="1"/>
          <w:iCs w:val="1"/>
          <w:color w:val="auto"/>
        </w:rPr>
        <w:t>Annual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annual meeting of the board of directors may be held without notice immediately after the annual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of stockholders at the location of the stockholders’ meeting. If not held immediately after the annual meeting of the stockholders, the annual meeting of the board of directors shall be held as soon thereafter as may be convenient.</w:t>
      </w:r>
    </w:p>
    <w:p>
      <w:pPr>
        <w:spacing w:after="0" w:line="176"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i w:val="1"/>
          <w:iCs w:val="1"/>
          <w:color w:val="auto"/>
        </w:rPr>
        <w:t>Other Meetings and Notice.</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meetings of the board of directors may be held with or without notice at such time and at</w:t>
      </w:r>
      <w:r>
        <w:rPr>
          <w:rFonts w:ascii="Arial" w:cs="Arial" w:eastAsia="Arial" w:hAnsi="Arial"/>
          <w:sz w:val="18"/>
          <w:szCs w:val="18"/>
          <w:b w:val="1"/>
          <w:bCs w:val="1"/>
          <w:color w:val="auto"/>
        </w:rPr>
        <w:t xml:space="preserve"> </w:t>
      </w:r>
      <w:r>
        <w:rPr>
          <w:rFonts w:ascii="Arial" w:cs="Arial" w:eastAsia="Arial" w:hAnsi="Arial"/>
          <w:sz w:val="18"/>
          <w:szCs w:val="18"/>
          <w:color w:val="auto"/>
        </w:rPr>
        <w:t>such place as shall from time to time be determined by the board of directors. Special meetings of the board of directors may be called by or at the request of the chairman of the board, the vice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chairman of the board, the president or the or chief executive officer and shall be called by the chairman of the board on the written request of a majority of directors, in each case on at least twenty-four hours notice to each director.</w:t>
      </w:r>
    </w:p>
    <w:p>
      <w:pPr>
        <w:spacing w:after="0" w:line="166"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7"/>
          <w:szCs w:val="17"/>
          <w:b w:val="1"/>
          <w:bCs w:val="1"/>
          <w:color w:val="auto"/>
        </w:rPr>
        <w:t xml:space="preserve">Section 3.7. </w:t>
      </w:r>
      <w:r>
        <w:rPr>
          <w:rFonts w:ascii="Arial" w:cs="Arial" w:eastAsia="Arial" w:hAnsi="Arial"/>
          <w:sz w:val="17"/>
          <w:szCs w:val="17"/>
          <w:b w:val="1"/>
          <w:bCs w:val="1"/>
          <w:i w:val="1"/>
          <w:iCs w:val="1"/>
          <w:color w:val="auto"/>
        </w:rPr>
        <w:t>Quorum.</w:t>
      </w:r>
      <w:r>
        <w:rPr>
          <w:rFonts w:ascii="Arial" w:cs="Arial" w:eastAsia="Arial" w:hAnsi="Arial"/>
          <w:sz w:val="17"/>
          <w:szCs w:val="17"/>
          <w:b w:val="1"/>
          <w:bCs w:val="1"/>
          <w:color w:val="auto"/>
        </w:rPr>
        <w:t xml:space="preserve"> </w:t>
      </w:r>
      <w:r>
        <w:rPr>
          <w:rFonts w:ascii="Arial" w:cs="Arial" w:eastAsia="Arial" w:hAnsi="Arial"/>
          <w:sz w:val="17"/>
          <w:szCs w:val="17"/>
          <w:color w:val="auto"/>
        </w:rPr>
        <w:t>A majority of the total number of directors shall be necessary at all meetings to constitute a quorum for the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of business. If a quorum shall not be present at any meeting of the board of directors, the directors present thereat may adjourn the meeting from time to time, without notice other than announcement at the meeting, until a quorum shall be present. At such adjourned meeting at which a quorum shall be present, any business may be transacted that might have been transacted at the meeting as originally notified and called.</w:t>
      </w:r>
    </w:p>
    <w:p>
      <w:pPr>
        <w:spacing w:after="0" w:line="165"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b w:val="1"/>
          <w:bCs w:val="1"/>
          <w:color w:val="auto"/>
        </w:rPr>
        <w:t xml:space="preserve">Section 3.8. </w:t>
      </w:r>
      <w:r>
        <w:rPr>
          <w:rFonts w:ascii="Arial" w:cs="Arial" w:eastAsia="Arial" w:hAnsi="Arial"/>
          <w:sz w:val="17"/>
          <w:szCs w:val="17"/>
          <w:b w:val="1"/>
          <w:bCs w:val="1"/>
          <w:i w:val="1"/>
          <w:iCs w:val="1"/>
          <w:color w:val="auto"/>
        </w:rPr>
        <w:t>Committees.</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or temporary committees consisting of one or more directors of the corporation may be appointed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from time to time, and the board of directors may from time to time invest such committees with such powers as it may see fit, subject to limitations imposed by statute and such conditions as may be prescribed by the board of directors. An executive committee may be appointed by resolution passed by a majority of the entire board of directors and if appointed it shall have all the powers provided by statute, except as specially limited by the board of directors. All committees so appointed shall keep regular minutes of the transactions of their meetings and shall cause them to be recorded in books kept for that purpose in the office of the corporation, and shall report the same to the board of directors at its next meeting. The board of directors may designate one or more directors as alternate members of any committee, who may replace any absent or disqualified member at any meeting of the committee. The board shall have the power at any time to change the membership of, to increase or decrease the membership of, to fill all vacancies in and to discharge any committee of the board, or any member thereof, either with or without cause.</w:t>
      </w:r>
    </w:p>
    <w:p>
      <w:pPr>
        <w:spacing w:after="0" w:line="174" w:lineRule="exact"/>
        <w:rPr>
          <w:sz w:val="20"/>
          <w:szCs w:val="20"/>
          <w:color w:val="auto"/>
        </w:rPr>
      </w:pPr>
    </w:p>
    <w:p>
      <w:pPr>
        <w:jc w:val="both"/>
        <w:ind w:right="20" w:firstLine="864"/>
        <w:spacing w:after="0" w:line="266" w:lineRule="auto"/>
        <w:rPr>
          <w:sz w:val="20"/>
          <w:szCs w:val="20"/>
          <w:color w:val="auto"/>
        </w:rPr>
      </w:pPr>
      <w:r>
        <w:rPr>
          <w:rFonts w:ascii="Arial" w:cs="Arial" w:eastAsia="Arial" w:hAnsi="Arial"/>
          <w:sz w:val="18"/>
          <w:szCs w:val="18"/>
          <w:b w:val="1"/>
          <w:bCs w:val="1"/>
          <w:color w:val="auto"/>
        </w:rPr>
        <w:t xml:space="preserve">Section 3.9. </w:t>
      </w:r>
      <w:r>
        <w:rPr>
          <w:rFonts w:ascii="Arial" w:cs="Arial" w:eastAsia="Arial" w:hAnsi="Arial"/>
          <w:sz w:val="18"/>
          <w:szCs w:val="18"/>
          <w:b w:val="1"/>
          <w:bCs w:val="1"/>
          <w:i w:val="1"/>
          <w:iCs w:val="1"/>
          <w:color w:val="auto"/>
        </w:rPr>
        <w:t>Committee Rules.</w:t>
      </w:r>
      <w:r>
        <w:rPr>
          <w:rFonts w:ascii="Arial" w:cs="Arial" w:eastAsia="Arial" w:hAnsi="Arial"/>
          <w:sz w:val="18"/>
          <w:szCs w:val="18"/>
          <w:b w:val="1"/>
          <w:bCs w:val="1"/>
          <w:color w:val="auto"/>
        </w:rPr>
        <w:t xml:space="preserve"> </w:t>
      </w:r>
      <w:r>
        <w:rPr>
          <w:rFonts w:ascii="Arial" w:cs="Arial" w:eastAsia="Arial" w:hAnsi="Arial"/>
          <w:sz w:val="18"/>
          <w:szCs w:val="18"/>
          <w:color w:val="auto"/>
        </w:rPr>
        <w:t>Each committee of the board of directors may fix its own rules of procedure and shall hold its meetings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such rules, except as may otherwise be provided by the resolution of the board of directors designating such committee, but in all cases the presence of at least a majority of the members of such committee shall be necessary to constitute a quorum.</w:t>
      </w:r>
    </w:p>
    <w:p>
      <w:pPr>
        <w:spacing w:after="0" w:line="176" w:lineRule="exact"/>
        <w:rPr>
          <w:sz w:val="20"/>
          <w:szCs w:val="20"/>
          <w:color w:val="auto"/>
        </w:rPr>
      </w:pPr>
    </w:p>
    <w:p>
      <w:pPr>
        <w:jc w:val="both"/>
        <w:ind w:firstLine="864"/>
        <w:spacing w:after="0" w:line="314" w:lineRule="auto"/>
        <w:rPr>
          <w:sz w:val="20"/>
          <w:szCs w:val="20"/>
          <w:color w:val="auto"/>
        </w:rPr>
      </w:pPr>
      <w:r>
        <w:rPr>
          <w:rFonts w:ascii="Arial" w:cs="Arial" w:eastAsia="Arial" w:hAnsi="Arial"/>
          <w:sz w:val="16"/>
          <w:szCs w:val="16"/>
          <w:b w:val="1"/>
          <w:bCs w:val="1"/>
          <w:color w:val="auto"/>
        </w:rPr>
        <w:t xml:space="preserve">Section 3.10. </w:t>
      </w:r>
      <w:r>
        <w:rPr>
          <w:rFonts w:ascii="Arial" w:cs="Arial" w:eastAsia="Arial" w:hAnsi="Arial"/>
          <w:sz w:val="16"/>
          <w:szCs w:val="16"/>
          <w:b w:val="1"/>
          <w:bCs w:val="1"/>
          <w:i w:val="1"/>
          <w:iCs w:val="1"/>
          <w:color w:val="auto"/>
        </w:rPr>
        <w:t>Telephonic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of the board of directors or any committee designated by the board of directors may participate</w:t>
      </w:r>
      <w:r>
        <w:rPr>
          <w:rFonts w:ascii="Arial" w:cs="Arial" w:eastAsia="Arial" w:hAnsi="Arial"/>
          <w:sz w:val="16"/>
          <w:szCs w:val="16"/>
          <w:b w:val="1"/>
          <w:bCs w:val="1"/>
          <w:color w:val="auto"/>
        </w:rPr>
        <w:t xml:space="preserve"> </w:t>
      </w:r>
      <w:r>
        <w:rPr>
          <w:rFonts w:ascii="Arial" w:cs="Arial" w:eastAsia="Arial" w:hAnsi="Arial"/>
          <w:sz w:val="16"/>
          <w:szCs w:val="16"/>
          <w:color w:val="auto"/>
        </w:rPr>
        <w:t>in any meeting of the board of directors or such committee by means of a conference telephone or other communications equipment by means of which all persons participating in the meeting can hear each other. Participation in such a meeting shall constitute presence in person at such meeting.</w:t>
      </w:r>
    </w:p>
    <w:p>
      <w:pPr>
        <w:spacing w:after="0" w:line="14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b w:val="1"/>
          <w:bCs w:val="1"/>
          <w:color w:val="auto"/>
        </w:rPr>
        <w:t xml:space="preserve">Section 3.11. </w:t>
      </w:r>
      <w:r>
        <w:rPr>
          <w:rFonts w:ascii="Arial" w:cs="Arial" w:eastAsia="Arial" w:hAnsi="Arial"/>
          <w:sz w:val="17"/>
          <w:szCs w:val="17"/>
          <w:b w:val="1"/>
          <w:bCs w:val="1"/>
          <w:i w:val="1"/>
          <w:iCs w:val="1"/>
          <w:color w:val="auto"/>
        </w:rPr>
        <w:t>Presumption of Assent.</w:t>
      </w:r>
      <w:r>
        <w:rPr>
          <w:rFonts w:ascii="Arial" w:cs="Arial" w:eastAsia="Arial" w:hAnsi="Arial"/>
          <w:sz w:val="17"/>
          <w:szCs w:val="17"/>
          <w:b w:val="1"/>
          <w:bCs w:val="1"/>
          <w:color w:val="auto"/>
        </w:rPr>
        <w:t xml:space="preserve"> </w:t>
      </w:r>
      <w:r>
        <w:rPr>
          <w:rFonts w:ascii="Arial" w:cs="Arial" w:eastAsia="Arial" w:hAnsi="Arial"/>
          <w:sz w:val="17"/>
          <w:szCs w:val="17"/>
          <w:color w:val="auto"/>
        </w:rPr>
        <w:t>A director of the corporation who is present at a meeting of the board of directors or any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at which action on any corporate matter is taken shall be deemed to have assented to the action taken unless his or her dissent shall be entered in the minutes of the meeting or unless he or she shall file his or her written dissent to such action with the person acting as the secretary of the meeting before the adjournment thereof or shall forward such dissent by registered mail to the secretary of the corporation immediately after the adjournment of the meeting. Such right to dissent shall not apply to a director who voted in favor of such action.</w:t>
      </w:r>
    </w:p>
    <w:p>
      <w:pPr>
        <w:spacing w:after="0" w:line="168"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b w:val="1"/>
          <w:bCs w:val="1"/>
          <w:color w:val="auto"/>
        </w:rPr>
        <w:t xml:space="preserve">Section 3.12. </w:t>
      </w:r>
      <w:r>
        <w:rPr>
          <w:rFonts w:ascii="Arial" w:cs="Arial" w:eastAsia="Arial" w:hAnsi="Arial"/>
          <w:sz w:val="17"/>
          <w:szCs w:val="17"/>
          <w:b w:val="1"/>
          <w:bCs w:val="1"/>
          <w:i w:val="1"/>
          <w:iCs w:val="1"/>
          <w:color w:val="auto"/>
        </w:rPr>
        <w:t>Action Without a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Any action required or permitted to be taken at any meeting of the board of directors or of any</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thereof may be taken without a meeting if all members of the board of directors or such committee, as the case may be, consent thereto in writing or electronic transmission and the writing or writings or electronic transmission or transmissions are filed with the minutes of proceedings of the board of directors or committee. Action taken pursuant to such written consent of the board of directors or of any committee thereof shall have the same force and effect as if taken by the board of directors or the committee, as the case may be, at a meeting thereof.</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b w:val="1"/>
          <w:bCs w:val="1"/>
          <w:i w:val="1"/>
          <w:iCs w:val="1"/>
          <w:color w:val="auto"/>
        </w:rPr>
        <w:t>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shall have the authority to fix the compensation of directors.</w:t>
      </w:r>
    </w:p>
    <w:p>
      <w:pPr>
        <w:spacing w:after="0" w:line="225"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b w:val="1"/>
          <w:bCs w:val="1"/>
          <w:color w:val="auto"/>
        </w:rPr>
        <w:t xml:space="preserve">Section 3.14. </w:t>
      </w:r>
      <w:r>
        <w:rPr>
          <w:rFonts w:ascii="Arial" w:cs="Arial" w:eastAsia="Arial" w:hAnsi="Arial"/>
          <w:sz w:val="18"/>
          <w:szCs w:val="18"/>
          <w:b w:val="1"/>
          <w:bCs w:val="1"/>
          <w:i w:val="1"/>
          <w:iCs w:val="1"/>
          <w:color w:val="auto"/>
        </w:rPr>
        <w:t>Minutes</w:t>
      </w:r>
      <w:r>
        <w:rPr>
          <w:rFonts w:ascii="Arial" w:cs="Arial" w:eastAsia="Arial" w:hAnsi="Arial"/>
          <w:sz w:val="18"/>
          <w:szCs w:val="18"/>
          <w:color w:val="auto"/>
        </w:rPr>
        <w:t>. The board of directors shall cause to be kept regular minutes of its proceedings, and such minutes shall be placed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minute proceedings of the corporation (which may be maintained in paper or electronic form).</w:t>
      </w:r>
    </w:p>
    <w:p>
      <w:pPr>
        <w:spacing w:after="0" w:line="38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-6</w:t>
      </w:r>
      <w:r>
        <w:rPr>
          <w:rFonts w:ascii="Arial" w:cs="Arial" w:eastAsia="Arial" w:hAnsi="Arial"/>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OFFICERS</w:t>
      </w:r>
    </w:p>
    <w:p>
      <w:pPr>
        <w:spacing w:after="0" w:line="207"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i w:val="1"/>
          <w:iCs w:val="1"/>
          <w:color w:val="auto"/>
        </w:rPr>
        <w:t>Number</w:t>
      </w:r>
      <w:r>
        <w:rPr>
          <w:rFonts w:ascii="Arial" w:cs="Arial" w:eastAsia="Arial" w:hAnsi="Arial"/>
          <w:sz w:val="18"/>
          <w:szCs w:val="18"/>
          <w:color w:val="auto"/>
        </w:rPr>
        <w:t>. The officers of the corporation shall be a chairman of the board, a vice chairman of the board, a president,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presidents, a secretary, a treasurer, and such other officers and assistant officers as the board of directors may, by resolution, appoint. Any two or more offices may be held by the same person. In its discretion, the board of directors may choose not to fill any office for any period as it may deem advisable, except the offices of president and secretary.</w:t>
      </w:r>
    </w:p>
    <w:p>
      <w:pPr>
        <w:spacing w:after="0" w:line="180"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i w:val="1"/>
          <w:iCs w:val="1"/>
          <w:color w:val="auto"/>
        </w:rPr>
        <w:t>Election and Term of Office</w:t>
      </w:r>
      <w:r>
        <w:rPr>
          <w:rFonts w:ascii="Arial" w:cs="Arial" w:eastAsia="Arial" w:hAnsi="Arial"/>
          <w:sz w:val="18"/>
          <w:szCs w:val="18"/>
          <w:color w:val="auto"/>
        </w:rPr>
        <w:t>. The officers of the corporation shall be elected annually by the board of directors at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the board of directors. If the election of officers shall not be held at such meeting, such election shall be held as soon thereafter as may be convenient. Each officer shall hold office until the next annual meeting of the board of directors and until his or her successor is duly elected and qualified or until his or her earlier death, resignation or removal as hereinafter provided.</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i w:val="1"/>
          <w:iCs w:val="1"/>
          <w:color w:val="auto"/>
        </w:rPr>
        <w:t>The Chairman of the Board</w:t>
      </w:r>
      <w:r>
        <w:rPr>
          <w:rFonts w:ascii="Arial" w:cs="Arial" w:eastAsia="Arial" w:hAnsi="Arial"/>
          <w:sz w:val="18"/>
          <w:szCs w:val="18"/>
          <w:color w:val="auto"/>
        </w:rPr>
        <w:t>. The chairman of the board shall preside at all meetings of the stockholders and directors. He or she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general and active management of the business of the corporation, shall see that all orders and resolutions of the board of directors are carried into effect and, in connection therewith, shall be authorized to delegate to the vice chairman of the board, president and other officers such of his or her powers and duties as chairman of the board at such time and in such manner as he or she may deem to be advisable. The chairman of the board shall be an ex officio member of all standing committees and he or she shall have such other powers and duties as may from time to time be assigned by the board of directors.</w:t>
      </w:r>
    </w:p>
    <w:p>
      <w:pPr>
        <w:spacing w:after="0" w:line="187"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i w:val="1"/>
          <w:iCs w:val="1"/>
          <w:color w:val="auto"/>
        </w:rPr>
        <w:t>The Vice Chairman of the Board</w:t>
      </w:r>
      <w:r>
        <w:rPr>
          <w:rFonts w:ascii="Arial" w:cs="Arial" w:eastAsia="Arial" w:hAnsi="Arial"/>
          <w:sz w:val="18"/>
          <w:szCs w:val="18"/>
          <w:color w:val="auto"/>
        </w:rPr>
        <w:t>. The vice chairman of the board shall assist the chairman of the board in the management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business of the corporation, and, in the absence or disability of the chairman of the board, shall preside at all meetings of the stockholders and the board of directors and exercise the other powers and perform the other duties of the chairman of the board or designate the executive officers of the corporation by whom such other powers shall be exercised and other duties performed. The vice chairman of the board shall be an ex officio member of all standing committees and he or she shall have such other powers and duties as may from time to time be assigned by the board of directors or by the chairman of the board. In addition to the foregoing, the vice chairman of the board shall have such other powers, duties and authority as may be set forth elsewhere in these bylaws.</w:t>
      </w:r>
    </w:p>
    <w:p>
      <w:pPr>
        <w:spacing w:after="0" w:line="189"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b w:val="1"/>
          <w:bCs w:val="1"/>
          <w:color w:val="auto"/>
        </w:rPr>
        <w:t xml:space="preserve">Section 4.5. </w:t>
      </w:r>
      <w:r>
        <w:rPr>
          <w:rFonts w:ascii="Arial" w:cs="Arial" w:eastAsia="Arial" w:hAnsi="Arial"/>
          <w:sz w:val="17"/>
          <w:szCs w:val="17"/>
          <w:b w:val="1"/>
          <w:bCs w:val="1"/>
          <w:i w:val="1"/>
          <w:iCs w:val="1"/>
          <w:color w:val="auto"/>
        </w:rPr>
        <w:t>The President</w:t>
      </w:r>
      <w:r>
        <w:rPr>
          <w:rFonts w:ascii="Arial" w:cs="Arial" w:eastAsia="Arial" w:hAnsi="Arial"/>
          <w:sz w:val="17"/>
          <w:szCs w:val="17"/>
          <w:color w:val="auto"/>
        </w:rPr>
        <w:t>. The president shall be the corporation’s chief operating officer unless otherwise determined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The president shall assist the chairman of the board in the management of the business of the corporation, and, in the absence or disability of the chairman of the board and the vice chairman of the board, shall preside at all meetings of the stockholders and the board of directors and exercise the other powers and perform the other duties of the chairman of the board or designate the executive officers of the corporation by whom such other powers shall be exercised and other duties performed. The president shall be an ex officio member of all standing committees and he or she shall have such other powers and duties as may from time to time be assigned by the board of directors or by the chairman of the board. In addition to the foregoing, the president shall have such other powers, duties, and authority as may be set forth elsewhere in these bylaws. If the board of directors does not elect a chairman or vice chairman of the board, the president shall also have the duties and responsibilities, and exercise all functions, of the chairman and the vice chairman of the board as provided in these bylaws.</w:t>
      </w:r>
    </w:p>
    <w:p>
      <w:pPr>
        <w:spacing w:after="0" w:line="173"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i w:val="1"/>
          <w:iCs w:val="1"/>
          <w:color w:val="auto"/>
        </w:rPr>
        <w:t>The Chief Executive Officer</w:t>
      </w:r>
      <w:r>
        <w:rPr>
          <w:rFonts w:ascii="Arial" w:cs="Arial" w:eastAsia="Arial" w:hAnsi="Arial"/>
          <w:sz w:val="18"/>
          <w:szCs w:val="18"/>
          <w:color w:val="auto"/>
        </w:rPr>
        <w:t>. The board of directors may designate an individual, whether or not such individual is an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to serve as the chief executive officer of the corporation. The chief executive officer shall have the duties and responsibilities, and exercise all functions, as the board of directors may determine.</w:t>
      </w:r>
    </w:p>
    <w:p>
      <w:pPr>
        <w:spacing w:after="0" w:line="176"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b w:val="1"/>
          <w:bCs w:val="1"/>
          <w:i w:val="1"/>
          <w:iCs w:val="1"/>
          <w:color w:val="auto"/>
        </w:rPr>
        <w:t>The Chief Financial Officer</w:t>
      </w:r>
      <w:r>
        <w:rPr>
          <w:rFonts w:ascii="Arial" w:cs="Arial" w:eastAsia="Arial" w:hAnsi="Arial"/>
          <w:sz w:val="18"/>
          <w:szCs w:val="18"/>
          <w:color w:val="auto"/>
        </w:rPr>
        <w:t>. The board of directors may designate an individual, whether or not such individual is an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to serve as the chief financial officer of the corporation. The chief financial officer shall have the duties and responsibilities, and exercise all functions, as the board of directors may determine.</w:t>
      </w:r>
    </w:p>
    <w:p>
      <w:pPr>
        <w:spacing w:after="0" w:line="17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b w:val="1"/>
          <w:bCs w:val="1"/>
          <w:i w:val="1"/>
          <w:iCs w:val="1"/>
          <w:color w:val="auto"/>
        </w:rPr>
        <w:t>Vice Presidents</w:t>
      </w:r>
      <w:r>
        <w:rPr>
          <w:rFonts w:ascii="Arial" w:cs="Arial" w:eastAsia="Arial" w:hAnsi="Arial"/>
          <w:sz w:val="18"/>
          <w:szCs w:val="18"/>
          <w:color w:val="auto"/>
        </w:rPr>
        <w:t>. Each vice president shall have such powers and discharge such duties as may be assigned from time to time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chairman of the board, the vice chairman of the board or the president. During</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the absence or disability of the president, first the chief executive officer and in the absence or disability of the chief executive officer, one such vice president, when designated by the board of directors, shall exercise all the functions of the president.</w:t>
      </w:r>
    </w:p>
    <w:p>
      <w:pPr>
        <w:spacing w:after="0" w:line="166"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b w:val="1"/>
          <w:bCs w:val="1"/>
          <w:color w:val="auto"/>
        </w:rPr>
        <w:t xml:space="preserve">Section 4.9. </w:t>
      </w:r>
      <w:r>
        <w:rPr>
          <w:rFonts w:ascii="Arial" w:cs="Arial" w:eastAsia="Arial" w:hAnsi="Arial"/>
          <w:sz w:val="16"/>
          <w:szCs w:val="16"/>
          <w:b w:val="1"/>
          <w:bCs w:val="1"/>
          <w:i w:val="1"/>
          <w:iCs w:val="1"/>
          <w:color w:val="auto"/>
        </w:rPr>
        <w:t>The Secretary and Assistant Secretary</w:t>
      </w:r>
      <w:r>
        <w:rPr>
          <w:rFonts w:ascii="Arial" w:cs="Arial" w:eastAsia="Arial" w:hAnsi="Arial"/>
          <w:sz w:val="16"/>
          <w:szCs w:val="16"/>
          <w:color w:val="auto"/>
        </w:rPr>
        <w:t>. The secretary or the chairman of the board shall issue notices for all meetings. The</w:t>
      </w:r>
      <w:r>
        <w:rPr>
          <w:rFonts w:ascii="Arial" w:cs="Arial" w:eastAsia="Arial" w:hAnsi="Arial"/>
          <w:sz w:val="16"/>
          <w:szCs w:val="16"/>
          <w:b w:val="1"/>
          <w:bCs w:val="1"/>
          <w:color w:val="auto"/>
        </w:rPr>
        <w:t xml:space="preserve"> </w:t>
      </w:r>
      <w:r>
        <w:rPr>
          <w:rFonts w:ascii="Arial" w:cs="Arial" w:eastAsia="Arial" w:hAnsi="Arial"/>
          <w:sz w:val="16"/>
          <w:szCs w:val="16"/>
          <w:color w:val="auto"/>
        </w:rPr>
        <w:t>secretary shall keep minutes of all meetings of the board of directors, the committees thereof and the stockholders, shall have charge of the seal and the corporate books and shall make such reports and perform such other duties as are incident to the office, and perform such other duties designated or properly required by the chairman of the board, the vice chairman of the board, the president or the chief executive officer. The secretary shall keep, or cause to be kept, at the principal executive office of the corporation or at the office of the corporation’s transfer agent or registrar,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 The assistant secretary shall be vested with the same powers and duties as the secretary, and any act may be done or duty performed by the assistant secretary with like effect as though done or performed by the secretary. The assistant secretary shall have such other powers and perform such other duties as may be assigned by the chairman of the board, the vice chairman of the board, the president or the chief executive officer.</w:t>
      </w:r>
    </w:p>
    <w:p>
      <w:pPr>
        <w:spacing w:after="0" w:line="161"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i w:val="1"/>
          <w:iCs w:val="1"/>
          <w:color w:val="auto"/>
        </w:rPr>
        <w:t>The Treasurer and Assistant Treasurer</w:t>
      </w:r>
      <w:r>
        <w:rPr>
          <w:rFonts w:ascii="Arial" w:cs="Arial" w:eastAsia="Arial" w:hAnsi="Arial"/>
          <w:sz w:val="16"/>
          <w:szCs w:val="16"/>
          <w:color w:val="auto"/>
        </w:rPr>
        <w:t>. The treasurer shall have the custody of all moneys and securities of the corporation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keep regular books of account. He or she shall disburse the funds of the corporation in payment of just demands against the corporation, or as may be ordered by the chairman of the board, the vice chairman of the board, the president, the chief executive officer or by the board of directors, taking proper vouchers for such disbursements, and shall render to the board of directors from time to time as may be required of him or her, an account of all transactions as treasurer and of the financial condition of the corporation. The treasurer shall perform all duties incident to the office, and perform such other duties designated or properly required by the chairman of the board, the vice chairman of the board, the president or the chief executive officer. The assistant treasurer shall be vested with the same powers and duties as the treasurer, and any act may be done, or duty performed by the assistant treasurer with like effect as though done or performed by the treasurer. The assistant treasurer shall have such other powers and perform such other duties as may be assigned by the chairman of the board, the vice chairman of the board, the president or the chief executive officer.</w:t>
      </w:r>
    </w:p>
    <w:p>
      <w:pPr>
        <w:spacing w:after="0" w:line="166"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i w:val="1"/>
          <w:iCs w:val="1"/>
          <w:color w:val="auto"/>
        </w:rPr>
        <w:t>Vacancies</w:t>
      </w:r>
      <w:r>
        <w:rPr>
          <w:rFonts w:ascii="Arial" w:cs="Arial" w:eastAsia="Arial" w:hAnsi="Arial"/>
          <w:sz w:val="18"/>
          <w:szCs w:val="18"/>
          <w:color w:val="auto"/>
        </w:rPr>
        <w:t>. Vacancies in any office arising from any cause may be filled by the directors for the unexpired portion of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with a majority vote of the directors then in office. In the case of the absence or inability to act of any officer of the corporation and of any person herein authorized to act in his or her place, the board of directors may from time to time delegate the powers or duties of such officer to any other officer or any director or other person whom it may select.</w:t>
      </w:r>
    </w:p>
    <w:p>
      <w:pPr>
        <w:spacing w:after="0" w:line="18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i w:val="1"/>
          <w:iCs w:val="1"/>
          <w:color w:val="auto"/>
        </w:rPr>
        <w:t>Other Officers, Assistant Officers and Agents</w:t>
      </w:r>
      <w:r>
        <w:rPr>
          <w:rFonts w:ascii="Arial" w:cs="Arial" w:eastAsia="Arial" w:hAnsi="Arial"/>
          <w:sz w:val="18"/>
          <w:szCs w:val="18"/>
          <w:color w:val="auto"/>
        </w:rPr>
        <w:t>. Officers, assistant officers, and agents, if any, other than those whose duties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in these bylaws shall hold their offices for such terms and shall exercise such powers and perform such duties as the board of directors may determine.</w:t>
      </w:r>
    </w:p>
    <w:p>
      <w:pPr>
        <w:spacing w:after="0" w:line="176"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7"/>
          <w:szCs w:val="17"/>
          <w:b w:val="1"/>
          <w:bCs w:val="1"/>
          <w:color w:val="auto"/>
        </w:rPr>
        <w:t xml:space="preserve">Section 4.13. </w:t>
      </w:r>
      <w:r>
        <w:rPr>
          <w:rFonts w:ascii="Arial" w:cs="Arial" w:eastAsia="Arial" w:hAnsi="Arial"/>
          <w:sz w:val="17"/>
          <w:szCs w:val="17"/>
          <w:b w:val="1"/>
          <w:bCs w:val="1"/>
          <w:i w:val="1"/>
          <w:iCs w:val="1"/>
          <w:color w:val="auto"/>
        </w:rPr>
        <w:t>Normal Duties and Responsibilities of Officers</w:t>
      </w:r>
      <w:r>
        <w:rPr>
          <w:rFonts w:ascii="Arial" w:cs="Arial" w:eastAsia="Arial" w:hAnsi="Arial"/>
          <w:sz w:val="17"/>
          <w:szCs w:val="17"/>
          <w:color w:val="auto"/>
        </w:rPr>
        <w:t>. Unless otherwise provided in these bylaws or the board of directors decides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if an officer title is one commonly used for officers of a business corporation formed under the Delaware General Corporation Law or any successor or similar statute, the assignment of such title shall constitute the delegation to such officer of the authority and duties that are normally associated with that office, subject to any specific delegation of authority and duties made to such officer by the board of directors.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INDEMNIFICATION AND INSURANCE OF DIRECTORS, OFFICERS AND OTHERS</w:t>
      </w:r>
    </w:p>
    <w:p>
      <w:pPr>
        <w:spacing w:after="0" w:line="207"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b w:val="1"/>
          <w:bCs w:val="1"/>
          <w:i w:val="1"/>
          <w:iCs w:val="1"/>
          <w:color w:val="auto"/>
        </w:rPr>
        <w:t>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the fullest extent permitted by Delaware law, the corporation shall indemnify any and all officers and</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the corporation from and against all expenses (including attorneys’ fees), liabilities or other matters arising out of their status as such or their acts, omissions or services rendered by such persons in such capacities or otherwise while serving at the request of the corporation in any other capacity. Unless specifically addressed in a repeal or amendment of Delaware law with regard to a corporation’s ability to indemnify</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color w:val="auto"/>
        </w:rPr>
        <w:t>any such person, no such repeal or amendment shall adversely affect any indemnification rights of any such person existing at the time of such repeal or amendment.</w:t>
      </w:r>
    </w:p>
    <w:p>
      <w:pPr>
        <w:spacing w:after="0" w:line="16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b w:val="1"/>
          <w:bCs w:val="1"/>
          <w:i w:val="1"/>
          <w:iCs w:val="1"/>
          <w:color w:val="auto"/>
        </w:rPr>
        <w:t>Advancement of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(including attorneys’ fees) incurred by a director or officer who was, is or is threatened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made a named defendant or respondent in a proceeding by reason of his or her status as a director or officer of the corporation or services rendered by such persons in such capacities or otherwise at the request of the corporation or incurred by a director or officer for prosecuting a claim under </w:t>
      </w:r>
      <w:r>
        <w:rPr>
          <w:rFonts w:ascii="Arial" w:cs="Arial" w:eastAsia="Arial" w:hAnsi="Arial"/>
          <w:sz w:val="18"/>
          <w:szCs w:val="18"/>
          <w:b w:val="1"/>
          <w:bCs w:val="1"/>
          <w:color w:val="auto"/>
        </w:rPr>
        <w:t>Section 5.3</w:t>
      </w:r>
      <w:r>
        <w:rPr>
          <w:rFonts w:ascii="Arial" w:cs="Arial" w:eastAsia="Arial" w:hAnsi="Arial"/>
          <w:sz w:val="18"/>
          <w:szCs w:val="18"/>
          <w:color w:val="auto"/>
        </w:rPr>
        <w:t xml:space="preserve"> shall be paid by the corporation in advance of the final disposition of such proceeding upon receipt of a written undertaking by or on behalf of the director or officer to repay such amount if it shall ultimately be determined that he or she is not entitled to be indemnified by the corporation as authorized in this Article.</w:t>
      </w:r>
    </w:p>
    <w:p>
      <w:pPr>
        <w:spacing w:after="0" w:line="187"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b w:val="1"/>
          <w:bCs w:val="1"/>
          <w:color w:val="auto"/>
        </w:rPr>
        <w:t xml:space="preserve">Section 5.3. </w:t>
      </w:r>
      <w:r>
        <w:rPr>
          <w:rFonts w:ascii="Arial" w:cs="Arial" w:eastAsia="Arial" w:hAnsi="Arial"/>
          <w:sz w:val="17"/>
          <w:szCs w:val="17"/>
          <w:b w:val="1"/>
          <w:bCs w:val="1"/>
          <w:i w:val="1"/>
          <w:iCs w:val="1"/>
          <w:color w:val="auto"/>
        </w:rPr>
        <w:t>Expenses of Contested Indemnification Claims.</w:t>
      </w:r>
      <w:r>
        <w:rPr>
          <w:rFonts w:ascii="Arial" w:cs="Arial" w:eastAsia="Arial" w:hAnsi="Arial"/>
          <w:sz w:val="17"/>
          <w:szCs w:val="17"/>
          <w:b w:val="1"/>
          <w:bCs w:val="1"/>
          <w:color w:val="auto"/>
        </w:rPr>
        <w:t xml:space="preserve"> </w:t>
      </w:r>
      <w:r>
        <w:rPr>
          <w:rFonts w:ascii="Arial" w:cs="Arial" w:eastAsia="Arial" w:hAnsi="Arial"/>
          <w:sz w:val="17"/>
          <w:szCs w:val="17"/>
          <w:color w:val="auto"/>
        </w:rPr>
        <w:t>If a claimant makes a claim on the corporation under</w:t>
      </w:r>
      <w:r>
        <w:rPr>
          <w:rFonts w:ascii="Arial" w:cs="Arial" w:eastAsia="Arial" w:hAnsi="Arial"/>
          <w:sz w:val="17"/>
          <w:szCs w:val="17"/>
          <w:b w:val="1"/>
          <w:bCs w:val="1"/>
          <w:color w:val="auto"/>
        </w:rPr>
        <w:t xml:space="preserve"> Section 5.1 </w:t>
      </w:r>
      <w:r>
        <w:rPr>
          <w:rFonts w:ascii="Arial" w:cs="Arial" w:eastAsia="Arial" w:hAnsi="Arial"/>
          <w:sz w:val="17"/>
          <w:szCs w:val="17"/>
          <w:color w:val="auto"/>
        </w:rPr>
        <w:t>or</w:t>
      </w:r>
      <w:r>
        <w:rPr>
          <w:rFonts w:ascii="Arial" w:cs="Arial" w:eastAsia="Arial" w:hAnsi="Arial"/>
          <w:sz w:val="17"/>
          <w:szCs w:val="17"/>
          <w:b w:val="1"/>
          <w:bCs w:val="1"/>
          <w:color w:val="auto"/>
        </w:rPr>
        <w:t xml:space="preserve"> 5.2 </w:t>
      </w:r>
      <w:r>
        <w:rPr>
          <w:rFonts w:ascii="Arial" w:cs="Arial" w:eastAsia="Arial" w:hAnsi="Arial"/>
          <w:sz w:val="17"/>
          <w:szCs w:val="17"/>
          <w:color w:val="auto"/>
        </w:rPr>
        <w:t>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does not pay such claim in full within thirty days after it has received such written claim, the claimant may at any time thereafter bring suit against the corporation to recover the unpaid amount of the claim and, if successful in whole or in part, the claimant shall also be entitled to be paid also the expenses of prosecuting such claim. It shall be a defense to any such action that such indemnification of advancement of costs of defense are not permitted under the General Corporation Law of Delaware or other applicable law, but the burden of proving such defense shall be on the corporation. Neither the failure of the corporation (including its board of directors or any committee thereof, special legal counsel or stockholders) to have made its determination prior to the commencement of such action that indemnification of, or advancement of costs of defense to, the claimant is permissible in the circumstances nor an actual determination by the corporation (including its board of directors or any committee thereof, special legal counsel, or stockholders) that such indemnification or advancement is not permissible, shall be a defense to the action or create a presumption that such indemnification or advancement is not permissible.</w:t>
      </w:r>
    </w:p>
    <w:p>
      <w:pPr>
        <w:spacing w:after="0" w:line="177"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b w:val="1"/>
          <w:bCs w:val="1"/>
          <w:i w:val="1"/>
          <w:iCs w:val="1"/>
          <w:color w:val="auto"/>
        </w:rPr>
        <w:t>Indemnification Not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The indemnification and advancement of expenses provided by, or granted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shall not be deemed exclusive of any other rights to which those seeking indemnification or advancement of expenses may be entitled under any other bylaw, agreement, vote of stockholders or disinterested directors or otherwise, both as to action in his or her official capacity and as to action in another capacity while holding such office.</w:t>
      </w:r>
    </w:p>
    <w:p>
      <w:pPr>
        <w:spacing w:after="0" w:line="18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Section 5.5. </w:t>
      </w:r>
      <w:r>
        <w:rPr>
          <w:rFonts w:ascii="Arial" w:cs="Arial" w:eastAsia="Arial" w:hAnsi="Arial"/>
          <w:sz w:val="18"/>
          <w:szCs w:val="18"/>
          <w:b w:val="1"/>
          <w:bCs w:val="1"/>
          <w:i w:val="1"/>
          <w:iCs w:val="1"/>
          <w:color w:val="auto"/>
        </w:rPr>
        <w:t>Survival of Indemnification and Advancement of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The indemnification and advancement of expenses provided by, or</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pursuant to, this Article shall continue as to a person who has ceased to be a director or officer and shall inure to the benefit of the heirs, executors and administrators of such person.</w:t>
      </w:r>
    </w:p>
    <w:p>
      <w:pPr>
        <w:spacing w:after="0" w:line="176"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i w:val="1"/>
          <w:iCs w:val="1"/>
          <w:color w:val="auto"/>
        </w:rPr>
        <w:t>Employees, Agents and Others.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fullest extent of Delaware law, the corporation may grant rights of indemnification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advancement of expenses to any person who is not at the time a current director or officer of the corporation.</w:t>
      </w:r>
    </w:p>
    <w:p>
      <w:pPr>
        <w:spacing w:after="0" w:line="162"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b w:val="1"/>
          <w:bCs w:val="1"/>
          <w:i w:val="1"/>
          <w:iCs w:val="1"/>
          <w:color w:val="auto"/>
        </w:rPr>
        <w:t>Contract Right.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rights of indemnification and advancement of expenses provided by, or granted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shall be a contract right that will survive the termination of any person’s service as a director or officer and any repeal or amendment of the provisions of this Article shall not adversely affect any such right of any person existing at the time of such repeal or amendment with respect to any act or omission occurring prior to the time of such repeal or amendment, and further, shall not apply to any proceeding, irrespective of when the proceeding is initiated, arising from the service of such person prior to such repeal or amendment.</w:t>
      </w:r>
    </w:p>
    <w:p>
      <w:pPr>
        <w:spacing w:after="0" w:line="183"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i w:val="1"/>
          <w:iCs w:val="1"/>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fullest extent of Delaware law, the corporation shall have power to purchase and maintain insurance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including one who is or was a director, officer, employee or agent of the corporation or is or was serving at the request of the corporation as a director, officer, employee or agent of another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 or Delaware law.</w:t>
      </w:r>
    </w:p>
    <w:p>
      <w:pPr>
        <w:spacing w:after="0" w:line="183"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b w:val="1"/>
          <w:bCs w:val="1"/>
          <w:i w:val="1"/>
          <w:iCs w:val="1"/>
          <w:color w:val="auto"/>
        </w:rPr>
        <w:t>Certain References Under Article V.</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Article, references to “</w:t>
      </w:r>
      <w:r>
        <w:rPr>
          <w:rFonts w:ascii="Arial" w:cs="Arial" w:eastAsia="Arial" w:hAnsi="Arial"/>
          <w:sz w:val="18"/>
          <w:szCs w:val="18"/>
          <w:i w:val="1"/>
          <w:iCs w:val="1"/>
          <w:color w:val="auto"/>
        </w:rPr>
        <w:t>the corporation</w:t>
      </w:r>
      <w:r>
        <w:rPr>
          <w:rFonts w:ascii="Arial" w:cs="Arial" w:eastAsia="Arial" w:hAnsi="Arial"/>
          <w:sz w:val="18"/>
          <w:szCs w:val="18"/>
          <w:color w:val="auto"/>
        </w:rPr>
        <w:t>,” “</w:t>
      </w:r>
      <w:r>
        <w:rPr>
          <w:rFonts w:ascii="Arial" w:cs="Arial" w:eastAsia="Arial" w:hAnsi="Arial"/>
          <w:sz w:val="18"/>
          <w:szCs w:val="18"/>
          <w:i w:val="1"/>
          <w:iCs w:val="1"/>
          <w:color w:val="auto"/>
        </w:rPr>
        <w:t>other enterprise</w:t>
      </w:r>
      <w:r>
        <w:rPr>
          <w:rFonts w:ascii="Arial" w:cs="Arial" w:eastAsia="Arial" w:hAnsi="Arial"/>
          <w:sz w:val="18"/>
          <w:szCs w:val="18"/>
          <w:color w:val="auto"/>
        </w:rPr>
        <w:t>” and “</w:t>
      </w:r>
      <w:r>
        <w:rPr>
          <w:rFonts w:ascii="Arial" w:cs="Arial" w:eastAsia="Arial" w:hAnsi="Arial"/>
          <w:sz w:val="18"/>
          <w:szCs w:val="18"/>
          <w:i w:val="1"/>
          <w:iCs w:val="1"/>
          <w:color w:val="auto"/>
        </w:rPr>
        <w:t>serving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at the request of the corporation</w:t>
      </w:r>
      <w:r>
        <w:rPr>
          <w:rFonts w:ascii="Arial" w:cs="Arial" w:eastAsia="Arial" w:hAnsi="Arial"/>
          <w:sz w:val="18"/>
          <w:szCs w:val="18"/>
          <w:color w:val="auto"/>
        </w:rPr>
        <w:t>” shall have the meanings given such terms in Section 145 of the Delaware General Corporation Law or any successor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statute. As used herein,</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jc w:val="both"/>
        <w:spacing w:after="0" w:line="30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proceeding</w:t>
      </w:r>
      <w:r>
        <w:rPr>
          <w:rFonts w:ascii="Arial" w:cs="Arial" w:eastAsia="Arial" w:hAnsi="Arial"/>
          <w:sz w:val="17"/>
          <w:szCs w:val="17"/>
          <w:color w:val="auto"/>
        </w:rPr>
        <w:t>” means any threatened, pending or completed action, suit or proceeding, whether civil, criminal, administrative, arbitrative or investigative, any appeal in such an action, suit or proceeding, and any inquiry or investigation that could lead to such an action, suit or proceeding.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STOCK CERTIFICATES</w:t>
      </w:r>
    </w:p>
    <w:p>
      <w:pPr>
        <w:spacing w:after="0" w:line="207"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7"/>
          <w:szCs w:val="17"/>
          <w:b w:val="1"/>
          <w:bCs w:val="1"/>
          <w:color w:val="auto"/>
        </w:rPr>
        <w:t xml:space="preserve">Section 6.1. </w:t>
      </w:r>
      <w:r>
        <w:rPr>
          <w:rFonts w:ascii="Arial" w:cs="Arial" w:eastAsia="Arial" w:hAnsi="Arial"/>
          <w:sz w:val="17"/>
          <w:szCs w:val="17"/>
          <w:b w:val="1"/>
          <w:bCs w:val="1"/>
          <w:i w:val="1"/>
          <w:iCs w:val="1"/>
          <w:color w:val="auto"/>
        </w:rPr>
        <w:t>Form</w:t>
      </w:r>
      <w:r>
        <w:rPr>
          <w:rFonts w:ascii="Arial" w:cs="Arial" w:eastAsia="Arial" w:hAnsi="Arial"/>
          <w:sz w:val="17"/>
          <w:szCs w:val="17"/>
          <w:color w:val="auto"/>
        </w:rPr>
        <w:t>. The shares of stock of the corporation shall be represented by certificates, or shall be uncertificated shares. Every holder</w:t>
      </w:r>
      <w:r>
        <w:rPr>
          <w:rFonts w:ascii="Arial" w:cs="Arial" w:eastAsia="Arial" w:hAnsi="Arial"/>
          <w:sz w:val="17"/>
          <w:szCs w:val="17"/>
          <w:b w:val="1"/>
          <w:bCs w:val="1"/>
          <w:color w:val="auto"/>
        </w:rPr>
        <w:t xml:space="preserve"> </w:t>
      </w:r>
      <w:r>
        <w:rPr>
          <w:rFonts w:ascii="Arial" w:cs="Arial" w:eastAsia="Arial" w:hAnsi="Arial"/>
          <w:sz w:val="17"/>
          <w:szCs w:val="17"/>
          <w:color w:val="auto"/>
        </w:rPr>
        <w:t>of uncertificated shares of the corporation shall be entitled upon request to have a stock certificate issued to such holder signed by the chairman of the board, the president, the chief executive officer or any vice president and the secretary, any assistant secretary, the treasurer or any assistant treasurer, certifying to the number of shares owned by such stockholder. Where, however, such certificate is signed by a transfer agent or an assistant transfer agent or by a transfer clerk acting on behalf of the corporation, and a registrar or by an agent acting in the dual capacity of transfer agent and registrar, the signatures of any of the above-named officers may be facsimile signatures. In the event that any officer who has signed, or whose facsimile signature has been used on, a certificate ceases to be an officer before the certificate has been delivered, such certificate may nevertheless be adopted and issued and delivered by the corporation, as though the officer who signed such certificate or certificates, or whose facsimile signature or signatures shall have been used thereon, had not ceased to be such officer of the corporation. All certificates for shares shall be consecutively numbered or otherwise identified. The name of the person to whom either certificated or uncertificated shares are issued, with the number of shares and date of issue, shall be entered on the books of the corporation. Notwithstanding any other provision in these bylaws, the corporation may adopt a system of issuance, recordation and transfer of its shares by electronic or other means not involving any issuance of certificates, including provisions for notice to purchasers in substitution for any required statements or certificates, and as may be required by applicable law, which system has been approved by the U.S. Securities and Exchange Commission. Any system so adopted shall not become effective as to issued and outstanding certificated securities until the certificates therefor have been surrendered to the corporation.</w:t>
      </w:r>
    </w:p>
    <w:p>
      <w:pPr>
        <w:spacing w:after="0" w:line="18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i w:val="1"/>
          <w:iCs w:val="1"/>
          <w:color w:val="auto"/>
        </w:rPr>
        <w:t>Transfers.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of stock shall be made only upon the transfer books of the corporation or respective transfer agents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to transfer the several classes of stock and, in the case of shares represented by a certificate or certificates, upon the surrender of a properly endorsed certificate or certificates for a like number of shares.</w:t>
      </w:r>
    </w:p>
    <w:p>
      <w:pPr>
        <w:spacing w:after="0" w:line="17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b w:val="1"/>
          <w:bCs w:val="1"/>
          <w:color w:val="auto"/>
        </w:rPr>
        <w:t xml:space="preserve">Section 6.3. </w:t>
      </w:r>
      <w:r>
        <w:rPr>
          <w:rFonts w:ascii="Arial" w:cs="Arial" w:eastAsia="Arial" w:hAnsi="Arial"/>
          <w:sz w:val="17"/>
          <w:szCs w:val="17"/>
          <w:b w:val="1"/>
          <w:bCs w:val="1"/>
          <w:i w:val="1"/>
          <w:iCs w:val="1"/>
          <w:color w:val="auto"/>
        </w:rPr>
        <w:t>Lost or Destroyed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may issue a new stock certificate in place of any certificate theretofore issued by</w:t>
      </w:r>
      <w:r>
        <w:rPr>
          <w:rFonts w:ascii="Arial" w:cs="Arial" w:eastAsia="Arial" w:hAnsi="Arial"/>
          <w:sz w:val="17"/>
          <w:szCs w:val="17"/>
          <w:b w:val="1"/>
          <w:bCs w:val="1"/>
          <w:color w:val="auto"/>
        </w:rPr>
        <w:t xml:space="preserve"> </w:t>
      </w:r>
      <w:r>
        <w:rPr>
          <w:rFonts w:ascii="Arial" w:cs="Arial" w:eastAsia="Arial" w:hAnsi="Arial"/>
          <w:sz w:val="17"/>
          <w:szCs w:val="17"/>
          <w:color w:val="auto"/>
        </w:rPr>
        <w:t>it, alleged to have been lost, stolen or destroyed, and the corporation shall, except as otherwise determined by the board of directors, the chairman of the board, the president, the chief executive officer any vice president or other authorized officer, require the owner of the lost, stolen or destroyed certificate, or his or her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68"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7"/>
          <w:szCs w:val="17"/>
          <w:b w:val="1"/>
          <w:bCs w:val="1"/>
          <w:color w:val="auto"/>
        </w:rPr>
        <w:t xml:space="preserve">Section 6.4. </w:t>
      </w:r>
      <w:r>
        <w:rPr>
          <w:rFonts w:ascii="Arial" w:cs="Arial" w:eastAsia="Arial" w:hAnsi="Arial"/>
          <w:sz w:val="17"/>
          <w:szCs w:val="17"/>
          <w:b w:val="1"/>
          <w:bCs w:val="1"/>
          <w:i w:val="1"/>
          <w:iCs w:val="1"/>
          <w:color w:val="auto"/>
        </w:rPr>
        <w:t>Registered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be entitled to recognize the exclusive right of a person registered on its books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owner of shares to receive dividends, and to vote as such owner, and to hold liable for calls and assessments a person registered on its books as the owner of shares, and shall not be bound to recognize any equitable or other claim to or interest in such shares on the part of another person, whether or not the corporation shall have express or other notice thereof, </w:t>
      </w:r>
      <w:r>
        <w:rPr>
          <w:rFonts w:ascii="Arial" w:cs="Arial" w:eastAsia="Arial" w:hAnsi="Arial"/>
          <w:sz w:val="17"/>
          <w:szCs w:val="17"/>
          <w:i w:val="1"/>
          <w:iCs w:val="1"/>
          <w:color w:val="auto"/>
        </w:rPr>
        <w:t>except</w:t>
      </w:r>
      <w:r>
        <w:rPr>
          <w:rFonts w:ascii="Arial" w:cs="Arial" w:eastAsia="Arial" w:hAnsi="Arial"/>
          <w:sz w:val="17"/>
          <w:szCs w:val="17"/>
          <w:color w:val="auto"/>
        </w:rPr>
        <w:t xml:space="preserve"> as otherwise provided by the laws of the state of Delaware.</w:t>
      </w:r>
    </w:p>
    <w:p>
      <w:pPr>
        <w:spacing w:after="0" w:line="16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Section 6.5. </w:t>
      </w:r>
      <w:r>
        <w:rPr>
          <w:rFonts w:ascii="Arial" w:cs="Arial" w:eastAsia="Arial" w:hAnsi="Arial"/>
          <w:sz w:val="18"/>
          <w:szCs w:val="18"/>
          <w:b w:val="1"/>
          <w:bCs w:val="1"/>
          <w:i w:val="1"/>
          <w:iCs w:val="1"/>
          <w:color w:val="auto"/>
        </w:rPr>
        <w:t>Restrictions on Transfers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any restriction on the transfer of shares of the corporation’s stock shall be placed</w:t>
      </w:r>
      <w:r>
        <w:rPr>
          <w:rFonts w:ascii="Arial" w:cs="Arial" w:eastAsia="Arial" w:hAnsi="Arial"/>
          <w:sz w:val="18"/>
          <w:szCs w:val="18"/>
          <w:b w:val="1"/>
          <w:bCs w:val="1"/>
          <w:color w:val="auto"/>
        </w:rPr>
        <w:t xml:space="preserve"> </w:t>
      </w:r>
      <w:r>
        <w:rPr>
          <w:rFonts w:ascii="Arial" w:cs="Arial" w:eastAsia="Arial" w:hAnsi="Arial"/>
          <w:sz w:val="18"/>
          <w:szCs w:val="18"/>
          <w:color w:val="auto"/>
        </w:rPr>
        <w:t>on each certificate of stock issued, or in the case of uncertificated shares, contained in the notice sent to the registered holder of such shares in accordance with the laws of the state of Delaware.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CERTAIN BUSINESS COMBINATIONS</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provision of Section 203 of the Delaware General Corporation Law shall not apply to the corporation.</w:t>
      </w:r>
    </w:p>
    <w:p>
      <w:pPr>
        <w:spacing w:after="0" w:line="200" w:lineRule="exact"/>
        <w:rPr>
          <w:sz w:val="20"/>
          <w:szCs w:val="20"/>
          <w:color w:val="auto"/>
        </w:rPr>
      </w:pPr>
    </w:p>
    <w:p>
      <w:pPr>
        <w:spacing w:after="0" w:line="24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w:t>
      </w:r>
      <w:r>
        <w:rPr>
          <w:rFonts w:ascii="Arial" w:cs="Arial" w:eastAsia="Arial" w:hAnsi="Arial"/>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jc w:val="center"/>
        <w:ind w:right="420"/>
        <w:spacing w:after="0"/>
        <w:rPr>
          <w:sz w:val="20"/>
          <w:szCs w:val="20"/>
          <w:color w:val="auto"/>
        </w:rPr>
      </w:pPr>
      <w:r>
        <w:rPr>
          <w:rFonts w:ascii="Arial" w:cs="Arial" w:eastAsia="Arial" w:hAnsi="Arial"/>
          <w:sz w:val="18"/>
          <w:szCs w:val="18"/>
          <w:color w:val="auto"/>
        </w:rPr>
        <w:t>This Article VII shall be amended, altered or repealed only as provided in Section 203 of the Delaware General Corporation Law.</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GENERAL PROVISIONS</w:t>
      </w:r>
    </w:p>
    <w:p>
      <w:pPr>
        <w:spacing w:after="0" w:line="9" w:lineRule="exact"/>
        <w:rPr>
          <w:sz w:val="20"/>
          <w:szCs w:val="20"/>
          <w:color w:val="auto"/>
        </w:rPr>
      </w:pPr>
    </w:p>
    <w:p>
      <w:pPr>
        <w:jc w:val="both"/>
        <w:ind w:right="20" w:firstLine="864"/>
        <w:spacing w:after="0" w:line="252" w:lineRule="auto"/>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i w:val="1"/>
          <w:iCs w:val="1"/>
          <w:color w:val="auto"/>
        </w:rPr>
        <w:t>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upon the capital stock of the corporation, subject to any applicable provisions of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may be declared by the board of directors at any regular or special meeting, pursuant to law. Dividends may be paid in cash, in property or in shares of the capital stock, subject to the applicable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in the best interest of the corporation, and the directors may modify or abolish any such reserve in the manner in which it was created.</w:t>
      </w:r>
    </w:p>
    <w:p>
      <w:pPr>
        <w:spacing w:after="0" w:line="188" w:lineRule="exact"/>
        <w:rPr>
          <w:sz w:val="20"/>
          <w:szCs w:val="20"/>
          <w:color w:val="auto"/>
        </w:rPr>
      </w:pPr>
    </w:p>
    <w:p>
      <w:pPr>
        <w:jc w:val="both"/>
        <w:ind w:right="20" w:firstLine="864"/>
        <w:spacing w:after="0" w:line="292" w:lineRule="auto"/>
        <w:rPr>
          <w:sz w:val="20"/>
          <w:szCs w:val="20"/>
          <w:color w:val="auto"/>
        </w:rPr>
      </w:pPr>
      <w:r>
        <w:rPr>
          <w:rFonts w:ascii="Arial" w:cs="Arial" w:eastAsia="Arial" w:hAnsi="Arial"/>
          <w:sz w:val="16"/>
          <w:szCs w:val="16"/>
          <w:b w:val="1"/>
          <w:bCs w:val="1"/>
          <w:color w:val="auto"/>
        </w:rPr>
        <w:t xml:space="preserve">Section 8.2. </w:t>
      </w:r>
      <w:r>
        <w:rPr>
          <w:rFonts w:ascii="Arial" w:cs="Arial" w:eastAsia="Arial" w:hAnsi="Arial"/>
          <w:sz w:val="16"/>
          <w:szCs w:val="16"/>
          <w:b w:val="1"/>
          <w:bCs w:val="1"/>
          <w:i w:val="1"/>
          <w:iCs w:val="1"/>
          <w:color w:val="auto"/>
        </w:rPr>
        <w:t>Accounts.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chairman of the board, vice chairman of the board, president, the chief executive officer or any vice president is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for and on behalf of the corporation: to establish, maintain and to close depositary accounts, in the corporation’s name, for the deposit and withdrawal of corporation funds; to designate those individuals authorized to withdraw funds or sign checks in said depositary accounts; and to execute customer agreements with respect to such depositary accounts, including forms of corporate resolutions, certified with respect to the approval of the board of directors as of the date such forms of corporate resolutions are executed. The secretary or assistant secretary is, authorized for and on behalf of the corporation without further action of the board of directors to certify as to the approval of the board of directors of forms of resolutions regarding any of such depositary or trading accounts as of the date the officer of the corporation executes the customer agreement with respect to each such account.</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NOTICES</w:t>
      </w:r>
    </w:p>
    <w:p>
      <w:pPr>
        <w:spacing w:after="0" w:line="207" w:lineRule="exact"/>
        <w:rPr>
          <w:sz w:val="20"/>
          <w:szCs w:val="20"/>
          <w:color w:val="auto"/>
        </w:rPr>
      </w:pPr>
    </w:p>
    <w:p>
      <w:pPr>
        <w:jc w:val="both"/>
        <w:ind w:right="20" w:firstLine="864"/>
        <w:spacing w:after="0" w:line="255" w:lineRule="auto"/>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i w:val="1"/>
          <w:iCs w:val="1"/>
          <w:color w:val="auto"/>
        </w:rPr>
        <w:t>General</w:t>
      </w:r>
      <w:r>
        <w:rPr>
          <w:rFonts w:ascii="Arial" w:cs="Arial" w:eastAsia="Arial" w:hAnsi="Arial"/>
          <w:sz w:val="18"/>
          <w:szCs w:val="18"/>
          <w:color w:val="auto"/>
        </w:rPr>
        <w:t>. Written notice to stockholders of stockholder meetings shall be given as provided in</w:t>
      </w:r>
      <w:r>
        <w:rPr>
          <w:rFonts w:ascii="Arial" w:cs="Arial" w:eastAsia="Arial" w:hAnsi="Arial"/>
          <w:sz w:val="18"/>
          <w:szCs w:val="18"/>
          <w:b w:val="1"/>
          <w:bCs w:val="1"/>
          <w:color w:val="auto"/>
        </w:rPr>
        <w:t xml:space="preserve"> Section 2.3 </w:t>
      </w:r>
      <w:r>
        <w:rPr>
          <w:rFonts w:ascii="Arial" w:cs="Arial" w:eastAsia="Arial" w:hAnsi="Arial"/>
          <w:sz w:val="18"/>
          <w:szCs w:val="18"/>
          <w:color w:val="auto"/>
        </w:rPr>
        <w:t>herein.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 Whenever the provisions of any statute or these bylaws require notice to be given to any director, such notice may be given by the method stated in the previous sentence, except that such notice other than one that is delivered personally shall be sent to such address as such director shall have filed in writing with the secretary, or, in the absence of such filing, to the last known post office address of such director.</w:t>
      </w:r>
    </w:p>
    <w:p>
      <w:pPr>
        <w:spacing w:after="0" w:line="189" w:lineRule="exact"/>
        <w:rPr>
          <w:sz w:val="20"/>
          <w:szCs w:val="20"/>
          <w:color w:val="auto"/>
        </w:rPr>
      </w:pPr>
    </w:p>
    <w:p>
      <w:pPr>
        <w:jc w:val="both"/>
        <w:ind w:right="20" w:firstLine="864"/>
        <w:spacing w:after="0" w:line="266" w:lineRule="auto"/>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i w:val="1"/>
          <w:iCs w:val="1"/>
          <w:color w:val="auto"/>
        </w:rPr>
        <w:t>Waivers</w:t>
      </w:r>
      <w:r>
        <w:rPr>
          <w:rFonts w:ascii="Arial" w:cs="Arial" w:eastAsia="Arial" w:hAnsi="Arial"/>
          <w:sz w:val="18"/>
          <w:szCs w:val="18"/>
          <w:color w:val="auto"/>
        </w:rPr>
        <w:t>. Whenever any notice whatever is required to be given under provisions of law or of the certificate of incorporation or of</w:t>
      </w:r>
      <w:r>
        <w:rPr>
          <w:rFonts w:ascii="Arial" w:cs="Arial" w:eastAsia="Arial" w:hAnsi="Arial"/>
          <w:sz w:val="18"/>
          <w:szCs w:val="18"/>
          <w:b w:val="1"/>
          <w:bCs w:val="1"/>
          <w:color w:val="auto"/>
        </w:rPr>
        <w:t xml:space="preserve"> </w:t>
      </w:r>
      <w:r>
        <w:rPr>
          <w:rFonts w:ascii="Arial" w:cs="Arial" w:eastAsia="Arial" w:hAnsi="Arial"/>
          <w:sz w:val="18"/>
          <w:szCs w:val="18"/>
          <w:color w:val="auto"/>
        </w:rPr>
        <w:t>these bylaws, a waiver thereof in writing signed by the person or persons entitled to said notice or a waiver by electronic transmission, whether before or after the time stated therein, shall be deemed equivalent to the giving of such notice.</w:t>
      </w:r>
    </w:p>
    <w:p>
      <w:pPr>
        <w:spacing w:after="0" w:line="176" w:lineRule="exact"/>
        <w:rPr>
          <w:sz w:val="20"/>
          <w:szCs w:val="20"/>
          <w:color w:val="auto"/>
        </w:rPr>
      </w:pPr>
    </w:p>
    <w:p>
      <w:pPr>
        <w:jc w:val="both"/>
        <w:ind w:right="20" w:firstLine="864"/>
        <w:spacing w:after="0" w:line="266" w:lineRule="auto"/>
        <w:rPr>
          <w:sz w:val="20"/>
          <w:szCs w:val="20"/>
          <w:color w:val="auto"/>
        </w:rPr>
      </w:pPr>
      <w:r>
        <w:rPr>
          <w:rFonts w:ascii="Arial" w:cs="Arial" w:eastAsia="Arial" w:hAnsi="Arial"/>
          <w:sz w:val="18"/>
          <w:szCs w:val="18"/>
          <w:b w:val="1"/>
          <w:bCs w:val="1"/>
          <w:color w:val="auto"/>
        </w:rPr>
        <w:t xml:space="preserve">Section 9.3. </w:t>
      </w:r>
      <w:r>
        <w:rPr>
          <w:rFonts w:ascii="Arial" w:cs="Arial" w:eastAsia="Arial" w:hAnsi="Arial"/>
          <w:sz w:val="18"/>
          <w:szCs w:val="18"/>
          <w:b w:val="1"/>
          <w:bCs w:val="1"/>
          <w:i w:val="1"/>
          <w:iCs w:val="1"/>
          <w:color w:val="auto"/>
        </w:rPr>
        <w:t>Attendance as Waiver</w:t>
      </w:r>
      <w:r>
        <w:rPr>
          <w:rFonts w:ascii="Arial" w:cs="Arial" w:eastAsia="Arial" w:hAnsi="Arial"/>
          <w:sz w:val="18"/>
          <w:szCs w:val="18"/>
          <w:color w:val="auto"/>
        </w:rPr>
        <w:t>. Attendance of a person at a meeting shall constitute a waiver of notice of such meeting, except where a</w:t>
      </w:r>
      <w:r>
        <w:rPr>
          <w:rFonts w:ascii="Arial" w:cs="Arial" w:eastAsia="Arial" w:hAnsi="Arial"/>
          <w:sz w:val="18"/>
          <w:szCs w:val="18"/>
          <w:b w:val="1"/>
          <w:bCs w:val="1"/>
          <w:color w:val="auto"/>
        </w:rPr>
        <w:t xml:space="preserve"> </w:t>
      </w:r>
      <w:r>
        <w:rPr>
          <w:rFonts w:ascii="Arial" w:cs="Arial" w:eastAsia="Arial" w:hAnsi="Arial"/>
          <w:sz w:val="18"/>
          <w:szCs w:val="18"/>
          <w:color w:val="auto"/>
        </w:rPr>
        <w:t>person attends a meeting for the express purpose of objecting at the beginning of the meeting to the transaction of any business because the meeting is not lawfully called or convened.</w:t>
      </w:r>
    </w:p>
    <w:p>
      <w:pPr>
        <w:spacing w:after="0" w:line="176"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b w:val="1"/>
          <w:bCs w:val="1"/>
          <w:i w:val="1"/>
          <w:iCs w:val="1"/>
          <w:color w:val="auto"/>
        </w:rPr>
        <w:t>Omission of Notice to Stockholders</w:t>
      </w:r>
      <w:r>
        <w:rPr>
          <w:rFonts w:ascii="Arial" w:cs="Arial" w:eastAsia="Arial" w:hAnsi="Arial"/>
          <w:sz w:val="18"/>
          <w:szCs w:val="18"/>
          <w:color w:val="auto"/>
        </w:rPr>
        <w:t>. Any notice required to be given to any stockholder under any statutory provision,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or these bylaws need not be given to the stockholder if: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ind w:left="80"/>
              <w:spacing w:after="0"/>
              <w:rPr>
                <w:sz w:val="20"/>
                <w:szCs w:val="20"/>
                <w:color w:val="auto"/>
              </w:rPr>
            </w:pPr>
            <w:r>
              <w:rPr>
                <w:rFonts w:ascii="Arial" w:cs="Arial" w:eastAsia="Arial" w:hAnsi="Arial"/>
                <w:sz w:val="18"/>
                <w:szCs w:val="18"/>
                <w:b w:val="1"/>
                <w:bCs w:val="1"/>
                <w:color w:val="auto"/>
              </w:rPr>
              <w:t>(a)</w:t>
            </w:r>
          </w:p>
        </w:tc>
        <w:tc>
          <w:tcPr>
            <w:tcW w:w="10680" w:type="dxa"/>
            <w:vAlign w:val="bottom"/>
          </w:tcPr>
          <w:p>
            <w:pPr>
              <w:ind w:left="1080"/>
              <w:spacing w:after="0"/>
              <w:rPr>
                <w:sz w:val="20"/>
                <w:szCs w:val="20"/>
                <w:color w:val="auto"/>
              </w:rPr>
            </w:pPr>
            <w:r>
              <w:rPr>
                <w:rFonts w:ascii="Arial" w:cs="Arial" w:eastAsia="Arial" w:hAnsi="Arial"/>
                <w:sz w:val="18"/>
                <w:szCs w:val="18"/>
                <w:color w:val="auto"/>
                <w:w w:val="94"/>
              </w:rPr>
              <w:t>notice of two consecutive annual meetings and all notices of meetings held or the takings of action by written consent without a</w:t>
            </w:r>
          </w:p>
        </w:tc>
      </w:tr>
      <w:tr>
        <w:trPr>
          <w:trHeight w:val="230"/>
        </w:trPr>
        <w:tc>
          <w:tcPr>
            <w:tcW w:w="58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meeting to such stockholder taken during the period between those annual meetings, or</w:t>
            </w:r>
          </w:p>
        </w:tc>
      </w:tr>
      <w:tr>
        <w:trPr>
          <w:trHeight w:val="648"/>
        </w:trPr>
        <w:tc>
          <w:tcPr>
            <w:tcW w:w="580" w:type="dxa"/>
            <w:vAlign w:val="bottom"/>
          </w:tcPr>
          <w:p>
            <w:pPr>
              <w:spacing w:after="0"/>
              <w:rPr>
                <w:sz w:val="24"/>
                <w:szCs w:val="24"/>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-11</w:t>
            </w:r>
            <w:r>
              <w:rPr>
                <w:rFonts w:ascii="Arial" w:cs="Arial" w:eastAsia="Arial" w:hAnsi="Arial"/>
                <w:sz w:val="8"/>
                <w:szCs w:val="8"/>
                <w:color w:val="auto"/>
              </w:rPr>
              <w:t>-</w:t>
            </w:r>
          </w:p>
        </w:tc>
      </w:tr>
      <w:tr>
        <w:trPr>
          <w:trHeight w:val="115"/>
        </w:trPr>
        <w:tc>
          <w:tcPr>
            <w:tcW w:w="580" w:type="dxa"/>
            <w:vAlign w:val="bottom"/>
            <w:tcBorders>
              <w:bottom w:val="single" w:sz="8" w:color="9A9A9A"/>
            </w:tcBorders>
          </w:tcPr>
          <w:p>
            <w:pPr>
              <w:spacing w:after="0"/>
              <w:rPr>
                <w:sz w:val="10"/>
                <w:szCs w:val="10"/>
                <w:color w:val="auto"/>
              </w:rPr>
            </w:pPr>
          </w:p>
        </w:tc>
        <w:tc>
          <w:tcPr>
            <w:tcW w:w="10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60" w:name="page61"/>
    <w:bookmarkEnd w:id="60"/>
    <w:p>
      <w:pPr>
        <w:ind w:left="80"/>
        <w:spacing w:after="0"/>
        <w:tabs>
          <w:tab w:leader="none" w:pos="164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7"/>
          <w:szCs w:val="17"/>
          <w:color w:val="auto"/>
        </w:rPr>
        <w:t>all, and at least two, payments (if sent by first class mail) of distributions or interest on securities during a twelve-month period,</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have been mailed to that person, addressed at his or her address as shown on the share transfer records of the corporation, and have been returned undeliverable. Any action or meeting taken or held without notice to such a person shall have the same force and effect as if the notice had been duly given. If such a person delivers to the corporation a written notice setting forth his or her then current address, the requirement that notice be given to that person shall be reinstated.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FORUM SELECTION</w:t>
      </w:r>
    </w:p>
    <w:p>
      <w:pPr>
        <w:spacing w:after="0" w:line="20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b w:val="1"/>
          <w:bCs w:val="1"/>
          <w:color w:val="auto"/>
        </w:rPr>
        <w:t xml:space="preserve">Section 10.1. </w:t>
      </w:r>
      <w:r>
        <w:rPr>
          <w:rFonts w:ascii="Arial" w:cs="Arial" w:eastAsia="Arial" w:hAnsi="Arial"/>
          <w:sz w:val="17"/>
          <w:szCs w:val="17"/>
          <w:b w:val="1"/>
          <w:bCs w:val="1"/>
          <w:i w:val="1"/>
          <w:iCs w:val="1"/>
          <w:color w:val="auto"/>
        </w:rPr>
        <w:t>Delaware Forum</w:t>
      </w:r>
      <w:r>
        <w:rPr>
          <w:rFonts w:ascii="Arial" w:cs="Arial" w:eastAsia="Arial" w:hAnsi="Arial"/>
          <w:sz w:val="17"/>
          <w:szCs w:val="17"/>
          <w:color w:val="auto"/>
        </w:rPr>
        <w:t>. Unless the corporation consents in writing to the selection of an alternative forum, the Court of Chancery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of Delaware (or, if such court does not have subject matter jurisdiction, the federal district court of the State of Delaware) shall, to the fullest extent permitted by law, be the sole and exclusive forum for: (i) any derivative action or proceeding brought on behalf of the corporation, (ii) any action asserting a claim for or based on a breach of a fiduciary duty owed by any current or former director, officer, other employee, agent or stockholder of the corporation to the corporation or the corporation’s stockholders, including without limitation a claim alleging the aiding and abetting of such a breach of fiduciary duty, (iii) any action asserting a claim against the corporation or any current or former director, officer, employee, agent or stockholder of the corporation arising pursuant to any provision of the Delaware General Corporation Law (“DGCL”) or the certificate of incorporation or bylaws or as to which the DGCL confers jurisdiction on the Court of Chancery of the State of Delaware, or (iv) any action asserting a claim related to or involving the corporation that is governed by the internal affairs doctrine.</w:t>
      </w:r>
    </w:p>
    <w:p>
      <w:pPr>
        <w:spacing w:after="0" w:line="174"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7"/>
          <w:szCs w:val="17"/>
          <w:b w:val="1"/>
          <w:bCs w:val="1"/>
          <w:color w:val="auto"/>
        </w:rPr>
        <w:t xml:space="preserve">Section 10.2. </w:t>
      </w:r>
      <w:r>
        <w:rPr>
          <w:rFonts w:ascii="Arial" w:cs="Arial" w:eastAsia="Arial" w:hAnsi="Arial"/>
          <w:sz w:val="17"/>
          <w:szCs w:val="17"/>
          <w:b w:val="1"/>
          <w:bCs w:val="1"/>
          <w:i w:val="1"/>
          <w:iCs w:val="1"/>
          <w:color w:val="auto"/>
        </w:rPr>
        <w:t>Securities Act Claims</w:t>
      </w:r>
      <w:r>
        <w:rPr>
          <w:rFonts w:ascii="Arial" w:cs="Arial" w:eastAsia="Arial" w:hAnsi="Arial"/>
          <w:sz w:val="17"/>
          <w:szCs w:val="17"/>
          <w:color w:val="auto"/>
        </w:rPr>
        <w:t>. Unless the corporation consents in writing to the selection of an alternative forum, the federal district</w:t>
      </w:r>
      <w:r>
        <w:rPr>
          <w:rFonts w:ascii="Arial" w:cs="Arial" w:eastAsia="Arial" w:hAnsi="Arial"/>
          <w:sz w:val="17"/>
          <w:szCs w:val="17"/>
          <w:b w:val="1"/>
          <w:bCs w:val="1"/>
          <w:color w:val="auto"/>
        </w:rPr>
        <w:t xml:space="preserve"> </w:t>
      </w:r>
      <w:r>
        <w:rPr>
          <w:rFonts w:ascii="Arial" w:cs="Arial" w:eastAsia="Arial" w:hAnsi="Arial"/>
          <w:sz w:val="17"/>
          <w:szCs w:val="17"/>
          <w:color w:val="auto"/>
        </w:rPr>
        <w:t>courts of the United States of America shall, to the fullest extent permitted by law, be the sole and exclusive forum for the resolution of any complaint asserting a cause of action arising under the Securities Act of 1933, as amended, and the rules and regulations promulgated thereunder.</w:t>
      </w:r>
    </w:p>
    <w:p>
      <w:pPr>
        <w:spacing w:after="0" w:line="158"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b w:val="1"/>
          <w:bCs w:val="1"/>
          <w:i w:val="1"/>
          <w:iCs w:val="1"/>
          <w:color w:val="auto"/>
        </w:rPr>
        <w:t>Notice and Consent</w:t>
      </w:r>
      <w:r>
        <w:rPr>
          <w:rFonts w:ascii="Arial" w:cs="Arial" w:eastAsia="Arial" w:hAnsi="Arial"/>
          <w:sz w:val="18"/>
          <w:szCs w:val="18"/>
          <w:color w:val="auto"/>
        </w:rPr>
        <w:t>. Any person or entity purchasing or otherwise acquiring or holding any interest in shares of capital stock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 shall be deemed to have notice of and consented to the provisions of this Article X.</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Section 10.4. </w:t>
      </w:r>
      <w:r>
        <w:rPr>
          <w:rFonts w:ascii="Arial" w:cs="Arial" w:eastAsia="Arial" w:hAnsi="Arial"/>
          <w:sz w:val="18"/>
          <w:szCs w:val="18"/>
          <w:b w:val="1"/>
          <w:bCs w:val="1"/>
          <w:i w:val="1"/>
          <w:iCs w:val="1"/>
          <w:color w:val="auto"/>
        </w:rPr>
        <w:t>Injunctive Relief</w:t>
      </w:r>
      <w:r>
        <w:rPr>
          <w:rFonts w:ascii="Arial" w:cs="Arial" w:eastAsia="Arial" w:hAnsi="Arial"/>
          <w:sz w:val="18"/>
          <w:szCs w:val="18"/>
          <w:color w:val="auto"/>
        </w:rPr>
        <w:t>. Failure to enforce the foregoing provisions would cause the corporation irreparable harm, and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entitled to equitable relief, including injunctive relief and specific performance, to enforce the foregoing provisions.</w:t>
      </w:r>
    </w:p>
    <w:p>
      <w:pPr>
        <w:spacing w:after="0" w:line="378"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ADOPTED BY THE BOARD OF DIRECTORS AS OF MARCH 3, 2021</w:t>
      </w: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Jane R. Grimm</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Jane R. Grimm, Secretary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-12</w:t>
      </w:r>
      <w:r>
        <w:rPr>
          <w:rFonts w:ascii="Arial" w:cs="Arial" w:eastAsia="Arial" w:hAnsi="Arial"/>
          <w:sz w:val="8"/>
          <w:szCs w:val="8"/>
          <w:color w:val="auto"/>
        </w:rPr>
        <w:t>-</w:t>
      </w:r>
    </w:p>
    <w:p>
      <w:pPr>
        <w:sectPr>
          <w:pgSz w:w="11900" w:h="16838" w:orient="portrait"/>
          <w:cols w:equalWidth="0" w:num="1">
            <w:col w:w="11240"/>
          </w:cols>
          <w:pgMar w:left="320" w:top="33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UNSECURED REVOLVING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DEMAND PROMISSORY NOTE</w:t>
      </w:r>
    </w:p>
    <w:p>
      <w:pPr>
        <w:spacing w:after="0" w:line="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$40,000,000.00</w:t>
      </w:r>
      <w:r>
        <w:rPr>
          <w:sz w:val="20"/>
          <w:szCs w:val="20"/>
          <w:color w:val="auto"/>
        </w:rPr>
        <w:tab/>
      </w:r>
      <w:r>
        <w:rPr>
          <w:rFonts w:ascii="Arial" w:cs="Arial" w:eastAsia="Arial" w:hAnsi="Arial"/>
          <w:sz w:val="16"/>
          <w:szCs w:val="16"/>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b w:val="1"/>
          <w:bCs w:val="1"/>
          <w:i w:val="1"/>
          <w:iCs w:val="1"/>
          <w:color w:val="auto"/>
        </w:rPr>
        <w:t>Promise to Pay</w:t>
      </w:r>
      <w:r>
        <w:rPr>
          <w:rFonts w:ascii="Arial" w:cs="Arial" w:eastAsia="Arial" w:hAnsi="Arial"/>
          <w:sz w:val="17"/>
          <w:szCs w:val="17"/>
          <w:color w:val="auto"/>
        </w:rPr>
        <w:t>. For and in consideration of value received, the undersigned, V</w:t>
      </w:r>
      <w:r>
        <w:rPr>
          <w:rFonts w:ascii="Arial" w:cs="Arial" w:eastAsia="Arial" w:hAnsi="Arial"/>
          <w:sz w:val="11"/>
          <w:szCs w:val="11"/>
          <w:color w:val="auto"/>
        </w:rPr>
        <w:t>ALHI</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a corporation duly organized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laws of the state of Delaware (“</w:t>
      </w:r>
      <w:r>
        <w:rPr>
          <w:rFonts w:ascii="Arial" w:cs="Arial" w:eastAsia="Arial" w:hAnsi="Arial"/>
          <w:sz w:val="17"/>
          <w:szCs w:val="17"/>
          <w:i w:val="1"/>
          <w:iCs w:val="1"/>
          <w:color w:val="auto"/>
        </w:rPr>
        <w:t>Borrower</w:t>
      </w:r>
      <w:r>
        <w:rPr>
          <w:rFonts w:ascii="Arial" w:cs="Arial" w:eastAsia="Arial" w:hAnsi="Arial"/>
          <w:sz w:val="17"/>
          <w:szCs w:val="17"/>
          <w:color w:val="auto"/>
        </w:rPr>
        <w:t>”), promises to pay, in lawful money of the United States of America, to the order of COMPX INTERNATIONAL INC., a corporation duly organized under the laws of the state of Delaware (“</w:t>
      </w:r>
      <w:r>
        <w:rPr>
          <w:rFonts w:ascii="Arial" w:cs="Arial" w:eastAsia="Arial" w:hAnsi="Arial"/>
          <w:sz w:val="17"/>
          <w:szCs w:val="17"/>
          <w:i w:val="1"/>
          <w:iCs w:val="1"/>
          <w:color w:val="auto"/>
        </w:rPr>
        <w:t>CompX</w:t>
      </w:r>
      <w:r>
        <w:rPr>
          <w:rFonts w:ascii="Arial" w:cs="Arial" w:eastAsia="Arial" w:hAnsi="Arial"/>
          <w:sz w:val="17"/>
          <w:szCs w:val="17"/>
          <w:color w:val="auto"/>
        </w:rPr>
        <w:t>”), or the holder hereof (as applicable, CompX or such holder shall be referred to as the “</w:t>
      </w:r>
      <w:r>
        <w:rPr>
          <w:rFonts w:ascii="Arial" w:cs="Arial" w:eastAsia="Arial" w:hAnsi="Arial"/>
          <w:sz w:val="17"/>
          <w:szCs w:val="17"/>
          <w:i w:val="1"/>
          <w:iCs w:val="1"/>
          <w:color w:val="auto"/>
        </w:rPr>
        <w:t>Noteholder</w:t>
      </w:r>
      <w:r>
        <w:rPr>
          <w:rFonts w:ascii="Arial" w:cs="Arial" w:eastAsia="Arial" w:hAnsi="Arial"/>
          <w:sz w:val="17"/>
          <w:szCs w:val="17"/>
          <w:color w:val="auto"/>
        </w:rPr>
        <w:t>”), the principal sum of FORTY MILLION and NO/100ths United States Dollars ($40,000,000.00) or such lesser amount as shall equal the unpaid principal amount of the loan made by the Noteholder to Borrower together with accrued and unpaid interest on the unpaid principal balance from time to time pursuant to the terms of this Unsecured Revolving Demand Promissory Note, as it may be amended from time to time (this “</w:t>
      </w:r>
      <w:r>
        <w:rPr>
          <w:rFonts w:ascii="Arial" w:cs="Arial" w:eastAsia="Arial" w:hAnsi="Arial"/>
          <w:sz w:val="17"/>
          <w:szCs w:val="17"/>
          <w:i w:val="1"/>
          <w:iCs w:val="1"/>
          <w:color w:val="auto"/>
        </w:rPr>
        <w:t>Note</w:t>
      </w:r>
      <w:r>
        <w:rPr>
          <w:rFonts w:ascii="Arial" w:cs="Arial" w:eastAsia="Arial" w:hAnsi="Arial"/>
          <w:sz w:val="17"/>
          <w:szCs w:val="17"/>
          <w:color w:val="auto"/>
        </w:rPr>
        <w:t xml:space="preserve">”). This Note shall be unsecured and will bear interest on the terms set forth in </w:t>
      </w:r>
      <w:r>
        <w:rPr>
          <w:rFonts w:ascii="Arial" w:cs="Arial" w:eastAsia="Arial" w:hAnsi="Arial"/>
          <w:sz w:val="17"/>
          <w:szCs w:val="17"/>
          <w:b w:val="1"/>
          <w:bCs w:val="1"/>
          <w:color w:val="auto"/>
        </w:rPr>
        <w:t>Section 7</w:t>
      </w:r>
      <w:r>
        <w:rPr>
          <w:rFonts w:ascii="Arial" w:cs="Arial" w:eastAsia="Arial" w:hAnsi="Arial"/>
          <w:sz w:val="17"/>
          <w:szCs w:val="17"/>
          <w:color w:val="auto"/>
        </w:rPr>
        <w:t xml:space="preserve"> below. Capitalized terms not otherwise defined shall have the meanings given to such terms in </w:t>
      </w:r>
      <w:r>
        <w:rPr>
          <w:rFonts w:ascii="Arial" w:cs="Arial" w:eastAsia="Arial" w:hAnsi="Arial"/>
          <w:sz w:val="17"/>
          <w:szCs w:val="17"/>
          <w:b w:val="1"/>
          <w:bCs w:val="1"/>
          <w:color w:val="auto"/>
        </w:rPr>
        <w:t>Section 19</w:t>
      </w:r>
      <w:r>
        <w:rPr>
          <w:rFonts w:ascii="Arial" w:cs="Arial" w:eastAsia="Arial" w:hAnsi="Arial"/>
          <w:sz w:val="17"/>
          <w:szCs w:val="17"/>
          <w:color w:val="auto"/>
        </w:rPr>
        <w:t xml:space="preserve"> of this Note.</w:t>
      </w:r>
    </w:p>
    <w:p>
      <w:pPr>
        <w:spacing w:after="0" w:line="172"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b w:val="1"/>
          <w:bCs w:val="1"/>
          <w:color w:val="auto"/>
        </w:rPr>
        <w:t xml:space="preserve">Section 2. </w:t>
      </w:r>
      <w:r>
        <w:rPr>
          <w:rFonts w:ascii="Arial" w:cs="Arial" w:eastAsia="Arial" w:hAnsi="Arial"/>
          <w:sz w:val="16"/>
          <w:szCs w:val="16"/>
          <w:b w:val="1"/>
          <w:bCs w:val="1"/>
          <w:i w:val="1"/>
          <w:iCs w:val="1"/>
          <w:color w:val="auto"/>
        </w:rPr>
        <w:t>Amendment and Restatement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Note renews, replaces, amends and restates in its entirety the Unsecured Revolving Demand</w:t>
      </w:r>
      <w:r>
        <w:rPr>
          <w:rFonts w:ascii="Arial" w:cs="Arial" w:eastAsia="Arial" w:hAnsi="Arial"/>
          <w:sz w:val="16"/>
          <w:szCs w:val="16"/>
          <w:b w:val="1"/>
          <w:bCs w:val="1"/>
          <w:color w:val="auto"/>
        </w:rPr>
        <w:t xml:space="preserve"> </w:t>
      </w:r>
      <w:r>
        <w:rPr>
          <w:rFonts w:ascii="Arial" w:cs="Arial" w:eastAsia="Arial" w:hAnsi="Arial"/>
          <w:sz w:val="16"/>
          <w:szCs w:val="16"/>
          <w:color w:val="auto"/>
        </w:rPr>
        <w:t>Promissory Note dated December 31, 2019 in the original principal amount of $40,000,000.00 payable to the order of the Noteholder and executed by the Borrower (the “</w:t>
      </w:r>
      <w:r>
        <w:rPr>
          <w:rFonts w:ascii="Arial" w:cs="Arial" w:eastAsia="Arial" w:hAnsi="Arial"/>
          <w:sz w:val="16"/>
          <w:szCs w:val="16"/>
          <w:i w:val="1"/>
          <w:iCs w:val="1"/>
          <w:color w:val="auto"/>
        </w:rPr>
        <w:t>Prior Note”</w:t>
      </w:r>
      <w:r>
        <w:rPr>
          <w:rFonts w:ascii="Arial" w:cs="Arial" w:eastAsia="Arial" w:hAnsi="Arial"/>
          <w:sz w:val="16"/>
          <w:szCs w:val="16"/>
          <w:color w:val="auto"/>
        </w:rPr>
        <w:t>). As of the close of business on December 31, 2020, the unpaid principal balance of the Prior Note was $29,500,000.00, the accrued and unpaid interest thereon was nil and the accrued and unpaid commitment fee thereon was nil, which is the unpaid principal, accrued and unpaid interest and accrued and unpaid commitment fee owed under this Note as of the close of business on the date of this Note. This Note contains the entire understanding between the Noteholder and the Borrower with respect to the transactions contemplated hereby and supersedes all other instruments, agreements and understandings between the Noteholder and the Borrower with respect to the subject matter of this Note</w:t>
      </w:r>
      <w:r>
        <w:rPr>
          <w:rFonts w:ascii="Arial" w:cs="Arial" w:eastAsia="Arial" w:hAnsi="Arial"/>
          <w:sz w:val="19"/>
          <w:szCs w:val="19"/>
          <w:color w:val="auto"/>
        </w:rPr>
        <w:t>.</w:t>
      </w:r>
    </w:p>
    <w:p>
      <w:pPr>
        <w:spacing w:after="0" w:line="152"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i w:val="1"/>
          <w:iCs w:val="1"/>
          <w:color w:val="auto"/>
        </w:rPr>
        <w:t>Place of Payment</w:t>
      </w:r>
      <w:r>
        <w:rPr>
          <w:rFonts w:ascii="Arial" w:cs="Arial" w:eastAsia="Arial" w:hAnsi="Arial"/>
          <w:sz w:val="18"/>
          <w:szCs w:val="18"/>
          <w:color w:val="auto"/>
        </w:rPr>
        <w:t>. All payments will be made at Noteholder’s address at Three Lincoln Centre, 5430 LBJ Freeway, Suite 1700,</w:t>
      </w:r>
      <w:r>
        <w:rPr>
          <w:rFonts w:ascii="Arial" w:cs="Arial" w:eastAsia="Arial" w:hAnsi="Arial"/>
          <w:sz w:val="18"/>
          <w:szCs w:val="18"/>
          <w:b w:val="1"/>
          <w:bCs w:val="1"/>
          <w:color w:val="auto"/>
        </w:rPr>
        <w:t xml:space="preserve"> </w:t>
      </w:r>
      <w:r>
        <w:rPr>
          <w:rFonts w:ascii="Arial" w:cs="Arial" w:eastAsia="Arial" w:hAnsi="Arial"/>
          <w:sz w:val="18"/>
          <w:szCs w:val="18"/>
          <w:color w:val="auto"/>
        </w:rPr>
        <w:t>Dallas, Texas 75240-2620, Attention: Treasurer, or such other place as the Noteholder may from time to time appoint in writing.</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i w:val="1"/>
          <w:iCs w:val="1"/>
          <w:color w:val="auto"/>
        </w:rPr>
        <w:t>Payments</w:t>
      </w:r>
      <w:r>
        <w:rPr>
          <w:rFonts w:ascii="Arial" w:cs="Arial" w:eastAsia="Arial" w:hAnsi="Arial"/>
          <w:sz w:val="18"/>
          <w:szCs w:val="18"/>
          <w:color w:val="auto"/>
        </w:rPr>
        <w:t>. The unpaid principal balance of this Note and any accrued and unpaid interest thereon shall be due and payable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Final Payment Date. Prior to the Final Payment Date, any accrued and unpaid interest on an unpaid principal balance shall be paid in arrears quarterly on the last day of each March, June, September and December, commencing March 31, 2021. All payments on this Note shall be applied first to accrued and unpaid interest, next to accrued interest not yet payable and then to principal. If any payment of principal or interest on this Note shall become due on a day that is not a Business Day, such payment shall be made on the next succeeding Business Day and the payment shall be the amount owed on the original payment date.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i w:val="1"/>
          <w:iCs w:val="1"/>
          <w:color w:val="auto"/>
        </w:rPr>
        <w:t>Prepayments</w:t>
      </w:r>
      <w:r>
        <w:rPr>
          <w:rFonts w:ascii="Arial" w:cs="Arial" w:eastAsia="Arial" w:hAnsi="Arial"/>
          <w:sz w:val="18"/>
          <w:szCs w:val="18"/>
          <w:color w:val="auto"/>
        </w:rPr>
        <w:t>. This Note may be prepaid in part or in full at any time without penalty.</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i w:val="1"/>
          <w:iCs w:val="1"/>
          <w:color w:val="auto"/>
        </w:rPr>
        <w:t>Borrowings</w:t>
      </w:r>
      <w:r>
        <w:rPr>
          <w:rFonts w:ascii="Arial" w:cs="Arial" w:eastAsia="Arial" w:hAnsi="Arial"/>
          <w:sz w:val="18"/>
          <w:szCs w:val="18"/>
          <w:color w:val="auto"/>
        </w:rPr>
        <w:t>. Prior to the Final Payment Date, Noteholder expressly authorizes Borrower to borrow, repay and re-borrow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Note in increments of $100,000 on a daily basis so long as:</w:t>
      </w:r>
    </w:p>
    <w:p>
      <w:pPr>
        <w:spacing w:after="0" w:line="143" w:lineRule="exact"/>
        <w:rPr>
          <w:sz w:val="20"/>
          <w:szCs w:val="20"/>
          <w:color w:val="auto"/>
        </w:rPr>
      </w:pPr>
    </w:p>
    <w:p>
      <w:pPr>
        <w:ind w:left="1700" w:hanging="842"/>
        <w:spacing w:after="0"/>
        <w:tabs>
          <w:tab w:leader="none" w:pos="170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aggregate outstanding principal balance does not exceed $40,000,000.00; and</w:t>
      </w:r>
    </w:p>
    <w:p>
      <w:pPr>
        <w:spacing w:after="0" w:line="28" w:lineRule="exact"/>
        <w:rPr>
          <w:rFonts w:ascii="Arial" w:cs="Arial" w:eastAsia="Arial" w:hAnsi="Arial"/>
          <w:sz w:val="22"/>
          <w:szCs w:val="22"/>
          <w:color w:val="auto"/>
        </w:rPr>
      </w:pPr>
    </w:p>
    <w:p>
      <w:pPr>
        <w:ind w:left="1700" w:hanging="842"/>
        <w:spacing w:after="0" w:line="203" w:lineRule="auto"/>
        <w:tabs>
          <w:tab w:leader="none" w:pos="1700" w:val="left"/>
        </w:tabs>
        <w:numPr>
          <w:ilvl w:val="0"/>
          <w:numId w:val="19"/>
        </w:numPr>
        <w:rPr>
          <w:rFonts w:ascii="Arial" w:cs="Arial" w:eastAsia="Arial" w:hAnsi="Arial"/>
          <w:sz w:val="22"/>
          <w:szCs w:val="22"/>
          <w:color w:val="auto"/>
        </w:rPr>
      </w:pPr>
      <w:r>
        <w:rPr>
          <w:rFonts w:ascii="Arial" w:cs="Arial" w:eastAsia="Arial" w:hAnsi="Arial"/>
          <w:sz w:val="18"/>
          <w:szCs w:val="18"/>
          <w:color w:val="auto"/>
        </w:rPr>
        <w:t>no Event of Default has occurred and is continuing.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Notwithstanding anything else in this Note, in no event will Noteholder be required to lend money to Borrower under this Note and loans under this Note shall be at the sole and absolute discretion of Noteholder.</w:t>
      </w:r>
    </w:p>
    <w:p>
      <w:pPr>
        <w:spacing w:after="0" w:line="16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b w:val="1"/>
          <w:bCs w:val="1"/>
          <w:i w:val="1"/>
          <w:iCs w:val="1"/>
          <w:color w:val="auto"/>
        </w:rPr>
        <w:t>Interest</w:t>
      </w:r>
      <w:r>
        <w:rPr>
          <w:rFonts w:ascii="Arial" w:cs="Arial" w:eastAsia="Arial" w:hAnsi="Arial"/>
          <w:sz w:val="17"/>
          <w:szCs w:val="17"/>
          <w:color w:val="auto"/>
        </w:rPr>
        <w:t>. The unpaid principal balance of this Note shall bear interest at the rate per annum of the Prime Rate plus one percent</w:t>
      </w:r>
      <w:r>
        <w:rPr>
          <w:rFonts w:ascii="Arial" w:cs="Arial" w:eastAsia="Arial" w:hAnsi="Arial"/>
          <w:sz w:val="17"/>
          <w:szCs w:val="17"/>
          <w:b w:val="1"/>
          <w:bCs w:val="1"/>
          <w:color w:val="auto"/>
        </w:rPr>
        <w:t xml:space="preserve"> </w:t>
      </w:r>
      <w:r>
        <w:rPr>
          <w:rFonts w:ascii="Arial" w:cs="Arial" w:eastAsia="Arial" w:hAnsi="Arial"/>
          <w:sz w:val="17"/>
          <w:szCs w:val="17"/>
          <w:color w:val="auto"/>
        </w:rPr>
        <w:t>(1.00%). In the event that an Event of Default occurs and is continuing, the unpaid principal amount shall bear interest from the Event of Default at the rate per annum of the Prime Rate plus four percent (4.00%) until such time as the Event of Default is cured. Accrued interest on the unpaid principal of this Note shall be computed on the basis of a 365- or 366-day year for actual days (including the first, but excluding the last day) elapsed, but in no event shall such computation result in an amount of accrued interest that would exceed accrued interest on the unpaid principal balance during the same period at the Maximum Rate. Notwithstanding anything to the contrary, this Note is expressly limited so that in no contingency or event whatsoever shall the amount paid or agreed to be paid to the Noteholder exceed the Maximum Rate. If, from any circumstances whatsoever, the Noteholder shall ever receive as interest an amount that would exceed the Maximum Rate, such amount that would be excessive</w:t>
      </w:r>
    </w:p>
    <w:p>
      <w:pPr>
        <w:spacing w:after="0" w:line="2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both"/>
        <w:spacing w:after="0" w:line="286" w:lineRule="auto"/>
        <w:rPr>
          <w:sz w:val="20"/>
          <w:szCs w:val="20"/>
          <w:color w:val="auto"/>
        </w:rPr>
      </w:pPr>
      <w:r>
        <w:rPr>
          <w:rFonts w:ascii="Arial" w:cs="Arial" w:eastAsia="Arial" w:hAnsi="Arial"/>
          <w:sz w:val="16"/>
          <w:szCs w:val="16"/>
          <w:color w:val="auto"/>
        </w:rPr>
        <w:t>interest shall be applied to the reduction of the unpaid principal balance and not to the payment of interest, and if the principal amount of this Note is paid in full, any remaining excess shall be paid to Borrower, and in such event, the Noteholder shall not be subject to any penalties provided by any laws for contracting for, charging, taking, reserving or receiving interest in excess of the highest lawful rate permissible under applicable law. All sums paid or agreed to be paid to Noteholder for the use, forbearance or detention of the indebtedness of the Borrower to Noteholder shall, to the extent permitted by applicable law, be amortized, prorated, allocated and spread throughout the full term of such indebtedness until payment in full of the principal (including the period of any renewal or extension thereof) so that the interest on account of such indebtedness shall not exceed the Maximum Rate. If at any time the Contract Rate is limited to the Maximum Rate, any subsequent reductions in the Contract Rate shall not reduce the rate of interest on this Note below the Maximum Rate until the total amount of interest accrued equals the amount of interest that would have accrued if the Contract Rate had not been limited by the Maximum Rate. In the event that, upon the Final Payment Date, the total amount of interest paid or accrued on this Note is less than the amount of interest that would have accrued if the Contract Rate had not been limited by the Maximum Rate, then at such time, to the extent permitted by law, in addition to the principal and any other amounts Borrower owes to the Noteholder, the Borrower shall pay to the Noteholder an amount equal to the difference between: (i) the lesser of the amount of interest that would have accrued if the Contract Rate had not been limited by the Maximum Rate or the amount of interest that would have accrued if the Maximum Rate had at all times been in effect; and (ii) the amount of interest actually paid on this Note.</w:t>
      </w:r>
    </w:p>
    <w:p>
      <w:pPr>
        <w:spacing w:after="0" w:line="17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7"/>
          <w:szCs w:val="17"/>
          <w:b w:val="1"/>
          <w:bCs w:val="1"/>
          <w:color w:val="auto"/>
        </w:rPr>
        <w:t>Section 8. Fees and Expenses</w:t>
      </w:r>
      <w:r>
        <w:rPr>
          <w:rFonts w:ascii="Arial" w:cs="Arial" w:eastAsia="Arial" w:hAnsi="Arial"/>
          <w:sz w:val="17"/>
          <w:szCs w:val="17"/>
          <w:color w:val="auto"/>
        </w:rPr>
        <w:t>. On the last day of each March, June, September and December, commencing March 31, 2021, and on the Final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Payment Date, Borrower shall pay to Noteholder the Unused Commitment Fee for such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Borrower will not owe any Unused Commitment Fee for any part of such period (prorated as applicable) that the Noteholder is a net borrower of money from the Borrower. In addition, Borrower and any guarantor jointly and severally agree to pay on the Final Payment Date to Noteholder any other cost or expense reasonably incurred by Noteholder in connection with Noteholder’s commitment to Borrower pursuant to the terms of this Note, including without limitation any other cost reasonably incurred by Noteholder pursuant to the terms of any credit facility of Noteholder.</w:t>
      </w:r>
    </w:p>
    <w:p>
      <w:pPr>
        <w:spacing w:after="0" w:line="173"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7"/>
          <w:szCs w:val="17"/>
          <w:b w:val="1"/>
          <w:bCs w:val="1"/>
          <w:color w:val="auto"/>
        </w:rPr>
        <w:t xml:space="preserve">Section 9. </w:t>
      </w:r>
      <w:r>
        <w:rPr>
          <w:rFonts w:ascii="Arial" w:cs="Arial" w:eastAsia="Arial" w:hAnsi="Arial"/>
          <w:sz w:val="17"/>
          <w:szCs w:val="17"/>
          <w:b w:val="1"/>
          <w:bCs w:val="1"/>
          <w:i w:val="1"/>
          <w:iCs w:val="1"/>
          <w:color w:val="auto"/>
        </w:rPr>
        <w:t>Remedy</w:t>
      </w:r>
      <w:r>
        <w:rPr>
          <w:rFonts w:ascii="Arial" w:cs="Arial" w:eastAsia="Arial" w:hAnsi="Arial"/>
          <w:sz w:val="17"/>
          <w:szCs w:val="17"/>
          <w:color w:val="auto"/>
        </w:rPr>
        <w:t>. Upon the occurrence and during the continuation of an Event of Default, the Noteholder shall have all of the rights and</w:t>
      </w:r>
      <w:r>
        <w:rPr>
          <w:rFonts w:ascii="Arial" w:cs="Arial" w:eastAsia="Arial" w:hAnsi="Arial"/>
          <w:sz w:val="17"/>
          <w:szCs w:val="17"/>
          <w:b w:val="1"/>
          <w:bCs w:val="1"/>
          <w:color w:val="auto"/>
        </w:rPr>
        <w:t xml:space="preserve"> </w:t>
      </w:r>
      <w:r>
        <w:rPr>
          <w:rFonts w:ascii="Arial" w:cs="Arial" w:eastAsia="Arial" w:hAnsi="Arial"/>
          <w:sz w:val="17"/>
          <w:szCs w:val="17"/>
          <w:color w:val="auto"/>
        </w:rPr>
        <w:t>remedies provided in the applicable Uniform Commercial Code, this Note or any other agreement among Borrower and in favor of the Noteholder, as well as those rights and remedies provided by any other applicable law, rule or regulation. In conjunction with and in addition to the foregoing rights and remedies of the Noteholder, the Noteholder may declare all indebtedness due under this Note, although otherwise unmatured, to be due and payable immediately without notice or demand whatsoever. All rights and remedies of the Noteholder are cumulative and may be exercised singly or concurrently. The failure to exercise any right or remedy will not be a waiver of such right or remedy.</w:t>
      </w:r>
    </w:p>
    <w:p>
      <w:pPr>
        <w:spacing w:after="0" w:line="173"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i w:val="1"/>
          <w:iCs w:val="1"/>
          <w:color w:val="auto"/>
        </w:rPr>
        <w:t>Right of Offset</w:t>
      </w:r>
      <w:r>
        <w:rPr>
          <w:rFonts w:ascii="Arial" w:cs="Arial" w:eastAsia="Arial" w:hAnsi="Arial"/>
          <w:sz w:val="18"/>
          <w:szCs w:val="18"/>
          <w:color w:val="auto"/>
        </w:rPr>
        <w:t>. The Noteholder shall have the right of offset against amounts that may be due by the Noteholder now or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to Borrower against amounts due under this Note.</w:t>
      </w:r>
    </w:p>
    <w:p>
      <w:pPr>
        <w:spacing w:after="0" w:line="16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b w:val="1"/>
          <w:bCs w:val="1"/>
          <w:i w:val="1"/>
          <w:iCs w:val="1"/>
          <w:color w:val="auto"/>
        </w:rPr>
        <w:t>Record of Outstanding Indebtedness</w:t>
      </w:r>
      <w:r>
        <w:rPr>
          <w:rFonts w:ascii="Arial" w:cs="Arial" w:eastAsia="Arial" w:hAnsi="Arial"/>
          <w:sz w:val="17"/>
          <w:szCs w:val="17"/>
          <w:color w:val="auto"/>
        </w:rPr>
        <w:t>. The date and amount of each repayment of principal outstanding under this Note or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thereon shall be recorded by Noteholder in its records. The principal balance outstanding and all accrued or accruing interest owed under this Note as recorded by Noteholder in its records shall be the best evidence of the principal balance outstanding and all accrued or accruing interest owed under this Note;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of Noteholder to so record or any error in so recording or computing any such amount owed shall not limit or otherwise affect the obligations of the Borrower under this Note to repay the principal balance outstanding and all accrued or accruing interest.</w:t>
      </w:r>
    </w:p>
    <w:p>
      <w:pPr>
        <w:spacing w:after="0" w:line="168"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i w:val="1"/>
          <w:iCs w:val="1"/>
          <w:color w:val="auto"/>
        </w:rPr>
        <w:t>Waiver</w:t>
      </w:r>
      <w:r>
        <w:rPr>
          <w:rFonts w:ascii="Arial" w:cs="Arial" w:eastAsia="Arial" w:hAnsi="Arial"/>
          <w:sz w:val="18"/>
          <w:szCs w:val="18"/>
          <w:color w:val="auto"/>
        </w:rPr>
        <w:t>. Borrower and each surety, endorser, guarantor, and other party now or subsequently liable for payment of this Note,</w:t>
      </w:r>
      <w:r>
        <w:rPr>
          <w:rFonts w:ascii="Arial" w:cs="Arial" w:eastAsia="Arial" w:hAnsi="Arial"/>
          <w:sz w:val="18"/>
          <w:szCs w:val="18"/>
          <w:b w:val="1"/>
          <w:bCs w:val="1"/>
          <w:color w:val="auto"/>
        </w:rPr>
        <w:t xml:space="preserve"> </w:t>
      </w:r>
      <w:r>
        <w:rPr>
          <w:rFonts w:ascii="Arial" w:cs="Arial" w:eastAsia="Arial" w:hAnsi="Arial"/>
          <w:sz w:val="18"/>
          <w:szCs w:val="18"/>
          <w:color w:val="auto"/>
        </w:rPr>
        <w:t>severally waive demand, presentment for payment, notice of nonpayment, notice of dishonor, protest, notice of protest, notice of the intention to accelerate, notice of acceleration, diligence in collecting or bringing suit against any party liable on this Note, and further agree to any and all extensions, renewals, modifications, partial payments, substitutions of evidence of indebtedness, and the taking or release of any collateral with or without notice before or after demand by the Noteholder for payment under this Note.</w:t>
      </w:r>
    </w:p>
    <w:p>
      <w:pPr>
        <w:spacing w:after="0" w:line="183"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i w:val="1"/>
          <w:iCs w:val="1"/>
          <w:color w:val="auto"/>
        </w:rPr>
        <w:t>Costs and Attorneys’ Fees</w:t>
      </w:r>
      <w:r>
        <w:rPr>
          <w:rFonts w:ascii="Arial" w:cs="Arial" w:eastAsia="Arial" w:hAnsi="Arial"/>
          <w:sz w:val="18"/>
          <w:szCs w:val="18"/>
          <w:color w:val="auto"/>
        </w:rPr>
        <w:t>. In addition to any other amounts payable to Noteholder pursuant to the terms of this Note,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the Noteholder incurs costs in collecting on this Note, this Note is placed in the hands of any attorney for collection, suit is filed on this Note or if proceedings are had in bankruptcy, receivership,</w:t>
      </w:r>
    </w:p>
    <w:p>
      <w:pPr>
        <w:spacing w:after="0" w:line="30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jc w:val="both"/>
        <w:spacing w:after="0" w:line="263" w:lineRule="auto"/>
        <w:rPr>
          <w:sz w:val="20"/>
          <w:szCs w:val="20"/>
          <w:color w:val="auto"/>
        </w:rPr>
      </w:pPr>
      <w:r>
        <w:rPr>
          <w:rFonts w:ascii="Arial" w:cs="Arial" w:eastAsia="Arial" w:hAnsi="Arial"/>
          <w:sz w:val="18"/>
          <w:szCs w:val="18"/>
          <w:color w:val="auto"/>
        </w:rPr>
        <w:t>reorganization, or other legal or judicial proceedings for the collection of this Note, Borrower and any guarantor jointly and severally agree to pay on demand to the Noteholder all expenses and costs of collection, including, but not limited to, reasonable attorneys’ fees incurred in connection with any such collection, suit, or proceeding, in addition to the principal and interest then due.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 xml:space="preserve">Section 14. </w:t>
      </w:r>
      <w:r>
        <w:rPr>
          <w:rFonts w:ascii="Arial" w:cs="Arial" w:eastAsia="Arial" w:hAnsi="Arial"/>
          <w:sz w:val="17"/>
          <w:szCs w:val="17"/>
          <w:b w:val="1"/>
          <w:bCs w:val="1"/>
          <w:i w:val="1"/>
          <w:iCs w:val="1"/>
          <w:color w:val="auto"/>
        </w:rPr>
        <w:t>Time of Essence</w:t>
      </w:r>
      <w:r>
        <w:rPr>
          <w:rFonts w:ascii="Arial" w:cs="Arial" w:eastAsia="Arial" w:hAnsi="Arial"/>
          <w:sz w:val="17"/>
          <w:szCs w:val="17"/>
          <w:color w:val="auto"/>
        </w:rPr>
        <w:t>. Time is of the essence with respect to all of Borrower’s obligations and agreements under this Note.</w:t>
      </w:r>
    </w:p>
    <w:p>
      <w:pPr>
        <w:spacing w:after="0" w:line="237"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i w:val="1"/>
          <w:iCs w:val="1"/>
          <w:color w:val="auto"/>
        </w:rPr>
        <w:t>Jurisdiction and Venue</w:t>
      </w:r>
      <w:r>
        <w:rPr>
          <w:rFonts w:ascii="Arial" w:cs="Arial" w:eastAsia="Arial" w:hAnsi="Arial"/>
          <w:sz w:val="18"/>
          <w:szCs w:val="18"/>
          <w:color w:val="auto"/>
        </w:rPr>
        <w:t>. THIS NOTE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DOMESTIC LAWS OF THE STATE OF TEXAS, WITHOUT GIVING EFFECT TO ANY CHOICE OF LAW OR CONFLICT OF LAW PROVISION OR RULE (WHETHER OF THE STATE OF TEXAS OR ANY OTHER JURISDICTION) THAT WOULD CAUSE THE APPLICATION OF THE LAWS OF ANY JURISDICTION OTHER THAN THE STATE OF TEXAS. BORROWER CONSENTS TO JURISDICTION IN THE COURTS LOCATED IN DALLAS, TEXAS.</w:t>
      </w:r>
    </w:p>
    <w:p>
      <w:pPr>
        <w:spacing w:after="0" w:line="183"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b w:val="1"/>
          <w:bCs w:val="1"/>
          <w:color w:val="auto"/>
        </w:rPr>
        <w:t xml:space="preserve">Section 16.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Any notice or demand required by this Note shall be deemed to have been given and received on the earlier of</w:t>
      </w:r>
      <w:r>
        <w:rPr>
          <w:rFonts w:ascii="Arial" w:cs="Arial" w:eastAsia="Arial" w:hAnsi="Arial"/>
          <w:sz w:val="17"/>
          <w:szCs w:val="17"/>
          <w:b w:val="1"/>
          <w:bCs w:val="1"/>
          <w:color w:val="auto"/>
        </w:rPr>
        <w:t xml:space="preserve"> (i) </w:t>
      </w:r>
      <w:r>
        <w:rPr>
          <w:rFonts w:ascii="Arial" w:cs="Arial" w:eastAsia="Arial" w:hAnsi="Arial"/>
          <w:sz w:val="17"/>
          <w:szCs w:val="17"/>
          <w:color w:val="auto"/>
        </w:rPr>
        <w:t>when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notice or demand is actually received by the recipient or </w:t>
      </w:r>
      <w:r>
        <w:rPr>
          <w:rFonts w:ascii="Arial" w:cs="Arial" w:eastAsia="Arial" w:hAnsi="Arial"/>
          <w:sz w:val="17"/>
          <w:szCs w:val="17"/>
          <w:b w:val="1"/>
          <w:bCs w:val="1"/>
          <w:color w:val="auto"/>
        </w:rPr>
        <w:t>(ii)</w:t>
      </w:r>
      <w:r>
        <w:rPr>
          <w:rFonts w:ascii="Arial" w:cs="Arial" w:eastAsia="Arial" w:hAnsi="Arial"/>
          <w:sz w:val="17"/>
          <w:szCs w:val="17"/>
          <w:color w:val="auto"/>
        </w:rPr>
        <w:t xml:space="preserve"> 72 hours after the notice is deposited in the United States mail, certified or registered, with postage prepaid, and addressed to the recipient. The address for giving notice or demand under this Note </w:t>
      </w:r>
      <w:r>
        <w:rPr>
          <w:rFonts w:ascii="Arial" w:cs="Arial" w:eastAsia="Arial" w:hAnsi="Arial"/>
          <w:sz w:val="17"/>
          <w:szCs w:val="17"/>
          <w:b w:val="1"/>
          <w:bCs w:val="1"/>
          <w:color w:val="auto"/>
        </w:rPr>
        <w:t>(i)</w:t>
      </w:r>
      <w:r>
        <w:rPr>
          <w:rFonts w:ascii="Arial" w:cs="Arial" w:eastAsia="Arial" w:hAnsi="Arial"/>
          <w:sz w:val="17"/>
          <w:szCs w:val="17"/>
          <w:color w:val="auto"/>
        </w:rPr>
        <w:t xml:space="preserve"> to the Noteholder shall be the place of payment specified in </w:t>
      </w:r>
      <w:r>
        <w:rPr>
          <w:rFonts w:ascii="Arial" w:cs="Arial" w:eastAsia="Arial" w:hAnsi="Arial"/>
          <w:sz w:val="17"/>
          <w:szCs w:val="17"/>
          <w:b w:val="1"/>
          <w:bCs w:val="1"/>
          <w:color w:val="auto"/>
        </w:rPr>
        <w:t>Section 3</w:t>
      </w:r>
      <w:r>
        <w:rPr>
          <w:rFonts w:ascii="Arial" w:cs="Arial" w:eastAsia="Arial" w:hAnsi="Arial"/>
          <w:sz w:val="17"/>
          <w:szCs w:val="17"/>
          <w:color w:val="auto"/>
        </w:rPr>
        <w:t xml:space="preserve"> or such other place as the Noteholder may specify in writing to the Borrower and </w:t>
      </w:r>
      <w:r>
        <w:rPr>
          <w:rFonts w:ascii="Arial" w:cs="Arial" w:eastAsia="Arial" w:hAnsi="Arial"/>
          <w:sz w:val="17"/>
          <w:szCs w:val="17"/>
          <w:b w:val="1"/>
          <w:bCs w:val="1"/>
          <w:color w:val="auto"/>
        </w:rPr>
        <w:t>(ii)</w:t>
      </w:r>
      <w:r>
        <w:rPr>
          <w:rFonts w:ascii="Arial" w:cs="Arial" w:eastAsia="Arial" w:hAnsi="Arial"/>
          <w:sz w:val="17"/>
          <w:szCs w:val="17"/>
          <w:color w:val="auto"/>
        </w:rPr>
        <w:t xml:space="preserve"> to Borrower shall be the address below the Borrower’s signature or such other place as the Borrower may specify in writing to the Noteholder.</w:t>
      </w:r>
    </w:p>
    <w:p>
      <w:pPr>
        <w:spacing w:after="0" w:line="168"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7"/>
          <w:szCs w:val="17"/>
          <w:b w:val="1"/>
          <w:bCs w:val="1"/>
          <w:color w:val="auto"/>
        </w:rPr>
        <w:t xml:space="preserve">Section 17. </w:t>
      </w:r>
      <w:r>
        <w:rPr>
          <w:rFonts w:ascii="Arial" w:cs="Arial" w:eastAsia="Arial" w:hAnsi="Arial"/>
          <w:sz w:val="17"/>
          <w:szCs w:val="17"/>
          <w:b w:val="1"/>
          <w:bCs w:val="1"/>
          <w:i w:val="1"/>
          <w:iCs w:val="1"/>
          <w:color w:val="auto"/>
        </w:rPr>
        <w:t>Amendment or Waiver of Provisions of this Note</w:t>
      </w:r>
      <w:r>
        <w:rPr>
          <w:rFonts w:ascii="Arial" w:cs="Arial" w:eastAsia="Arial" w:hAnsi="Arial"/>
          <w:sz w:val="17"/>
          <w:szCs w:val="17"/>
          <w:color w:val="auto"/>
        </w:rPr>
        <w:t>. No amendment or waiver of any provision of this Note shall in any event be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unless the same shall be in a writing referring to this Note and signed by the Borrower and the Noteholder. Such amendment or waiver shall be effective only in the specific instance and for the specific purpose for which given. No waiver of any of the provisions of this Note shall be deemed or shall constitute a waiver of any other provisions, whether or not similar, nor shall any waiver constitute a continuing waiver.</w:t>
      </w:r>
    </w:p>
    <w:p>
      <w:pPr>
        <w:spacing w:after="0" w:line="165"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i w:val="1"/>
          <w:iCs w:val="1"/>
          <w:color w:val="auto"/>
        </w:rPr>
        <w:t>Successors and Assigns</w:t>
      </w:r>
      <w:r>
        <w:rPr>
          <w:rFonts w:ascii="Arial" w:cs="Arial" w:eastAsia="Arial" w:hAnsi="Arial"/>
          <w:sz w:val="18"/>
          <w:szCs w:val="18"/>
          <w:color w:val="auto"/>
        </w:rPr>
        <w:t>. All of the covenants, obligations, promises and agreements contained in this Note made by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binding upon its successors and permitted assigns, as applicable. Notwithstanding the foregoing, Borrower shall not assign this Note or its performance under this Note without the prior written consent of the Noteholder. Noteholder at any time may assign this Note without the consent of Borrower.</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i w:val="1"/>
          <w:iCs w:val="1"/>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Note, the following terms shall have the following meanings:</w:t>
      </w:r>
    </w:p>
    <w:p>
      <w:pPr>
        <w:spacing w:after="0" w:line="229" w:lineRule="exact"/>
        <w:rPr>
          <w:sz w:val="20"/>
          <w:szCs w:val="20"/>
          <w:color w:val="auto"/>
        </w:rPr>
      </w:pPr>
    </w:p>
    <w:p>
      <w:pPr>
        <w:ind w:left="2160" w:hanging="438"/>
        <w:spacing w:after="0"/>
        <w:tabs>
          <w:tab w:leader="none" w:pos="21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Basis Point</w:t>
      </w:r>
      <w:r>
        <w:rPr>
          <w:rFonts w:ascii="Arial" w:cs="Arial" w:eastAsia="Arial" w:hAnsi="Arial"/>
          <w:sz w:val="18"/>
          <w:szCs w:val="18"/>
          <w:color w:val="auto"/>
        </w:rPr>
        <w:t>” shall mean 1/100</w:t>
      </w:r>
      <w:r>
        <w:rPr>
          <w:rFonts w:ascii="Arial" w:cs="Arial" w:eastAsia="Arial" w:hAnsi="Arial"/>
          <w:sz w:val="15"/>
          <w:szCs w:val="15"/>
          <w:color w:val="auto"/>
        </w:rPr>
        <w:t>th</w:t>
      </w:r>
      <w:r>
        <w:rPr>
          <w:rFonts w:ascii="Arial" w:cs="Arial" w:eastAsia="Arial" w:hAnsi="Arial"/>
          <w:sz w:val="18"/>
          <w:szCs w:val="18"/>
          <w:color w:val="auto"/>
        </w:rPr>
        <w:t xml:space="preserve"> of 1 percent.</w:t>
      </w:r>
    </w:p>
    <w:p>
      <w:pPr>
        <w:spacing w:after="0" w:line="225" w:lineRule="exact"/>
        <w:rPr>
          <w:rFonts w:ascii="Arial" w:cs="Arial" w:eastAsia="Arial" w:hAnsi="Arial"/>
          <w:sz w:val="18"/>
          <w:szCs w:val="18"/>
          <w:b w:val="1"/>
          <w:bCs w:val="1"/>
          <w:color w:val="auto"/>
        </w:rPr>
      </w:pPr>
    </w:p>
    <w:p>
      <w:pPr>
        <w:ind w:left="2160" w:hanging="438"/>
        <w:spacing w:after="0"/>
        <w:tabs>
          <w:tab w:leader="none" w:pos="21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mean any day banks are open in the state of Texas.</w:t>
      </w:r>
    </w:p>
    <w:p>
      <w:pPr>
        <w:spacing w:after="0" w:line="225" w:lineRule="exact"/>
        <w:rPr>
          <w:rFonts w:ascii="Arial" w:cs="Arial" w:eastAsia="Arial" w:hAnsi="Arial"/>
          <w:sz w:val="18"/>
          <w:szCs w:val="18"/>
          <w:b w:val="1"/>
          <w:bCs w:val="1"/>
          <w:color w:val="auto"/>
        </w:rPr>
      </w:pPr>
    </w:p>
    <w:p>
      <w:pPr>
        <w:ind w:left="2160" w:hanging="438"/>
        <w:spacing w:after="0" w:line="308" w:lineRule="auto"/>
        <w:tabs>
          <w:tab w:leader="none" w:pos="216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Contract Rate</w:t>
      </w:r>
      <w:r>
        <w:rPr>
          <w:rFonts w:ascii="Arial" w:cs="Arial" w:eastAsia="Arial" w:hAnsi="Arial"/>
          <w:sz w:val="17"/>
          <w:szCs w:val="17"/>
          <w:color w:val="auto"/>
        </w:rPr>
        <w:t>” means the amount of any interest (including fees, charges or expenses or any other amounts that, under applicable law, are deemed interest) contracted for, charged or received by or for the account of Noteholder.</w:t>
      </w:r>
    </w:p>
    <w:p>
      <w:pPr>
        <w:spacing w:after="0" w:line="146" w:lineRule="exact"/>
        <w:rPr>
          <w:rFonts w:ascii="Arial" w:cs="Arial" w:eastAsia="Arial" w:hAnsi="Arial"/>
          <w:sz w:val="17"/>
          <w:szCs w:val="17"/>
          <w:b w:val="1"/>
          <w:bCs w:val="1"/>
          <w:color w:val="auto"/>
        </w:rPr>
      </w:pPr>
    </w:p>
    <w:p>
      <w:pPr>
        <w:ind w:left="2160" w:hanging="438"/>
        <w:spacing w:after="0"/>
        <w:tabs>
          <w:tab w:leader="none" w:pos="21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wherever used herein, means any one of the following events:</w:t>
      </w:r>
    </w:p>
    <w:p>
      <w:pPr>
        <w:spacing w:after="0" w:line="225" w:lineRule="exact"/>
        <w:rPr>
          <w:rFonts w:ascii="Arial" w:cs="Arial" w:eastAsia="Arial" w:hAnsi="Arial"/>
          <w:sz w:val="18"/>
          <w:szCs w:val="18"/>
          <w:b w:val="1"/>
          <w:bCs w:val="1"/>
          <w:color w:val="auto"/>
        </w:rPr>
      </w:pPr>
    </w:p>
    <w:p>
      <w:pPr>
        <w:jc w:val="both"/>
        <w:ind w:left="3040" w:hanging="440"/>
        <w:spacing w:after="0" w:line="263" w:lineRule="auto"/>
        <w:tabs>
          <w:tab w:leader="none" w:pos="304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the Borrower fails to pay any amount due on this Note and/or any fees or sums due under or in connection with this Note after any such payment otherwise becomes due and payable and three Business Days after demand for such payment;</w:t>
      </w:r>
    </w:p>
    <w:p>
      <w:pPr>
        <w:spacing w:after="0" w:line="183" w:lineRule="exact"/>
        <w:rPr>
          <w:rFonts w:ascii="Arial" w:cs="Arial" w:eastAsia="Arial" w:hAnsi="Arial"/>
          <w:sz w:val="18"/>
          <w:szCs w:val="18"/>
          <w:b w:val="1"/>
          <w:bCs w:val="1"/>
          <w:color w:val="auto"/>
        </w:rPr>
      </w:pPr>
    </w:p>
    <w:p>
      <w:pPr>
        <w:jc w:val="both"/>
        <w:ind w:left="3040" w:hanging="440"/>
        <w:spacing w:after="0" w:line="263" w:lineRule="auto"/>
        <w:tabs>
          <w:tab w:leader="none" w:pos="304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the Borrower otherwise fails to perform or observe any other provision contained in this Note and such breach or failure to perform shall continue for a period of thirty days after notice thereof shall have been given to the Borrower by the Noteholder;</w:t>
      </w:r>
    </w:p>
    <w:p>
      <w:pPr>
        <w:spacing w:after="0" w:line="183" w:lineRule="exact"/>
        <w:rPr>
          <w:rFonts w:ascii="Arial" w:cs="Arial" w:eastAsia="Arial" w:hAnsi="Arial"/>
          <w:sz w:val="18"/>
          <w:szCs w:val="18"/>
          <w:b w:val="1"/>
          <w:bCs w:val="1"/>
          <w:color w:val="auto"/>
        </w:rPr>
      </w:pPr>
    </w:p>
    <w:p>
      <w:pPr>
        <w:jc w:val="both"/>
        <w:ind w:left="3040" w:hanging="440"/>
        <w:spacing w:after="0" w:line="263" w:lineRule="auto"/>
        <w:tabs>
          <w:tab w:leader="none" w:pos="304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a case shall be commenced against Borrower, or Borrower shall file a petition commencing a case, under any provision of the Federal Bankruptcy Code of 1978, as amended, or shall seek relief under any provision of any other bankruptcy,</w:t>
      </w:r>
    </w:p>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jc w:val="both"/>
        <w:ind w:left="2160"/>
        <w:spacing w:after="0" w:line="257" w:lineRule="auto"/>
        <w:rPr>
          <w:sz w:val="20"/>
          <w:szCs w:val="20"/>
          <w:color w:val="auto"/>
        </w:rPr>
      </w:pPr>
      <w:r>
        <w:rPr>
          <w:rFonts w:ascii="Arial" w:cs="Arial" w:eastAsia="Arial" w:hAnsi="Arial"/>
          <w:sz w:val="18"/>
          <w:szCs w:val="18"/>
          <w:color w:val="auto"/>
        </w:rPr>
        <w:t>reorganization, arrangement, insolvency, readjustment of debt, dissolution or liquidation law of any jurisdiction, whether now or hereafter in effect, or shall consent to the filing of any petition against it under such law, or Borrower shall make an assignment for the benefit of its creditors, or shall admit in writing its inability to pay its debts generally as they become due, or shall consent to the appointment of a receiver, trustee or liquidator of Borrower or all or any part of its property; or</w:t>
      </w:r>
    </w:p>
    <w:p>
      <w:pPr>
        <w:spacing w:after="0" w:line="188" w:lineRule="exact"/>
        <w:rPr>
          <w:sz w:val="20"/>
          <w:szCs w:val="20"/>
          <w:color w:val="auto"/>
        </w:rPr>
      </w:pPr>
    </w:p>
    <w:p>
      <w:pPr>
        <w:ind w:left="2160" w:hanging="440"/>
        <w:spacing w:after="0"/>
        <w:tabs>
          <w:tab w:leader="none" w:pos="2160" w:val="left"/>
        </w:tabs>
        <w:numPr>
          <w:ilvl w:val="2"/>
          <w:numId w:val="21"/>
        </w:numPr>
        <w:rPr>
          <w:rFonts w:ascii="Arial" w:cs="Arial" w:eastAsia="Arial" w:hAnsi="Arial"/>
          <w:sz w:val="16"/>
          <w:szCs w:val="16"/>
          <w:b w:val="1"/>
          <w:bCs w:val="1"/>
          <w:color w:val="auto"/>
        </w:rPr>
      </w:pPr>
      <w:r>
        <w:rPr>
          <w:rFonts w:ascii="Arial" w:cs="Arial" w:eastAsia="Arial" w:hAnsi="Arial"/>
          <w:sz w:val="16"/>
          <w:szCs w:val="16"/>
          <w:color w:val="auto"/>
        </w:rPr>
        <w:t>an event occurs that, with notice or lapse of time, or both, would become any of the foregoing Events of Default.</w:t>
      </w:r>
    </w:p>
    <w:p>
      <w:pPr>
        <w:spacing w:after="0" w:line="248" w:lineRule="exact"/>
        <w:rPr>
          <w:rFonts w:ascii="Arial" w:cs="Arial" w:eastAsia="Arial" w:hAnsi="Arial"/>
          <w:sz w:val="16"/>
          <w:szCs w:val="16"/>
          <w:b w:val="1"/>
          <w:bCs w:val="1"/>
          <w:color w:val="auto"/>
        </w:rPr>
      </w:pPr>
    </w:p>
    <w:p>
      <w:pPr>
        <w:ind w:left="1280" w:hanging="438"/>
        <w:spacing w:after="0"/>
        <w:tabs>
          <w:tab w:leader="none" w:pos="12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Payment Date</w:t>
      </w:r>
      <w:r>
        <w:rPr>
          <w:rFonts w:ascii="Arial" w:cs="Arial" w:eastAsia="Arial" w:hAnsi="Arial"/>
          <w:sz w:val="18"/>
          <w:szCs w:val="18"/>
          <w:color w:val="auto"/>
        </w:rPr>
        <w:t>” shall mean the earlier of:</w:t>
      </w:r>
    </w:p>
    <w:p>
      <w:pPr>
        <w:spacing w:after="0" w:line="225" w:lineRule="exact"/>
        <w:rPr>
          <w:rFonts w:ascii="Arial" w:cs="Arial" w:eastAsia="Arial" w:hAnsi="Arial"/>
          <w:sz w:val="18"/>
          <w:szCs w:val="18"/>
          <w:b w:val="1"/>
          <w:bCs w:val="1"/>
          <w:color w:val="auto"/>
        </w:rPr>
      </w:pPr>
    </w:p>
    <w:p>
      <w:pPr>
        <w:ind w:left="2220" w:hanging="851"/>
        <w:spacing w:after="0" w:line="282" w:lineRule="auto"/>
        <w:tabs>
          <w:tab w:leader="none" w:pos="2220" w:val="left"/>
        </w:tabs>
        <w:numPr>
          <w:ilvl w:val="1"/>
          <w:numId w:val="22"/>
        </w:numPr>
        <w:rPr>
          <w:rFonts w:ascii="Arial" w:cs="Arial" w:eastAsia="Arial" w:hAnsi="Arial"/>
          <w:sz w:val="18"/>
          <w:szCs w:val="18"/>
          <w:color w:val="auto"/>
        </w:rPr>
      </w:pPr>
      <w:r>
        <w:rPr>
          <w:rFonts w:ascii="Arial" w:cs="Arial" w:eastAsia="Arial" w:hAnsi="Arial"/>
          <w:sz w:val="15"/>
          <w:szCs w:val="15"/>
          <w:color w:val="auto"/>
        </w:rPr>
        <w:t>written demand by the Noteholder for payment of all or part of the unpaid principal, the accrued and unpaid interest thereon and the accrued and unpaid commitment fee thereon, but in any event no earlier than December 31, 2022; or</w:t>
      </w:r>
    </w:p>
    <w:p>
      <w:pPr>
        <w:ind w:left="2220" w:hanging="851"/>
        <w:spacing w:after="0" w:line="204" w:lineRule="auto"/>
        <w:tabs>
          <w:tab w:leader="none" w:pos="2220" w:val="left"/>
        </w:tabs>
        <w:numPr>
          <w:ilvl w:val="1"/>
          <w:numId w:val="22"/>
        </w:numPr>
        <w:rPr>
          <w:rFonts w:ascii="Arial" w:cs="Arial" w:eastAsia="Arial" w:hAnsi="Arial"/>
          <w:sz w:val="22"/>
          <w:szCs w:val="22"/>
          <w:color w:val="auto"/>
        </w:rPr>
      </w:pPr>
      <w:r>
        <w:rPr>
          <w:rFonts w:ascii="Arial" w:cs="Arial" w:eastAsia="Arial" w:hAnsi="Arial"/>
          <w:sz w:val="18"/>
          <w:szCs w:val="18"/>
          <w:color w:val="auto"/>
        </w:rPr>
        <w:t>acceleration as provided herein.</w:t>
      </w:r>
    </w:p>
    <w:p>
      <w:pPr>
        <w:spacing w:after="0" w:line="229" w:lineRule="exact"/>
        <w:rPr>
          <w:rFonts w:ascii="Arial" w:cs="Arial" w:eastAsia="Arial" w:hAnsi="Arial"/>
          <w:sz w:val="22"/>
          <w:szCs w:val="22"/>
          <w:color w:val="auto"/>
        </w:rPr>
      </w:pPr>
    </w:p>
    <w:p>
      <w:pPr>
        <w:ind w:left="1280" w:right="20" w:hanging="438"/>
        <w:spacing w:after="0" w:line="277" w:lineRule="auto"/>
        <w:tabs>
          <w:tab w:leader="none" w:pos="12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Rate</w:t>
      </w:r>
      <w:r>
        <w:rPr>
          <w:rFonts w:ascii="Arial" w:cs="Arial" w:eastAsia="Arial" w:hAnsi="Arial"/>
          <w:sz w:val="18"/>
          <w:szCs w:val="18"/>
          <w:color w:val="auto"/>
        </w:rPr>
        <w:t>” shall mean the highest lawful rate permissible under applicable law for the use, forbearance or detention of money.</w:t>
      </w:r>
    </w:p>
    <w:p>
      <w:pPr>
        <w:spacing w:after="0" w:line="170" w:lineRule="exact"/>
        <w:rPr>
          <w:rFonts w:ascii="Arial" w:cs="Arial" w:eastAsia="Arial" w:hAnsi="Arial"/>
          <w:sz w:val="18"/>
          <w:szCs w:val="18"/>
          <w:b w:val="1"/>
          <w:bCs w:val="1"/>
          <w:color w:val="auto"/>
        </w:rPr>
      </w:pPr>
    </w:p>
    <w:p>
      <w:pPr>
        <w:ind w:left="1280" w:hanging="438"/>
        <w:spacing w:after="0" w:line="342" w:lineRule="auto"/>
        <w:tabs>
          <w:tab w:leader="none" w:pos="128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Prime Rate</w:t>
      </w:r>
      <w:r>
        <w:rPr>
          <w:rFonts w:ascii="Arial" w:cs="Arial" w:eastAsia="Arial" w:hAnsi="Arial"/>
          <w:sz w:val="16"/>
          <w:szCs w:val="16"/>
          <w:color w:val="auto"/>
        </w:rPr>
        <w:t xml:space="preserve">” shall mean the fluctuating interest rate per annum in effect from time to time equal to the base rate on corporate loans as reported as the Prime Rate in the Money Rates column of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other reliable source.</w:t>
      </w:r>
    </w:p>
    <w:p>
      <w:pPr>
        <w:spacing w:after="0" w:line="123" w:lineRule="exact"/>
        <w:rPr>
          <w:rFonts w:ascii="Arial" w:cs="Arial" w:eastAsia="Arial" w:hAnsi="Arial"/>
          <w:sz w:val="16"/>
          <w:szCs w:val="16"/>
          <w:b w:val="1"/>
          <w:bCs w:val="1"/>
          <w:color w:val="auto"/>
        </w:rPr>
      </w:pPr>
    </w:p>
    <w:p>
      <w:pPr>
        <w:ind w:left="1280" w:right="20" w:hanging="438"/>
        <w:spacing w:after="0" w:line="342" w:lineRule="auto"/>
        <w:tabs>
          <w:tab w:leader="none" w:pos="128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Unused Commitment Amount</w:t>
      </w:r>
      <w:r>
        <w:rPr>
          <w:rFonts w:ascii="Arial" w:cs="Arial" w:eastAsia="Arial" w:hAnsi="Arial"/>
          <w:sz w:val="16"/>
          <w:szCs w:val="16"/>
          <w:color w:val="auto"/>
        </w:rPr>
        <w:t>” for any period on after the date of this Note shall mean the average on each day of such period of the difference between (A) $40,000,000.00 and (B) the amount of the unpaid principal balance of this Note.</w:t>
      </w:r>
    </w:p>
    <w:p>
      <w:pPr>
        <w:spacing w:after="0" w:line="123" w:lineRule="exact"/>
        <w:rPr>
          <w:rFonts w:ascii="Arial" w:cs="Arial" w:eastAsia="Arial" w:hAnsi="Arial"/>
          <w:sz w:val="16"/>
          <w:szCs w:val="16"/>
          <w:b w:val="1"/>
          <w:bCs w:val="1"/>
          <w:color w:val="auto"/>
        </w:rPr>
      </w:pPr>
    </w:p>
    <w:p>
      <w:pPr>
        <w:ind w:left="1280" w:hanging="438"/>
        <w:spacing w:after="0" w:line="308" w:lineRule="auto"/>
        <w:tabs>
          <w:tab w:leader="none" w:pos="128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Unused Commitment Fee</w:t>
      </w:r>
      <w:r>
        <w:rPr>
          <w:rFonts w:ascii="Arial" w:cs="Arial" w:eastAsia="Arial" w:hAnsi="Arial"/>
          <w:sz w:val="17"/>
          <w:szCs w:val="17"/>
          <w:color w:val="auto"/>
        </w:rPr>
        <w:t>” shall mean the product of (A) 50 Basis Points per annum (pro rated to take into account that the fee is payable quarterly, or such shorter period if applicable) and (B) the Unused Commitment Amount.</w:t>
      </w:r>
    </w:p>
    <w:p>
      <w:pPr>
        <w:spacing w:after="0" w:line="142"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ALHI</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74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gridSpan w:val="2"/>
          </w:tcPr>
          <w:p>
            <w:pPr>
              <w:spacing w:after="0"/>
              <w:rPr>
                <w:sz w:val="20"/>
                <w:szCs w:val="20"/>
                <w:color w:val="auto"/>
              </w:rPr>
            </w:pPr>
            <w:r>
              <w:rPr>
                <w:rFonts w:ascii="Arial" w:cs="Arial" w:eastAsia="Arial" w:hAnsi="Arial"/>
                <w:sz w:val="18"/>
                <w:szCs w:val="18"/>
                <w:color w:val="auto"/>
              </w:rPr>
              <w:t>/s/ James W. Brown</w:t>
            </w:r>
          </w:p>
        </w:tc>
      </w:tr>
      <w:tr>
        <w:trPr>
          <w:trHeight w:val="222"/>
        </w:trPr>
        <w:tc>
          <w:tcPr>
            <w:tcW w:w="660" w:type="dxa"/>
            <w:vAlign w:val="bottom"/>
          </w:tcPr>
          <w:p>
            <w:pPr>
              <w:spacing w:after="0"/>
              <w:rPr>
                <w:sz w:val="19"/>
                <w:szCs w:val="19"/>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James W. Brown</w:t>
            </w:r>
          </w:p>
        </w:tc>
        <w:tc>
          <w:tcPr>
            <w:tcW w:w="2400" w:type="dxa"/>
            <w:vAlign w:val="bottom"/>
          </w:tcPr>
          <w:p>
            <w:pPr>
              <w:spacing w:after="0"/>
              <w:rPr>
                <w:sz w:val="19"/>
                <w:szCs w:val="19"/>
                <w:color w:val="auto"/>
              </w:rPr>
            </w:pPr>
          </w:p>
        </w:tc>
      </w:tr>
      <w:tr>
        <w:trPr>
          <w:trHeight w:val="230"/>
        </w:trPr>
        <w:tc>
          <w:tcPr>
            <w:tcW w:w="66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i w:val="1"/>
                <w:iCs w:val="1"/>
                <w:color w:val="auto"/>
                <w:w w:val="91"/>
              </w:rPr>
              <w:t>Executive Vice President and Chief Financial Officer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w w:val="90"/>
              </w:rPr>
              <w:t>Address:</w:t>
            </w:r>
          </w:p>
        </w:tc>
        <w:tc>
          <w:tcPr>
            <w:tcW w:w="142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line="20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5430 LBJ Freeway, Suite 1700</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Dallas, Texas  75240-2620</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41" w:right="339" w:bottom="1440" w:gutter="0" w:footer="0" w:header="0"/>
        </w:sectPr>
      </w:pPr>
    </w:p>
    <w:bookmarkStart w:id="65" w:name="page66"/>
    <w:bookmarkEnd w:id="65"/>
    <w:p>
      <w:pPr>
        <w:jc w:val="both"/>
        <w:ind w:firstLine="864"/>
        <w:spacing w:after="0" w:line="257" w:lineRule="auto"/>
        <w:rPr>
          <w:sz w:val="20"/>
          <w:szCs w:val="20"/>
          <w:color w:val="auto"/>
        </w:rPr>
      </w:pPr>
      <w:r>
        <w:rPr>
          <w:rFonts w:ascii="Arial" w:cs="Arial" w:eastAsia="Arial" w:hAnsi="Arial"/>
          <w:sz w:val="18"/>
          <w:szCs w:val="18"/>
          <w:color w:val="auto"/>
        </w:rPr>
        <w:t>As of the date hereof, CompX International Inc., as the Noteholder, hereby agrees that this Note renews, replaces, amends and restates in its entirety the Prior Note, and that the unpaid principal of $29,500,000.00, the accrued and unpaid interest thereon of nil and the accrued and unpaid commitment fee thereon of nil that was owed under the Prior Note as of the close of business on December 31, 2020 are the unpaid principal, the accrued and unpaid interest thereon and the accrued and unpaid commitment fee thereon, respectively, owed under this Note as of the close of business on the date of this Note.</w:t>
      </w:r>
    </w:p>
    <w:p>
      <w:pPr>
        <w:spacing w:after="0" w:line="400"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COMPX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Amy A. Samford</w:t>
            </w:r>
          </w:p>
        </w:tc>
        <w:tc>
          <w:tcPr>
            <w:tcW w:w="1620" w:type="dxa"/>
            <w:vAlign w:val="bottom"/>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i w:val="1"/>
                <w:iCs w:val="1"/>
                <w:color w:val="auto"/>
              </w:rPr>
              <w:t>Amy A. Samford</w:t>
            </w:r>
          </w:p>
        </w:tc>
      </w:tr>
      <w:tr>
        <w:trPr>
          <w:trHeight w:val="230"/>
        </w:trPr>
        <w:tc>
          <w:tcPr>
            <w:tcW w:w="66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i w:val="1"/>
                <w:iCs w:val="1"/>
                <w:color w:val="auto"/>
                <w:w w:val="91"/>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Page 5 of 5.</w:t>
      </w:r>
    </w:p>
    <w:p>
      <w:pPr>
        <w:sectPr>
          <w:pgSz w:w="11900" w:h="16838" w:orient="portrait"/>
          <w:cols w:equalWidth="0" w:num="1">
            <w:col w:w="11240"/>
          </w:cols>
          <w:pgMar w:left="320" w:top="34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SUBSIDIARIES OF THE REGISTRANT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402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CompX Security Products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CompX Marine Inc.</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Custom Marine Inc.</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JZTB Realty LLC</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Livorsi Marine Inc.</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 of Voting</w:t>
            </w:r>
          </w:p>
        </w:tc>
      </w:tr>
      <w:tr>
        <w:trPr>
          <w:trHeight w:val="216"/>
        </w:trPr>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Jurisdiction of</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16"/>
        </w:trPr>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Incorporation or</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Held at December 31,</w:t>
            </w:r>
          </w:p>
        </w:tc>
      </w:tr>
      <w:tr>
        <w:trPr>
          <w:trHeight w:val="234"/>
        </w:trPr>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358"/>
        </w:trPr>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364"/>
        </w:trPr>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243"/>
        </w:trPr>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243"/>
        </w:trPr>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Wisconsin</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100</w:t>
            </w:r>
          </w:p>
        </w:tc>
      </w:tr>
      <w:tr>
        <w:trPr>
          <w:trHeight w:val="243"/>
        </w:trPr>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Illinois</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100</w:t>
            </w:r>
          </w:p>
        </w:tc>
      </w:tr>
    </w:tbl>
    <w:p>
      <w:pPr>
        <w:sectPr>
          <w:pgSz w:w="11900" w:h="16838" w:orient="portrait"/>
          <w:cols w:equalWidth="0" w:num="2">
            <w:col w:w="5920" w:space="720"/>
            <w:col w:w="4600"/>
          </w:cols>
          <w:pgMar w:left="320" w:top="121" w:right="3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333-181794) of CompX International Inc. of our report dated March 3, 2021 relating to the financial statements,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2021</w:t>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7"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CompX International Inc.;</w:t>
      </w:r>
    </w:p>
    <w:p>
      <w:pPr>
        <w:spacing w:after="0" w:line="117"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75"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740" w:hanging="368"/>
        <w:spacing w:after="0" w:line="308" w:lineRule="auto"/>
        <w:tabs>
          <w:tab w:leader="none" w:pos="7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740" w:hanging="368"/>
        <w:spacing w:after="0" w:line="263" w:lineRule="auto"/>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740" w:hanging="368"/>
        <w:spacing w:after="0" w:line="277" w:lineRule="auto"/>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40" w:right="20" w:hanging="368"/>
        <w:spacing w:after="0" w:line="277" w:lineRule="auto"/>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C. James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37"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Amy A. Samford, certify that:</w:t>
      </w:r>
    </w:p>
    <w:p>
      <w:pPr>
        <w:spacing w:after="0" w:line="117"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CompX International Inc.;</w:t>
      </w:r>
    </w:p>
    <w:p>
      <w:pPr>
        <w:spacing w:after="0" w:line="117"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5"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740" w:hanging="368"/>
        <w:spacing w:after="0" w:line="308" w:lineRule="auto"/>
        <w:tabs>
          <w:tab w:leader="none" w:pos="7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740" w:hanging="368"/>
        <w:spacing w:after="0" w:line="263"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740" w:right="200" w:hanging="368"/>
        <w:spacing w:after="0" w:line="277"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40" w:right="180" w:hanging="368"/>
        <w:spacing w:after="0" w:line="277"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A. Samford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3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CompX International Inc. (the Company) on Form 10-K for the period ending December 31, 2020 as filed with the Securities and Exchange Commission on the date hereof (the Report), I, Scott C. James, President and Chief Executive Officer of the Company and I, Amy A. Samford, Vice President and Chief Financial Officer of the Company, certify, pursuant to 18 U.S.C. §1350, as adopted pursuant to §906 of the Sarbanes-Oxley Act of 2002, that:</w:t>
      </w:r>
    </w:p>
    <w:p>
      <w:pPr>
        <w:spacing w:after="0" w:line="79" w:lineRule="exact"/>
        <w:rPr>
          <w:sz w:val="20"/>
          <w:szCs w:val="20"/>
          <w:color w:val="auto"/>
        </w:rPr>
      </w:pPr>
    </w:p>
    <w:p>
      <w:pPr>
        <w:ind w:left="1860" w:hanging="856"/>
        <w:spacing w:after="0"/>
        <w:tabs>
          <w:tab w:leader="none" w:pos="1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860" w:hanging="856"/>
        <w:spacing w:after="0"/>
        <w:tabs>
          <w:tab w:leader="none" w:pos="1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w:t>
      </w:r>
    </w:p>
    <w:p>
      <w:pPr>
        <w:spacing w:after="0" w:line="46"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861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C. James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Amy A. Samford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861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A. Samford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lvl w:ilvl="1">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lvl w:ilvl="1">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lvl w:ilvl="1">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lvl w:ilvl="1">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lowerLetter"/>
      <w:start w:val="2"/>
    </w:lvl>
  </w:abstractNum>
  <w:abstractNum w:abstractNumId="16">
    <w:nsid w:val="628C895D"/>
    <w:multiLevelType w:val="hybridMultilevel"/>
    <w:lvl w:ilvl="0">
      <w:lvlJc w:val="left"/>
      <w:lvlText w:val="*"/>
      <w:numFmt w:val="bullet"/>
      <w:start w:val="1"/>
    </w:lvl>
    <w:lvl w:ilvl="1">
      <w:lvlJc w:val="left"/>
      <w:lvlText w:val="%2"/>
      <w:numFmt w:val="decimal"/>
      <w:start w:val="104"/>
    </w:lvl>
    <w:lvl w:ilvl="2">
      <w:lvlJc w:val="left"/>
      <w:lvlText w:val="-"/>
      <w:numFmt w:val="bullet"/>
      <w:start w:val="1"/>
    </w:lvl>
  </w:abstractNum>
  <w:abstractNum w:abstractNumId="17">
    <w:nsid w:val="333AB105"/>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Letter"/>
      <w:start w:val="1"/>
    </w:lvl>
    <w:lvl w:ilvl="1">
      <w:lvlJc w:val="left"/>
      <w:lvlText w:val="%2."/>
      <w:numFmt w:val="lowerRoman"/>
      <w:start w:val="1"/>
    </w:lvl>
  </w:abstractNum>
  <w:abstractNum w:abstractNumId="20">
    <w:nsid w:val="2D1D5AE9"/>
    <w:multiLevelType w:val="hybridMultilevel"/>
    <w:lvl w:ilvl="0">
      <w:lvlJc w:val="left"/>
      <w:lvlText w:val="%1"/>
      <w:numFmt w:val="lowerLetter"/>
      <w:start w:val="1"/>
    </w:lvl>
    <w:lvl w:ilvl="1">
      <w:lvlJc w:val="left"/>
      <w:lvlText w:val="•"/>
      <w:numFmt w:val="bullet"/>
      <w:start w:val="1"/>
    </w:lvl>
    <w:lvl w:ilvl="2">
      <w:lvlJc w:val="left"/>
      <w:lvlText w:val="%3."/>
      <w:numFmt w:val="lowerRoman"/>
      <w:start w:val="4"/>
    </w:lvl>
  </w:abstractNum>
  <w:abstractNum w:abstractNumId="21">
    <w:nsid w:val="6763845E"/>
    <w:multiLevelType w:val="hybridMultilevel"/>
    <w:lvl w:ilvl="0">
      <w:lvlJc w:val="left"/>
      <w:lvlText w:val="%1."/>
      <w:numFmt w:val="lowerLetter"/>
      <w:start w:val="5"/>
    </w:lvl>
    <w:lvl w:ilvl="1">
      <w:lvlJc w:val="left"/>
      <w:lvlText w:val="•"/>
      <w:numFmt w:val="bullet"/>
      <w:start w:val="1"/>
    </w:lvl>
    <w:lvl w:ilvl="2">
      <w:lvlJc w:val="left"/>
      <w:lvlText w:val="%3"/>
      <w:numFmt w:val="lowerRoman"/>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43" Type="http://schemas.openxmlformats.org/officeDocument/2006/relationships/hyperlink" Target="http://www.sec.gov/Archives/edgar/data/1049606/000156459018019438/cix-ex31_101.htm" TargetMode="External"/><Relationship Id="rId44" Type="http://schemas.openxmlformats.org/officeDocument/2006/relationships/hyperlink" Target="http://www.sec.gov/Archives/edgar/data/0001049606/000002424018000016/exh31.htm" TargetMode="External"/><Relationship Id="rId45" Type="http://schemas.openxmlformats.org/officeDocument/2006/relationships/hyperlink" Target="http://www.sec.gov/Archives/edgar/data/1049606/000156459020006804/cix-ex41_137.htm" TargetMode="External"/><Relationship Id="rId46" Type="http://schemas.openxmlformats.org/officeDocument/2006/relationships/hyperlink" Target="http://www.sec.gov/Archives/edgar/data/1049606/000104960604000011/ciiexh102.txt" TargetMode="External"/><Relationship Id="rId47" Type="http://schemas.openxmlformats.org/officeDocument/2006/relationships/hyperlink" Target="http://www.sec.gov/Archives/edgar/data/1049606/000119312513094118/d440599dex102.htm" TargetMode="External"/><Relationship Id="rId48" Type="http://schemas.openxmlformats.org/officeDocument/2006/relationships/hyperlink" Target="http://www.sec.gov/Archives/edgar/data/1049606/000156459020006804/cix-ex103_307.htm" TargetMode="External"/><Relationship Id="rId49" Type="http://schemas.openxmlformats.org/officeDocument/2006/relationships/hyperlink" Target="http://www.sec.gov/Archives/edgar/data/1049606/000005925516000191/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2021-03-03T15:21:26Z</dcterms:created>
  <dcterms:modified xsi:type="dcterms:W3CDTF">2021-03-03T15:21:26Z</dcterms:modified>
</cp:coreProperties>
</file>