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53975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74295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51" w:lineRule="exact"/>
        <w:rPr>
          <w:sz w:val="24"/>
          <w:szCs w:val="24"/>
          <w:color w:val="auto"/>
        </w:rPr>
      </w:pPr>
    </w:p>
    <w:p>
      <w:pPr>
        <w:ind w:left="2860" w:right="1560" w:hanging="1307"/>
        <w:spacing w:after="0" w:line="256" w:lineRule="auto"/>
        <w:tabs>
          <w:tab w:leader="none" w:pos="2193"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2" w:lineRule="exact"/>
        <w:rPr>
          <w:sz w:val="24"/>
          <w:szCs w:val="24"/>
          <w:color w:val="auto"/>
        </w:rPr>
      </w:pPr>
    </w:p>
    <w:p>
      <w:pPr>
        <w:ind w:left="2860" w:right="1560" w:hanging="1315"/>
        <w:spacing w:after="0" w:line="256" w:lineRule="auto"/>
        <w:tabs>
          <w:tab w:leader="none" w:pos="2185" w:val="left"/>
        </w:tabs>
        <w:numPr>
          <w:ilvl w:val="0"/>
          <w:numId w:val="2"/>
        </w:numPr>
        <w:rPr>
          <w:rFonts w:ascii="MS PGothic" w:cs="MS PGothic" w:eastAsia="MS PGothic" w:hAnsi="MS PGothic"/>
          <w:sz w:val="14"/>
          <w:szCs w:val="14"/>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For the transition period from _________ to _________</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123190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130175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7" w:lineRule="exact"/>
        <w:rPr>
          <w:sz w:val="24"/>
          <w:szCs w:val="24"/>
          <w:color w:val="auto"/>
        </w:rPr>
      </w:pPr>
    </w:p>
    <w:p>
      <w:pPr>
        <w:ind w:left="1980"/>
        <w:spacing w:after="0"/>
        <w:tabs>
          <w:tab w:leader="none" w:pos="7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57-0981653</w:t>
      </w:r>
    </w:p>
    <w:p>
      <w:pPr>
        <w:spacing w:after="0" w:line="27" w:lineRule="exact"/>
        <w:rPr>
          <w:sz w:val="24"/>
          <w:szCs w:val="24"/>
          <w:color w:val="auto"/>
        </w:rPr>
      </w:pPr>
    </w:p>
    <w:p>
      <w:pPr>
        <w:ind w:left="1380"/>
        <w:spacing w:after="0"/>
        <w:tabs>
          <w:tab w:leader="none" w:pos="7100" w:val="left"/>
        </w:tabs>
        <w:rPr>
          <w:sz w:val="20"/>
          <w:szCs w:val="20"/>
          <w:color w:val="auto"/>
        </w:rPr>
      </w:pPr>
      <w:r>
        <w:rPr>
          <w:rFonts w:ascii="Arial" w:cs="Arial" w:eastAsia="Arial" w:hAnsi="Arial"/>
          <w:sz w:val="18"/>
          <w:szCs w:val="18"/>
          <w:b w:val="1"/>
          <w:bCs w:val="1"/>
          <w:color w:val="auto"/>
        </w:rPr>
        <w:t>(State or other jurisdiction of</w:t>
      </w:r>
      <w:r>
        <w:rPr>
          <w:sz w:val="20"/>
          <w:szCs w:val="20"/>
          <w:color w:val="auto"/>
        </w:rPr>
        <w:tab/>
      </w:r>
      <w:r>
        <w:rPr>
          <w:rFonts w:ascii="Arial" w:cs="Arial" w:eastAsia="Arial" w:hAnsi="Arial"/>
          <w:sz w:val="17"/>
          <w:szCs w:val="17"/>
          <w:b w:val="1"/>
          <w:bCs w:val="1"/>
          <w:color w:val="auto"/>
        </w:rPr>
        <w:t>(IRS Employer</w:t>
      </w:r>
    </w:p>
    <w:p>
      <w:pPr>
        <w:spacing w:after="0" w:line="9" w:lineRule="exact"/>
        <w:rPr>
          <w:sz w:val="24"/>
          <w:szCs w:val="24"/>
          <w:color w:val="auto"/>
        </w:rPr>
      </w:pPr>
    </w:p>
    <w:p>
      <w:pPr>
        <w:ind w:left="1320"/>
        <w:spacing w:after="0"/>
        <w:tabs>
          <w:tab w:leader="none" w:pos="6980" w:val="left"/>
        </w:tabs>
        <w:rPr>
          <w:sz w:val="20"/>
          <w:szCs w:val="20"/>
          <w:color w:val="auto"/>
        </w:rPr>
      </w:pPr>
      <w:r>
        <w:rPr>
          <w:rFonts w:ascii="Arial" w:cs="Arial" w:eastAsia="Arial" w:hAnsi="Arial"/>
          <w:sz w:val="18"/>
          <w:szCs w:val="18"/>
          <w:b w:val="1"/>
          <w:bCs w:val="1"/>
          <w:color w:val="auto"/>
        </w:rPr>
        <w:t>incorporation or organization)</w:t>
      </w:r>
      <w:r>
        <w:rPr>
          <w:sz w:val="20"/>
          <w:szCs w:val="20"/>
          <w:color w:val="auto"/>
        </w:rPr>
        <w:tab/>
      </w:r>
      <w:r>
        <w:rPr>
          <w:rFonts w:ascii="Arial" w:cs="Arial" w:eastAsia="Arial" w:hAnsi="Arial"/>
          <w:sz w:val="16"/>
          <w:szCs w:val="16"/>
          <w:b w:val="1"/>
          <w:bCs w:val="1"/>
          <w:color w:val="auto"/>
        </w:rPr>
        <w:t>Identification No.)</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5430 LBJ Freeway, Suite 1700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75240-2620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 448-1400</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40" w:type="dxa"/>
            <w:vAlign w:val="bottom"/>
            <w:gridSpan w:val="4"/>
          </w:tcPr>
          <w:p>
            <w:pPr>
              <w:spacing w:after="0"/>
              <w:rPr>
                <w:sz w:val="20"/>
                <w:szCs w:val="20"/>
                <w:color w:val="auto"/>
              </w:rPr>
            </w:pPr>
            <w:r>
              <w:rPr>
                <w:rFonts w:ascii="Arial" w:cs="Arial" w:eastAsia="Arial" w:hAnsi="Arial"/>
                <w:sz w:val="16"/>
                <w:szCs w:val="16"/>
                <w:b w:val="1"/>
                <w:bCs w:val="1"/>
                <w:color w:val="auto"/>
                <w:w w:val="93"/>
              </w:rPr>
              <w:t>Securities registered pursuant to Section 12(b) of the Act: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314"/>
        </w:trPr>
        <w:tc>
          <w:tcPr>
            <w:tcW w:w="20" w:type="dxa"/>
            <w:vAlign w:val="bottom"/>
          </w:tcPr>
          <w:p>
            <w:pPr>
              <w:spacing w:after="0"/>
              <w:rPr>
                <w:sz w:val="24"/>
                <w:szCs w:val="24"/>
                <w:color w:val="auto"/>
              </w:rPr>
            </w:pPr>
          </w:p>
        </w:tc>
        <w:tc>
          <w:tcPr>
            <w:tcW w:w="4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8"/>
              </w:rPr>
              <w:t>Title of each class</w:t>
            </w:r>
          </w:p>
        </w:tc>
        <w:tc>
          <w:tcPr>
            <w:tcW w:w="2060" w:type="dxa"/>
            <w:vAlign w:val="bottom"/>
            <w:gridSpan w:val="2"/>
          </w:tcPr>
          <w:p>
            <w:pPr>
              <w:ind w:left="200"/>
              <w:spacing w:after="0"/>
              <w:rPr>
                <w:sz w:val="20"/>
                <w:szCs w:val="20"/>
                <w:color w:val="auto"/>
              </w:rPr>
            </w:pPr>
            <w:r>
              <w:rPr>
                <w:rFonts w:ascii="Arial" w:cs="Arial" w:eastAsia="Arial" w:hAnsi="Arial"/>
                <w:sz w:val="16"/>
                <w:szCs w:val="16"/>
                <w:b w:val="1"/>
                <w:bCs w:val="1"/>
                <w:color w:val="auto"/>
              </w:rPr>
              <w:t>Trading Symbol(s)</w:t>
            </w: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2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w:t>
            </w: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CIX</w:t>
            </w:r>
          </w:p>
        </w:tc>
        <w:tc>
          <w:tcPr>
            <w:tcW w:w="160" w:type="dxa"/>
            <w:vAlign w:val="bottom"/>
          </w:tcPr>
          <w:p>
            <w:pPr>
              <w:spacing w:after="0"/>
              <w:rPr>
                <w:sz w:val="17"/>
                <w:szCs w:val="17"/>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r>
    </w:tbl>
    <w:p>
      <w:pPr>
        <w:spacing w:after="0" w:line="99"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84"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9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Large accelerated filer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84" w:lineRule="exact"/>
        <w:tabs>
          <w:tab w:leader="none" w:pos="38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07" w:lineRule="exact"/>
        <w:tabs>
          <w:tab w:leader="none" w:pos="2900" w:val="left"/>
          <w:tab w:leader="none" w:pos="5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8" w:lineRule="exact"/>
        <w:rPr>
          <w:sz w:val="24"/>
          <w:szCs w:val="24"/>
          <w:color w:val="auto"/>
        </w:rPr>
      </w:pPr>
    </w:p>
    <w:p>
      <w:pPr>
        <w:sectPr>
          <w:pgSz w:w="11900" w:h="16838" w:orient="portrait"/>
          <w:cols w:equalWidth="0" w:num="2">
            <w:col w:w="4100" w:space="720"/>
            <w:col w:w="5400"/>
          </w:cols>
          <w:pgMar w:left="840" w:top="665" w:right="839" w:bottom="1440" w:gutter="0" w:footer="0" w:header="0"/>
          <w:type w:val="continuous"/>
        </w:sectPr>
      </w:pPr>
    </w:p>
    <w:p>
      <w:pPr>
        <w:ind w:right="20"/>
        <w:spacing w:after="0" w:line="216"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70" w:lineRule="exact"/>
        <w:rPr>
          <w:sz w:val="24"/>
          <w:szCs w:val="24"/>
          <w:color w:val="auto"/>
        </w:rPr>
      </w:pPr>
    </w:p>
    <w:p>
      <w:pPr>
        <w:spacing w:after="0" w:line="173" w:lineRule="exact"/>
        <w:tabs>
          <w:tab w:leader="none" w:pos="8520" w:val="left"/>
        </w:tabs>
        <w:rPr>
          <w:sz w:val="20"/>
          <w:szCs w:val="20"/>
          <w:color w:val="auto"/>
        </w:rPr>
      </w:pPr>
      <w:r>
        <w:rPr>
          <w:rFonts w:ascii="Arial" w:cs="Arial" w:eastAsia="Arial" w:hAnsi="Arial"/>
          <w:sz w:val="15"/>
          <w:szCs w:val="15"/>
          <w:b w:val="1"/>
          <w:bCs w:val="1"/>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ab/>
        <w:t xml:space="preserve">No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October 27, 2022, the registrant had 12,307,157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774700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140335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183515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Part I.</w:t>
            </w:r>
          </w:p>
        </w:tc>
        <w:tc>
          <w:tcPr>
            <w:tcW w:w="750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00" w:type="dxa"/>
            <w:vAlign w:val="bottom"/>
            <w:gridSpan w:val="4"/>
            <w:vMerge w:val="continue"/>
          </w:tcPr>
          <w:p>
            <w:pPr>
              <w:spacing w:after="0"/>
              <w:rPr>
                <w:sz w:val="16"/>
                <w:szCs w:val="16"/>
                <w:color w:val="auto"/>
              </w:rPr>
            </w:pPr>
          </w:p>
        </w:tc>
        <w:tc>
          <w:tcPr>
            <w:tcW w:w="7500" w:type="dxa"/>
            <w:vAlign w:val="bottom"/>
            <w:gridSpan w:val="16"/>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50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16"/>
          </w:tcPr>
          <w:p>
            <w:pPr>
              <w:spacing w:after="0"/>
              <w:rPr>
                <w:sz w:val="20"/>
                <w:szCs w:val="20"/>
                <w:color w:val="auto"/>
              </w:rPr>
            </w:pPr>
            <w:r>
              <w:rPr>
                <w:rFonts w:ascii="Arial" w:cs="Arial" w:eastAsia="Arial" w:hAnsi="Arial"/>
                <w:sz w:val="18"/>
                <w:szCs w:val="18"/>
                <w:color w:val="0000EE"/>
                <w:w w:val="92"/>
              </w:rPr>
              <w:t>Condensed Consolidated Balance Sheets – December 31, 2021 and September 30, 2022 (unaudited)</w:t>
            </w: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- 3 -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8"/>
              </w:rPr>
              <w:t>Condensed Consolidated Statements of Income (unaudited) – Three and nine months ended September</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15"/>
          </w:tcPr>
          <w:p>
            <w:pPr>
              <w:spacing w:after="0" w:line="196" w:lineRule="exact"/>
              <w:rPr>
                <w:sz w:val="20"/>
                <w:szCs w:val="20"/>
                <w:color w:val="auto"/>
              </w:rPr>
            </w:pPr>
            <w:r>
              <w:rPr>
                <w:rFonts w:ascii="Arial" w:cs="Arial" w:eastAsia="Arial" w:hAnsi="Arial"/>
                <w:sz w:val="18"/>
                <w:szCs w:val="18"/>
                <w:color w:val="0000EE"/>
              </w:rPr>
              <w:t>30, 2021 and 2022</w:t>
            </w: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3"/>
              </w:rPr>
              <w:t>- 4 -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Condensed Consolidated Statements of Stockholders’ Equity (unaudited) – Three and nine months</w:t>
            </w:r>
          </w:p>
        </w:tc>
        <w:tc>
          <w:tcPr>
            <w:tcW w:w="40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7"/>
              </w:rPr>
              <w:t>ended September 30, 2021 and 2022</w:t>
            </w:r>
          </w:p>
        </w:tc>
        <w:tc>
          <w:tcPr>
            <w:tcW w:w="4660" w:type="dxa"/>
            <w:vAlign w:val="bottom"/>
            <w:gridSpan w:val="8"/>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3"/>
              </w:rPr>
              <w:t>- 5 -</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16"/>
          </w:tcPr>
          <w:p>
            <w:pPr>
              <w:spacing w:after="0"/>
              <w:rPr>
                <w:sz w:val="20"/>
                <w:szCs w:val="20"/>
                <w:color w:val="auto"/>
              </w:rPr>
            </w:pPr>
            <w:r>
              <w:rPr>
                <w:rFonts w:ascii="Arial" w:cs="Arial" w:eastAsia="Arial" w:hAnsi="Arial"/>
                <w:sz w:val="18"/>
                <w:szCs w:val="18"/>
                <w:color w:val="0000EE"/>
                <w:w w:val="92"/>
              </w:rPr>
              <w:t>Condensed Consolidated Statements of Cash Flows (unaudited) – Nine months ended September 30,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2021 and 2022</w:t>
            </w:r>
          </w:p>
        </w:tc>
        <w:tc>
          <w:tcPr>
            <w:tcW w:w="6000" w:type="dxa"/>
            <w:vAlign w:val="bottom"/>
            <w:tcBorders>
              <w:top w:val="single" w:sz="8" w:color="0000EE"/>
            </w:tcBorders>
            <w:gridSpan w:val="10"/>
          </w:tcPr>
          <w:p>
            <w:pPr>
              <w:spacing w:after="0"/>
              <w:rPr>
                <w:sz w:val="17"/>
                <w:szCs w:val="17"/>
                <w:color w:val="auto"/>
              </w:rPr>
            </w:pPr>
          </w:p>
        </w:tc>
        <w:tc>
          <w:tcPr>
            <w:tcW w:w="220" w:type="dxa"/>
            <w:vAlign w:val="bottom"/>
            <w:gridSpan w:val="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3"/>
              </w:rPr>
              <w:t>- 6 -</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Notes to Condensed Consolidated Financial Statements (unaudited)</w:t>
            </w:r>
          </w:p>
        </w:tc>
        <w:tc>
          <w:tcPr>
            <w:tcW w:w="2640" w:type="dxa"/>
            <w:vAlign w:val="bottom"/>
            <w:gridSpan w:val="6"/>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- 7 -</w:t>
            </w:r>
          </w:p>
        </w:tc>
        <w:tc>
          <w:tcPr>
            <w:tcW w:w="0" w:type="dxa"/>
            <w:vAlign w:val="bottom"/>
          </w:tcPr>
          <w:p>
            <w:pPr>
              <w:spacing w:after="0"/>
              <w:rPr>
                <w:sz w:val="1"/>
                <w:szCs w:val="1"/>
                <w:color w:val="auto"/>
              </w:rPr>
            </w:pPr>
          </w:p>
        </w:tc>
      </w:tr>
      <w:tr>
        <w:trPr>
          <w:trHeight w:val="412"/>
        </w:trPr>
        <w:tc>
          <w:tcPr>
            <w:tcW w:w="800" w:type="dxa"/>
            <w:vAlign w:val="bottom"/>
            <w:gridSpan w:val="4"/>
          </w:tcPr>
          <w:p>
            <w:pPr>
              <w:spacing w:after="0"/>
              <w:rPr>
                <w:sz w:val="20"/>
                <w:szCs w:val="20"/>
                <w:color w:val="auto"/>
              </w:rPr>
            </w:pPr>
            <w:r>
              <w:rPr>
                <w:rFonts w:ascii="Arial" w:cs="Arial" w:eastAsia="Arial" w:hAnsi="Arial"/>
                <w:sz w:val="18"/>
                <w:szCs w:val="18"/>
                <w:color w:val="0000EE"/>
              </w:rPr>
              <w:t>Item 2.</w:t>
            </w:r>
          </w:p>
        </w:tc>
        <w:tc>
          <w:tcPr>
            <w:tcW w:w="7500" w:type="dxa"/>
            <w:vAlign w:val="bottom"/>
            <w:gridSpan w:val="16"/>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- 11 -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sz w:val="20"/>
                <w:szCs w:val="20"/>
                <w:color w:val="auto"/>
              </w:rPr>
            </w:pPr>
            <w:r>
              <w:rPr>
                <w:rFonts w:ascii="Arial" w:cs="Arial" w:eastAsia="Arial" w:hAnsi="Arial"/>
                <w:sz w:val="18"/>
                <w:szCs w:val="18"/>
                <w:color w:val="0000EE"/>
              </w:rPr>
              <w:t>Item 3.</w:t>
            </w:r>
          </w:p>
        </w:tc>
        <w:tc>
          <w:tcPr>
            <w:tcW w:w="7500" w:type="dxa"/>
            <w:vAlign w:val="bottom"/>
            <w:gridSpan w:val="16"/>
          </w:tcPr>
          <w:p>
            <w:pPr>
              <w:spacing w:after="0"/>
              <w:rPr>
                <w:sz w:val="20"/>
                <w:szCs w:val="20"/>
                <w:color w:val="auto"/>
              </w:rPr>
            </w:pPr>
            <w:r>
              <w:rPr>
                <w:rFonts w:ascii="Arial" w:cs="Arial" w:eastAsia="Arial" w:hAnsi="Arial"/>
                <w:sz w:val="18"/>
                <w:szCs w:val="18"/>
                <w:color w:val="0000EE"/>
              </w:rPr>
              <w:t>Quantitative and Qualitative Disclosure About Market Risk</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- 17 -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sz w:val="20"/>
                <w:szCs w:val="20"/>
                <w:color w:val="auto"/>
              </w:rPr>
            </w:pPr>
            <w:r>
              <w:rPr>
                <w:rFonts w:ascii="Arial" w:cs="Arial" w:eastAsia="Arial" w:hAnsi="Arial"/>
                <w:sz w:val="18"/>
                <w:szCs w:val="18"/>
                <w:color w:val="0000EE"/>
              </w:rPr>
              <w:t>Item 4.</w:t>
            </w:r>
          </w:p>
        </w:tc>
        <w:tc>
          <w:tcPr>
            <w:tcW w:w="7500" w:type="dxa"/>
            <w:vAlign w:val="bottom"/>
            <w:gridSpan w:val="16"/>
          </w:tcPr>
          <w:p>
            <w:pPr>
              <w:spacing w:after="0"/>
              <w:rPr>
                <w:sz w:val="20"/>
                <w:szCs w:val="20"/>
                <w:color w:val="auto"/>
              </w:rPr>
            </w:pPr>
            <w:r>
              <w:rPr>
                <w:rFonts w:ascii="Arial" w:cs="Arial" w:eastAsia="Arial" w:hAnsi="Arial"/>
                <w:sz w:val="18"/>
                <w:szCs w:val="18"/>
                <w:color w:val="0000EE"/>
              </w:rPr>
              <w:t>Controls and Procedures</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- 17 -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sz w:val="20"/>
                <w:szCs w:val="20"/>
                <w:color w:val="auto"/>
              </w:rPr>
            </w:pPr>
            <w:r>
              <w:rPr>
                <w:rFonts w:ascii="Arial" w:cs="Arial" w:eastAsia="Arial" w:hAnsi="Arial"/>
                <w:sz w:val="18"/>
                <w:szCs w:val="18"/>
                <w:b w:val="1"/>
                <w:bCs w:val="1"/>
                <w:color w:val="0000EE"/>
              </w:rPr>
              <w:t>Part II.</w:t>
            </w:r>
          </w:p>
        </w:tc>
        <w:tc>
          <w:tcPr>
            <w:tcW w:w="7500" w:type="dxa"/>
            <w:vAlign w:val="bottom"/>
            <w:gridSpan w:val="16"/>
          </w:tcPr>
          <w:p>
            <w:pPr>
              <w:spacing w:after="0"/>
              <w:rPr>
                <w:sz w:val="20"/>
                <w:szCs w:val="20"/>
                <w:color w:val="auto"/>
              </w:rPr>
            </w:pPr>
            <w:r>
              <w:rPr>
                <w:rFonts w:ascii="Arial" w:cs="Arial" w:eastAsia="Arial" w:hAnsi="Arial"/>
                <w:sz w:val="18"/>
                <w:szCs w:val="18"/>
                <w:b w:val="1"/>
                <w:bCs w:val="1"/>
                <w:color w:val="0000EE"/>
              </w:rPr>
              <w:t>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Item 1A.</w:t>
            </w:r>
          </w:p>
        </w:tc>
        <w:tc>
          <w:tcPr>
            <w:tcW w:w="16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7"/>
              </w:rPr>
              <w:t>Risk Factors</w:t>
            </w:r>
          </w:p>
        </w:tc>
        <w:tc>
          <w:tcPr>
            <w:tcW w:w="6600" w:type="dxa"/>
            <w:vAlign w:val="bottom"/>
            <w:gridSpan w:val="1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- 18 -</w:t>
            </w:r>
          </w:p>
        </w:tc>
        <w:tc>
          <w:tcPr>
            <w:tcW w:w="0" w:type="dxa"/>
            <w:vAlign w:val="bottom"/>
          </w:tcPr>
          <w:p>
            <w:pPr>
              <w:spacing w:after="0"/>
              <w:rPr>
                <w:sz w:val="1"/>
                <w:szCs w:val="1"/>
                <w:color w:val="auto"/>
              </w:rPr>
            </w:pPr>
          </w:p>
        </w:tc>
      </w:tr>
      <w:tr>
        <w:trPr>
          <w:trHeight w:val="412"/>
        </w:trPr>
        <w:tc>
          <w:tcPr>
            <w:tcW w:w="800" w:type="dxa"/>
            <w:vAlign w:val="bottom"/>
            <w:gridSpan w:val="4"/>
          </w:tcPr>
          <w:p>
            <w:pPr>
              <w:spacing w:after="0"/>
              <w:rPr>
                <w:sz w:val="20"/>
                <w:szCs w:val="20"/>
                <w:color w:val="auto"/>
              </w:rPr>
            </w:pPr>
            <w:r>
              <w:rPr>
                <w:rFonts w:ascii="Arial" w:cs="Arial" w:eastAsia="Arial" w:hAnsi="Arial"/>
                <w:sz w:val="18"/>
                <w:szCs w:val="18"/>
                <w:color w:val="0000EE"/>
              </w:rPr>
              <w:t>Item 6.</w:t>
            </w:r>
          </w:p>
        </w:tc>
        <w:tc>
          <w:tcPr>
            <w:tcW w:w="7500" w:type="dxa"/>
            <w:vAlign w:val="bottom"/>
            <w:gridSpan w:val="16"/>
          </w:tcPr>
          <w:p>
            <w:pPr>
              <w:spacing w:after="0"/>
              <w:rPr>
                <w:sz w:val="20"/>
                <w:szCs w:val="20"/>
                <w:color w:val="auto"/>
              </w:rPr>
            </w:pPr>
            <w:r>
              <w:rPr>
                <w:rFonts w:ascii="Arial" w:cs="Arial" w:eastAsia="Arial" w:hAnsi="Arial"/>
                <w:sz w:val="18"/>
                <w:szCs w:val="18"/>
                <w:color w:val="0000EE"/>
              </w:rPr>
              <w:t>Exhibits</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- 18 -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2460"/>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76,579</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25,642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current assets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120,231</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receivable from affiliate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other assets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43,039</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Buildings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Construction in progress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accumulated depreciation</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71,742</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property and equipment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29,182</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192,452</w:t>
            </w: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176,520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14,724</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to affiliate</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16,446</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noncurrent liabilities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54,780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stockholders' equity</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173,088</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192,452</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Commitments and contingencies (Note 1)</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391" w:lineRule="auto"/>
        <w:rPr>
          <w:sz w:val="20"/>
          <w:szCs w:val="20"/>
          <w:color w:val="auto"/>
        </w:rPr>
      </w:pPr>
      <w:r>
        <w:rPr>
          <w:rFonts w:ascii="Arial" w:cs="Arial" w:eastAsia="Arial" w:hAnsi="Arial"/>
          <w:sz w:val="18"/>
          <w:szCs w:val="18"/>
          <w:b w:val="1"/>
          <w:bCs w:val="1"/>
          <w:color w:val="auto"/>
        </w:rPr>
        <w:t>COMPX INTERNATIONAL INC. CONDENSED CONSOLIDATED STATEMENTS OF INCOME (In thousands, except per share data)</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right"/>
              <w:ind w:right="550"/>
              <w:spacing w:after="0" w:line="196" w:lineRule="exact"/>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34,556</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42,864</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106,733</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30,928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73,470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common share</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Basic and diluted weighted average shares outstanding</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40" w:type="dxa"/>
            <w:vAlign w:val="bottom"/>
            <w:gridSpan w:val="19"/>
          </w:tcPr>
          <w:p>
            <w:pPr>
              <w:jc w:val="center"/>
              <w:ind w:right="140"/>
              <w:spacing w:after="0"/>
              <w:rPr>
                <w:sz w:val="20"/>
                <w:szCs w:val="20"/>
                <w:color w:val="auto"/>
              </w:rPr>
            </w:pPr>
            <w:r>
              <w:rPr>
                <w:rFonts w:ascii="Arial" w:cs="Arial" w:eastAsia="Arial" w:hAnsi="Arial"/>
                <w:sz w:val="18"/>
                <w:szCs w:val="18"/>
                <w:b w:val="1"/>
                <w:bCs w:val="1"/>
                <w:color w:val="auto"/>
                <w:w w:val="90"/>
              </w:rPr>
              <w:t>Three months ended September 30, 2021 and 2022 (unaudited)</w:t>
            </w:r>
          </w:p>
        </w:tc>
      </w:tr>
      <w:tr>
        <w:trPr>
          <w:trHeight w:val="191"/>
        </w:trPr>
        <w:tc>
          <w:tcPr>
            <w:tcW w:w="37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87"/>
              </w:rPr>
              <w:t>Class A</w:t>
            </w:r>
          </w:p>
        </w:tc>
        <w:tc>
          <w:tcPr>
            <w:tcW w:w="1000" w:type="dxa"/>
            <w:vAlign w:val="bottom"/>
            <w:tcBorders>
              <w:top w:val="single" w:sz="8" w:color="auto"/>
            </w:tcBorders>
            <w:gridSpan w:val="5"/>
          </w:tcPr>
          <w:p>
            <w:pPr>
              <w:spacing w:after="0" w:line="191" w:lineRule="exact"/>
              <w:rPr>
                <w:sz w:val="20"/>
                <w:szCs w:val="20"/>
                <w:color w:val="auto"/>
              </w:rPr>
            </w:pPr>
            <w:r>
              <w:rPr>
                <w:rFonts w:ascii="Arial" w:cs="Arial" w:eastAsia="Arial" w:hAnsi="Arial"/>
                <w:sz w:val="18"/>
                <w:szCs w:val="18"/>
                <w:b w:val="1"/>
                <w:bCs w:val="1"/>
                <w:color w:val="auto"/>
              </w:rPr>
              <w:t>Additional</w:t>
            </w: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common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w:t>
            </w:r>
          </w:p>
        </w:tc>
        <w:tc>
          <w:tcPr>
            <w:tcW w:w="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Retained</w:t>
            </w:r>
          </w:p>
        </w:tc>
        <w:tc>
          <w:tcPr>
            <w:tcW w:w="4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Treasury</w:t>
            </w:r>
          </w:p>
        </w:tc>
        <w:tc>
          <w:tcPr>
            <w:tcW w:w="10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4"/>
              </w:rPr>
              <w:t>stock</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4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earnings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stock</w:t>
            </w:r>
          </w:p>
        </w:tc>
        <w:tc>
          <w:tcPr>
            <w:tcW w:w="20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equity</w:t>
            </w: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$ 115,879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171,339</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4,132</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($.20 per share)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(2,481)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0" w:type="dxa"/>
            <w:vAlign w:val="bottom"/>
          </w:tcPr>
          <w:p>
            <w:pPr>
              <w:spacing w:after="0"/>
              <w:rPr>
                <w:sz w:val="18"/>
                <w:szCs w:val="18"/>
                <w:color w:val="auto"/>
              </w:rPr>
            </w:pPr>
          </w:p>
        </w:tc>
      </w:tr>
      <w:tr>
        <w:trPr>
          <w:trHeight w:val="24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September 30, 2021</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55,336</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$ 117,530</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172,990</w:t>
            </w:r>
          </w:p>
        </w:tc>
        <w:tc>
          <w:tcPr>
            <w:tcW w:w="20" w:type="dxa"/>
            <w:vAlign w:val="bottom"/>
          </w:tcPr>
          <w:p>
            <w:pPr>
              <w:spacing w:after="0"/>
              <w:rPr>
                <w:sz w:val="21"/>
                <w:szCs w:val="21"/>
                <w:color w:val="auto"/>
              </w:rPr>
            </w:pPr>
          </w:p>
        </w:tc>
      </w:tr>
      <w:tr>
        <w:trPr>
          <w:trHeight w:val="197"/>
        </w:trPr>
        <w:tc>
          <w:tcPr>
            <w:tcW w:w="3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53,155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$ 123,155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176,433</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4,950</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Cash dividends ($2.00 per share)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(24,614)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(24,614)</w:t>
            </w:r>
          </w:p>
        </w:tc>
        <w:tc>
          <w:tcPr>
            <w:tcW w:w="20" w:type="dxa"/>
            <w:vAlign w:val="bottom"/>
          </w:tcPr>
          <w:p>
            <w:pPr>
              <w:spacing w:after="0"/>
              <w:rPr>
                <w:sz w:val="18"/>
                <w:szCs w:val="18"/>
                <w:color w:val="auto"/>
              </w:rPr>
            </w:pPr>
          </w:p>
        </w:tc>
      </w:tr>
      <w:tr>
        <w:trPr>
          <w:trHeight w:val="209"/>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53,155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$ 103,491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156,769</w:t>
            </w:r>
          </w:p>
        </w:tc>
        <w:tc>
          <w:tcPr>
            <w:tcW w:w="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9"/>
          </w:tcPr>
          <w:p>
            <w:pPr>
              <w:jc w:val="center"/>
              <w:ind w:right="100"/>
              <w:spacing w:after="0"/>
              <w:rPr>
                <w:sz w:val="20"/>
                <w:szCs w:val="20"/>
                <w:color w:val="auto"/>
              </w:rPr>
            </w:pPr>
            <w:r>
              <w:rPr>
                <w:rFonts w:ascii="Arial" w:cs="Arial" w:eastAsia="Arial" w:hAnsi="Arial"/>
                <w:sz w:val="18"/>
                <w:szCs w:val="18"/>
                <w:b w:val="1"/>
                <w:bCs w:val="1"/>
                <w:color w:val="auto"/>
                <w:w w:val="89"/>
              </w:rPr>
              <w:t>Nine months ended September 30, 2021 and 2022 (unaudited)</w:t>
            </w:r>
          </w:p>
        </w:tc>
      </w:tr>
      <w:tr>
        <w:trPr>
          <w:trHeight w:val="191"/>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87"/>
              </w:rPr>
              <w:t>Class A</w:t>
            </w:r>
          </w:p>
        </w:tc>
        <w:tc>
          <w:tcPr>
            <w:tcW w:w="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b w:val="1"/>
                <w:bCs w:val="1"/>
                <w:color w:val="auto"/>
              </w:rPr>
              <w:t>Additional</w:t>
            </w: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common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paid-in</w:t>
            </w:r>
          </w:p>
        </w:tc>
        <w:tc>
          <w:tcPr>
            <w:tcW w:w="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7"/>
              </w:rPr>
              <w:t>Retained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Treasury</w:t>
            </w:r>
          </w:p>
        </w:tc>
        <w:tc>
          <w:tcPr>
            <w:tcW w:w="10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stock</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capital</w:t>
            </w:r>
          </w:p>
        </w:tc>
        <w:tc>
          <w:tcPr>
            <w:tcW w:w="4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earnings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stock</w:t>
            </w:r>
          </w:p>
        </w:tc>
        <w:tc>
          <w:tcPr>
            <w:tcW w:w="20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equity</w:t>
            </w: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$ 111,545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167,656</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13,437</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Treasury stock: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18"/>
                <w:szCs w:val="18"/>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Retired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(755)</w:t>
            </w:r>
          </w:p>
        </w:tc>
        <w:tc>
          <w:tcPr>
            <w:tcW w:w="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($.60 per share)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(7,452)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20" w:type="dxa"/>
            <w:vAlign w:val="bottom"/>
          </w:tcPr>
          <w:p>
            <w:pPr>
              <w:spacing w:after="0"/>
              <w:rPr>
                <w:sz w:val="18"/>
                <w:szCs w:val="18"/>
                <w:color w:val="auto"/>
              </w:rPr>
            </w:pPr>
          </w:p>
        </w:tc>
      </w:tr>
      <w:tr>
        <w:trPr>
          <w:trHeight w:val="25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September 30, 2021</w:t>
            </w:r>
          </w:p>
        </w:tc>
        <w:tc>
          <w:tcPr>
            <w:tcW w:w="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55,336</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$ 117,530</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172,990</w:t>
            </w:r>
          </w:p>
        </w:tc>
        <w:tc>
          <w:tcPr>
            <w:tcW w:w="20" w:type="dxa"/>
            <w:vAlign w:val="bottom"/>
          </w:tcPr>
          <w:p>
            <w:pPr>
              <w:spacing w:after="0"/>
              <w:rPr>
                <w:sz w:val="21"/>
                <w:szCs w:val="21"/>
                <w:color w:val="auto"/>
              </w:rPr>
            </w:pPr>
          </w:p>
        </w:tc>
      </w:tr>
      <w:tr>
        <w:trPr>
          <w:trHeight w:val="196"/>
        </w:trPr>
        <w:tc>
          <w:tcPr>
            <w:tcW w:w="3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54,780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$ 118,184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173,088</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16,110</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Acquired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(1,744)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(1,744)</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Retired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(1,743)</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Cash dividends ($2.50 per share)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(30,803)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(30,803)</w:t>
            </w:r>
          </w:p>
        </w:tc>
        <w:tc>
          <w:tcPr>
            <w:tcW w:w="20" w:type="dxa"/>
            <w:vAlign w:val="bottom"/>
          </w:tcPr>
          <w:p>
            <w:pPr>
              <w:spacing w:after="0"/>
              <w:rPr>
                <w:sz w:val="18"/>
                <w:szCs w:val="18"/>
                <w:color w:val="auto"/>
              </w:rPr>
            </w:pPr>
          </w:p>
        </w:tc>
      </w:tr>
      <w:tr>
        <w:trPr>
          <w:trHeight w:val="209"/>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53,155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$ 103,491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156,769</w:t>
            </w:r>
          </w:p>
        </w:tc>
        <w:tc>
          <w:tcPr>
            <w:tcW w:w="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47"/>
              <w:spacing w:after="0" w:line="196" w:lineRule="exact"/>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13,437</w:t>
            </w:r>
          </w:p>
        </w:tc>
        <w:tc>
          <w:tcPr>
            <w:tcW w:w="720" w:type="dxa"/>
            <w:vAlign w:val="bottom"/>
            <w:gridSpan w:val="2"/>
          </w:tcPr>
          <w:p>
            <w:pPr>
              <w:jc w:val="right"/>
              <w:ind w:right="287"/>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Change in assets and liabilities: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Accounts with affiliates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Prepaids and other, net</w:t>
            </w:r>
          </w:p>
        </w:tc>
        <w:tc>
          <w:tcPr>
            <w:tcW w:w="1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Proceeds from sale of fixed assets, net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receivable from affiliate: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Collections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33,100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Advances</w:t>
            </w:r>
          </w:p>
        </w:tc>
        <w:tc>
          <w:tcPr>
            <w:tcW w:w="1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(25,400)</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investing activities</w:t>
            </w: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Treasury stock acquired</w:t>
            </w: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net change from:</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Operating, investing and financing activities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70,637</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76,579</w:t>
            </w:r>
          </w:p>
        </w:tc>
        <w:tc>
          <w:tcPr>
            <w:tcW w:w="0" w:type="dxa"/>
            <w:vAlign w:val="bottom"/>
          </w:tcPr>
          <w:p>
            <w:pPr>
              <w:spacing w:after="0"/>
              <w:rPr>
                <w:sz w:val="1"/>
                <w:szCs w:val="1"/>
                <w:color w:val="auto"/>
              </w:rPr>
            </w:pPr>
          </w:p>
        </w:tc>
      </w:tr>
      <w:tr>
        <w:trPr>
          <w:trHeight w:val="250"/>
        </w:trPr>
        <w:tc>
          <w:tcPr>
            <w:tcW w:w="476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1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75,959</w:t>
            </w:r>
          </w:p>
        </w:tc>
        <w:tc>
          <w:tcPr>
            <w:tcW w:w="280" w:type="dxa"/>
            <w:vAlign w:val="bottom"/>
          </w:tcPr>
          <w:p>
            <w:pPr>
              <w:spacing w:after="0"/>
              <w:rPr>
                <w:sz w:val="21"/>
                <w:szCs w:val="21"/>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53,277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Supplemental disclosures -</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3,361</w:t>
            </w:r>
          </w:p>
        </w:tc>
        <w:tc>
          <w:tcPr>
            <w:tcW w:w="72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6,080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i w:val="1"/>
          <w:iCs w:val="1"/>
          <w:color w:val="auto"/>
        </w:rPr>
        <w:t>Organization</w:t>
      </w:r>
      <w:r>
        <w:rPr>
          <w:rFonts w:ascii="Arial" w:cs="Arial" w:eastAsia="Arial" w:hAnsi="Arial"/>
          <w:sz w:val="17"/>
          <w:szCs w:val="17"/>
          <w:color w:val="auto"/>
        </w:rPr>
        <w:t>. We (NYSE American: CIX) were approximately 87% owned by NL Industries, Inc. (NYSE: NL) at</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At September 30, 2022, Valhi, Inc. (NYSE: VHI) owned approximately 83% of NL’s outstanding common stock and a wholly-owned subsidiary of Contran Corporation owned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September 30, 2022 Ms. Simmons and the Family Trust may be deemed to control Contran, and therefore may be deemed to indirectly control the wholly-owned subsidiary of Contran, Valhi, NL and us.</w:t>
      </w:r>
    </w:p>
    <w:p>
      <w:pPr>
        <w:spacing w:after="0" w:line="18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Consolidated in this Quarterly Report are the results of CompX International Inc.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The unaudited Condensed Consolidated Financial Statements contained in this Quarterly Report have been prepared on the same basis as the audited Consolidated Financial Statements included in our Annual Report on Form 10-K for the year ended December 31, 2021 that we filed with the Securities and Exchange Commission (“SEC”) on March 2, 2022 (the “2021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2021 contained in this Quarterly Report as compared to our audited Consolidated Financial Statements at that date, and we have omitted certain information and footnote disclosures (including those related to the Consolidated Balance Sheet at December 31, 2021) normally included in financial statements prepared in accordance with accounting principles generally accepted in the United States of America (“GAAP”). Our results of operations for the interim periods ended September 30, 2022 may not be indicative of our operating results for the full year. The Condensed Consolidated Financial Statements contained in this Quarterly Report should be read in conjunction with our 2021 Consolidated Financial Statements contained in our 2021 Annual Report.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dividends in 2022 include a $1.75 per share special dividend.</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operations are reported on a 52 or 53-week year. For presentation purposes, annual and quarterly information in the Condensed Consolidated Financial Statements and accompanying notes are presented as ended September 30, 2021 December 31, 2021 and September 30, 2022. The actual dates of our annual and quarterly periods are October 3, 2021, January 2, 2022 and October 2, 2022, respectively. Unless otherwise indicated, references in this report to “we”, “us” or “our” refer to CompX International Inc.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 2 – Business segment information:</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3"/>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1"/>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10"/>
          </w:tcPr>
          <w:p>
            <w:pPr>
              <w:jc w:val="right"/>
              <w:ind w:right="58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213"/>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6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b w:val="1"/>
                <w:bCs w:val="1"/>
                <w:color w:val="auto"/>
                <w:w w:val="98"/>
              </w:rPr>
              <w:t>(In thousands)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Products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28,493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79,301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14,371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27,432</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42,864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106,733</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4,904</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16,864</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8"/>
              </w:rPr>
              <w:t>4,796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Corporate operating expenses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(1,653)</w:t>
            </w:r>
          </w:p>
        </w:tc>
        <w:tc>
          <w:tcPr>
            <w:tcW w:w="20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8"/>
          </w:tcPr>
          <w:p>
            <w:pPr>
              <w:jc w:val="right"/>
              <w:ind w:right="200"/>
              <w:spacing w:after="0"/>
              <w:rPr>
                <w:sz w:val="20"/>
                <w:szCs w:val="20"/>
                <w:color w:val="auto"/>
              </w:rPr>
            </w:pPr>
            <w:r>
              <w:rPr>
                <w:rFonts w:ascii="Arial" w:cs="Arial" w:eastAsia="Arial" w:hAnsi="Arial"/>
                <w:sz w:val="18"/>
                <w:szCs w:val="18"/>
                <w:color w:val="auto"/>
              </w:rPr>
              <w:t>(4,954)</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income</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5,920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16,706</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945</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6,478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640"/>
              <w:spacing w:after="0"/>
              <w:rPr>
                <w:sz w:val="20"/>
                <w:szCs w:val="20"/>
                <w:color w:val="auto"/>
              </w:rPr>
            </w:pPr>
            <w:r>
              <w:rPr>
                <w:rFonts w:ascii="Arial" w:cs="Arial" w:eastAsia="Arial" w:hAnsi="Arial"/>
                <w:sz w:val="18"/>
                <w:szCs w:val="18"/>
                <w:color w:val="auto"/>
              </w:rPr>
              <w:t>Intersegment sales are not material.</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 3 – Accounts receivable, net:</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80" w:type="dxa"/>
            <w:vAlign w:val="bottom"/>
            <w:tcBorders>
              <w:bottom w:val="single" w:sz="8" w:color="auto"/>
            </w:tcBorders>
            <w:gridSpan w:val="4"/>
          </w:tcPr>
          <w:p>
            <w:pPr>
              <w:jc w:val="center"/>
              <w:ind w:left="353"/>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9"/>
          </w:tcPr>
          <w:p>
            <w:pPr>
              <w:jc w:val="right"/>
              <w:spacing w:after="0" w:line="196" w:lineRule="exact"/>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3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12,896</w:t>
            </w: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15,546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19,167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Note 4 – Inventories, net:</w:t>
            </w: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gridSpan w:val="5"/>
          </w:tcPr>
          <w:p>
            <w:pPr>
              <w:jc w:val="center"/>
              <w:ind w:left="338"/>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9"/>
          </w:tcPr>
          <w:p>
            <w:pPr>
              <w:jc w:val="right"/>
              <w:spacing w:after="0" w:line="196" w:lineRule="exact"/>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4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3,640</w:t>
            </w: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raw materials</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5,042</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12,721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work-in-process</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16,767</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2,271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finished goods</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3,833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inventories, net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13"/>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25,642</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Note 5 – Accounts payable and accrued liabilities: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27"/>
        </w:trPr>
        <w:tc>
          <w:tcPr>
            <w:tcW w:w="4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4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196"/>
        </w:trPr>
        <w:tc>
          <w:tcPr>
            <w:tcW w:w="4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5"/>
          </w:tcPr>
          <w:p>
            <w:pPr>
              <w:jc w:val="right"/>
              <w:ind w:right="81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2,594</w:t>
            </w:r>
          </w:p>
        </w:tc>
        <w:tc>
          <w:tcPr>
            <w:tcW w:w="22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3,120</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Accrued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8,931</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Taxes other than on income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520</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tooling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Advances from customers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271</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258</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r>
      <w:tr>
        <w:trPr>
          <w:trHeight w:val="209"/>
        </w:trPr>
        <w:tc>
          <w:tcPr>
            <w:tcW w:w="4900" w:type="dxa"/>
            <w:vAlign w:val="bottom"/>
          </w:tcPr>
          <w:p>
            <w:pPr>
              <w:ind w:left="420"/>
              <w:spacing w:after="0"/>
              <w:rPr>
                <w:sz w:val="20"/>
                <w:szCs w:val="20"/>
                <w:color w:val="auto"/>
              </w:rPr>
            </w:pPr>
            <w:r>
              <w:rPr>
                <w:rFonts w:ascii="Arial" w:cs="Arial" w:eastAsia="Arial" w:hAnsi="Arial"/>
                <w:sz w:val="18"/>
                <w:szCs w:val="18"/>
                <w:color w:val="auto"/>
              </w:rPr>
              <w:t>Total accounts payable and accrued liabilities</w:t>
            </w:r>
          </w:p>
        </w:tc>
        <w:tc>
          <w:tcPr>
            <w:tcW w:w="1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16,139</w:t>
            </w:r>
          </w:p>
        </w:tc>
      </w:tr>
      <w:tr>
        <w:trPr>
          <w:trHeight w:val="20"/>
        </w:trPr>
        <w:tc>
          <w:tcPr>
            <w:tcW w:w="4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4"/>
          </w:tcPr>
          <w:p>
            <w:pPr>
              <w:jc w:val="right"/>
              <w:ind w:right="310"/>
              <w:spacing w:after="0" w:line="196" w:lineRule="exact"/>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Expected tax expense, at the U.S. federal statutory</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4,427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rate of 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34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380" w:type="dxa"/>
            <w:vAlign w:val="bottom"/>
            <w:gridSpan w:val="2"/>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State income taxes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FDII benefit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provision for income taxes</w:t>
            </w: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On August 16, 2022, the Inflation Reduction Act was signed into law. Among other things, this legislation provides for a 15% corporate alternative minimum tax on certain large corporations, imposes a 1% excise tax on qualifying stock buybacks for transactions occurring after December 31, 2022, and provides for certain energy-related tax credits. We have evaluated the relevant provisions of the Act and do not expect them to have a material impact on our tax provision.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board of directors has previously authorized the repurchase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use cash on hand to acquire the shares. Repurchased shares are added to our treasury and cancelled.</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During the second quarter of 2022, we acquired 78,900 shares of our Class A common stock for an aggregate amount of approximately $1.7 million under the prior repurchase authorizations. Of these shares, 70,000 shares were purchased in a market transaction, and 8,900 shares were purchased from two of our affiliates in two separate private transactions that were also approved in advance by our independent directors. During the first quarter of 2021, we purchased 50,000 shares of our Class A common stock in a market transaction for approximately $.8 million. We cancelled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treasury shares and allocated their cost to common stock at par value and additional paid-in capital. At September 30, 2022, 523,647 shares were available for purchase under prior repurchase authorizations.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Financial instruments: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September 30, 2022</w:t>
            </w:r>
          </w:p>
        </w:tc>
      </w:tr>
      <w:tr>
        <w:trPr>
          <w:trHeight w:val="191"/>
        </w:trPr>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r>
      <w:tr>
        <w:trPr>
          <w:trHeight w:val="234"/>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r>
      <w:tr>
        <w:trPr>
          <w:trHeight w:val="196"/>
        </w:trPr>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50"/>
              <w:spacing w:after="0" w:line="196"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53,277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53,277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19,167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19,167</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5,171</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Due to their near-term maturities, the carrying amounts of accounts receivable and accounts payable are considered equivalent to fair value.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$30 million. Our loan to Valhi, as amended, bears interest at prime plus 1.00%, payable quarterly, with all principal due on demand, but in any event no earlier than December 31, 2023. Loans made to Valhi at any time under the agreement are at our discretion. At September 30, 2022, the outstanding principal balance receivable from Valhi under the promissory note was $14.7 million. Interest income (including unused commitment fees) on our loan to Valhi was $.9 million and $.7 million for the nine months ended September 30, 2021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40" w:right="7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through our Marine Components segment.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182"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jc w:val="both"/>
        <w:ind w:left="1040" w:right="79" w:hanging="315"/>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 w:lineRule="exact"/>
        <w:rPr>
          <w:rFonts w:ascii="Arial" w:cs="Arial" w:eastAsia="Arial" w:hAnsi="Arial"/>
          <w:sz w:val="16"/>
          <w:szCs w:val="16"/>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62"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global economic and political conditions that disrupt or introduce instability into our supply chain, impact our customers’ level of demand or our customers’ perception regarding demand or impair our ability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308" w:lineRule="auto"/>
        <w:rPr>
          <w:sz w:val="20"/>
          <w:szCs w:val="20"/>
          <w:color w:val="auto"/>
        </w:rPr>
      </w:pPr>
      <w:r>
        <w:rPr>
          <w:rFonts w:ascii="Arial" w:cs="Arial" w:eastAsia="Arial" w:hAnsi="Arial"/>
          <w:sz w:val="17"/>
          <w:szCs w:val="17"/>
          <w:color w:val="auto"/>
        </w:rPr>
        <w:t>to operate our facilities (including changes in the level of gross domestic product in various regions of the world, natural disasters, terrorist acts, global conflicts and public health crises such as COVID-19),</w:t>
      </w:r>
    </w:p>
    <w:p>
      <w:pPr>
        <w:spacing w:after="0" w:line="38" w:lineRule="exact"/>
        <w:rPr>
          <w:sz w:val="20"/>
          <w:szCs w:val="20"/>
          <w:color w:val="auto"/>
        </w:rPr>
      </w:pPr>
    </w:p>
    <w:p>
      <w:pPr>
        <w:jc w:val="both"/>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7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the third quarter of 2022 operating income increased to $5.9 million compared to $5.1 million in the third quarter of 2021. The increase in operating income in the third quarter of 2022 compared to 2021 is primarily due to higher Marine Components sales, somewhat offset by higher Security Products cost of sales. Operating income for the first nine months of 2022 was $20.0 million compared to $16.7 million in the first nine months of 2021. The increase in operating income in the first nine months of 2022 compared to 2021 is primarily due to higher Marine Components sales and to a lesser extent higher Security Products sales.</w:t>
      </w:r>
    </w:p>
    <w:p>
      <w:pPr>
        <w:spacing w:after="0" w:line="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8"/>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8"/>
          </w:tcPr>
          <w:p>
            <w:pPr>
              <w:ind w:left="34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4"/>
          </w:tcPr>
          <w:p>
            <w:pPr>
              <w:ind w:left="60"/>
              <w:spacing w:after="0" w:line="196" w:lineRule="exact"/>
              <w:rPr>
                <w:sz w:val="20"/>
                <w:szCs w:val="20"/>
                <w:color w:val="auto"/>
              </w:rPr>
            </w:pPr>
            <w:r>
              <w:rPr>
                <w:rFonts w:ascii="Arial" w:cs="Arial" w:eastAsia="Arial" w:hAnsi="Arial"/>
                <w:sz w:val="18"/>
                <w:szCs w:val="18"/>
                <w:b w:val="1"/>
                <w:bCs w:val="1"/>
                <w:color w:val="auto"/>
              </w:rPr>
              <w:t>(Dollars in</w:t>
            </w:r>
          </w:p>
        </w:tc>
        <w:tc>
          <w:tcPr>
            <w:tcW w:w="8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88"/>
              </w:rPr>
              <w:t>thousands)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34,556</w:t>
            </w:r>
          </w:p>
        </w:tc>
        <w:tc>
          <w:tcPr>
            <w:tcW w:w="18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xml:space="preserve">100.0 % </w:t>
            </w: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23,634</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30,928</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margin</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costs and expenses</w:t>
            </w:r>
          </w:p>
        </w:tc>
        <w:tc>
          <w:tcPr>
            <w:tcW w:w="1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4"/>
              </w:rPr>
              <w:t>%</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6"/>
              </w:rPr>
              <w:t>Nine months ended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8"/>
          </w:tcPr>
          <w:p>
            <w:pPr>
              <w:ind w:left="32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ind w:left="60"/>
              <w:spacing w:after="0" w:line="196" w:lineRule="exact"/>
              <w:rPr>
                <w:sz w:val="20"/>
                <w:szCs w:val="20"/>
                <w:color w:val="auto"/>
              </w:rPr>
            </w:pPr>
            <w:r>
              <w:rPr>
                <w:rFonts w:ascii="Arial" w:cs="Arial" w:eastAsia="Arial" w:hAnsi="Arial"/>
                <w:sz w:val="18"/>
                <w:szCs w:val="18"/>
                <w:b w:val="1"/>
                <w:bCs w:val="1"/>
                <w:color w:val="auto"/>
              </w:rPr>
              <w:t>(Dollars in</w:t>
            </w:r>
          </w:p>
        </w:tc>
        <w:tc>
          <w:tcPr>
            <w:tcW w:w="8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88"/>
              </w:rPr>
              <w:t>thousands)</w:t>
            </w:r>
          </w:p>
        </w:tc>
        <w:tc>
          <w:tcPr>
            <w:tcW w:w="1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74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106,733</w:t>
            </w:r>
          </w:p>
        </w:tc>
        <w:tc>
          <w:tcPr>
            <w:tcW w:w="18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xml:space="preserve">100.0 % </w:t>
            </w: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126,589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73,470</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88,944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margin</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5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16,706</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19,971</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80" w:type="dxa"/>
            <w:vAlign w:val="bottom"/>
            <w:vMerge w:val="restart"/>
          </w:tcPr>
          <w:p>
            <w:pPr>
              <w:jc w:val="right"/>
              <w:ind w:right="30"/>
              <w:spacing w:after="0"/>
              <w:rPr>
                <w:sz w:val="20"/>
                <w:szCs w:val="20"/>
                <w:color w:val="auto"/>
              </w:rPr>
            </w:pPr>
            <w:r>
              <w:rPr>
                <w:rFonts w:ascii="Arial" w:cs="Arial" w:eastAsia="Arial" w:hAnsi="Arial"/>
                <w:sz w:val="18"/>
                <w:szCs w:val="18"/>
                <w:color w:val="auto"/>
              </w:rPr>
              <w:t>- 12 -</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$8.3 million and $19.9 million in the third quarter and for the first nine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2022, respectively, compared to the same periods in 2021 due to higher Marine Components sales primarily to the towboat market and, to a lesser extent, higher Security Products sales across a variety of markets.</w:t>
      </w:r>
    </w:p>
    <w:p>
      <w:pPr>
        <w:spacing w:after="0" w:line="16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i w:val="1"/>
          <w:iCs w:val="1"/>
          <w:color w:val="auto"/>
        </w:rPr>
        <w:t xml:space="preserve">Cost of sales and gross margin. </w:t>
      </w:r>
      <w:r>
        <w:rPr>
          <w:rFonts w:ascii="Arial" w:cs="Arial" w:eastAsia="Arial" w:hAnsi="Arial"/>
          <w:sz w:val="16"/>
          <w:szCs w:val="16"/>
          <w:color w:val="auto"/>
        </w:rPr>
        <w:t>Cost of sales as a percentage of sales increased 3.8% in the third quarter of 2022</w:t>
      </w:r>
      <w:r>
        <w:rPr>
          <w:rFonts w:ascii="Arial" w:cs="Arial" w:eastAsia="Arial" w:hAnsi="Arial"/>
          <w:sz w:val="16"/>
          <w:szCs w:val="16"/>
          <w:i w:val="1"/>
          <w:iCs w:val="1"/>
          <w:color w:val="auto"/>
        </w:rPr>
        <w:t xml:space="preserve"> </w:t>
      </w:r>
      <w:r>
        <w:rPr>
          <w:rFonts w:ascii="Arial" w:cs="Arial" w:eastAsia="Arial" w:hAnsi="Arial"/>
          <w:sz w:val="16"/>
          <w:szCs w:val="16"/>
          <w:color w:val="auto"/>
        </w:rPr>
        <w:t>and 1.5% for the first nine months of 2022 compared to the same periods in 2021. As a result, gross margin as a percentage of sales decreased over the same periods. Gross margin percentage decreased in the third quarter and for the first nine months of 2022 compared to the same periods in 2021 primarily due to lower gross margin at Security Products. Additionally, lower Marine Components gross margin in the first quarter of 2022 compared to the first quarter of 2021 unfavorably impacted gross margin for the nine-month comparative period. See segment discussion below.</w:t>
      </w:r>
    </w:p>
    <w:p>
      <w:pPr>
        <w:spacing w:after="0" w:line="16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i w:val="1"/>
          <w:iCs w:val="1"/>
          <w:color w:val="auto"/>
        </w:rPr>
        <w:t xml:space="preserve">Operating costs and expenses. </w:t>
      </w:r>
      <w:r>
        <w:rPr>
          <w:rFonts w:ascii="Arial" w:cs="Arial" w:eastAsia="Arial" w:hAnsi="Arial"/>
          <w:sz w:val="17"/>
          <w:szCs w:val="17"/>
          <w:color w:val="auto"/>
        </w:rPr>
        <w:t>Operating costs and expenses consist primarily of sales and administrative-related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sales commissions and advertising expenses directly related to product sales and administrative costs relating to business unit and corporate management activities, as well as any gains and losses on property and equipment. Operating costs and expenses for the third quarter and the first nine months of 2022 were higher than the same periods in 2021 primarily due to higher salary and employment related costs which increased by $.2 million and $.7 million, respectively. Operating costs and expenses as a percentage of net sales decreased for the third quarter and the first nine months of 2022 due to the effect of higher sales.</w:t>
      </w:r>
    </w:p>
    <w:p>
      <w:pPr>
        <w:spacing w:after="0" w:line="17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As a percentage of net sales, operating income declined in the third quarter of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same period of 2021 due to the decline in gross margins primarily at Security Products noted above. For the first nine months of 2022 operating income as a percentage of net sales increased compared to the same period of 2021 primarily due to higher operating income percentages experienced during the first six months of the year. See segment discussion below.</w:t>
      </w:r>
    </w:p>
    <w:p>
      <w:pPr>
        <w:spacing w:after="0" w:line="15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is included in Note 6 to the Condensed Consolidated Financial Statements. Our operations are wholly within the U.S. and therefore our effective income tax rate is primarily reflective of the U.S. federal statutory rate and applicable state taxes.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89"/>
              </w:rPr>
              <w:t>Nine months ended</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2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4"/>
          </w:tcPr>
          <w:p>
            <w:pPr>
              <w:ind w:left="40"/>
              <w:spacing w:after="0" w:line="196" w:lineRule="exact"/>
              <w:rPr>
                <w:sz w:val="20"/>
                <w:szCs w:val="20"/>
                <w:color w:val="auto"/>
              </w:rPr>
            </w:pPr>
            <w:r>
              <w:rPr>
                <w:rFonts w:ascii="Arial" w:cs="Arial" w:eastAsia="Arial" w:hAnsi="Arial"/>
                <w:sz w:val="18"/>
                <w:szCs w:val="18"/>
                <w:b w:val="1"/>
                <w:bCs w:val="1"/>
                <w:color w:val="auto"/>
              </w:rPr>
              <w:t>(Dollars in</w:t>
            </w: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72"/>
              </w:rPr>
              <w:t>thousands)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4"/>
          </w:tcPr>
          <w:p>
            <w:pPr>
              <w:ind w:left="40"/>
              <w:spacing w:after="0" w:line="196" w:lineRule="exact"/>
              <w:rPr>
                <w:sz w:val="20"/>
                <w:szCs w:val="20"/>
                <w:color w:val="auto"/>
              </w:rPr>
            </w:pPr>
            <w:r>
              <w:rPr>
                <w:rFonts w:ascii="Arial" w:cs="Arial" w:eastAsia="Arial" w:hAnsi="Arial"/>
                <w:sz w:val="18"/>
                <w:szCs w:val="18"/>
                <w:b w:val="1"/>
                <w:bCs w:val="1"/>
                <w:color w:val="auto"/>
              </w:rPr>
              <w:t>(Dollars in</w:t>
            </w:r>
          </w:p>
        </w:tc>
        <w:tc>
          <w:tcPr>
            <w:tcW w:w="7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78"/>
              </w:rPr>
              <w:t>thousands)</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Net sales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25,829</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8"/>
              </w:rPr>
              <w:t>28,493</w:t>
            </w:r>
          </w:p>
        </w:tc>
        <w:tc>
          <w:tcPr>
            <w:tcW w:w="2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10 % </w:t>
            </w: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79,301</w:t>
            </w:r>
          </w:p>
        </w:tc>
        <w:tc>
          <w:tcPr>
            <w:tcW w:w="18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86,911</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20,241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59,629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8,252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25,856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27,282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costs and expenses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4,904</w:t>
            </w: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16,864</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17,645</w:t>
            </w:r>
          </w:p>
        </w:tc>
        <w:tc>
          <w:tcPr>
            <w:tcW w:w="2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34.0 %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29.0 %</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32.6 %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31.4 %</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i w:val="1"/>
          <w:iCs w:val="1"/>
          <w:color w:val="auto"/>
        </w:rPr>
        <w:t>Security Products</w:t>
      </w:r>
      <w:r>
        <w:rPr>
          <w:rFonts w:ascii="Arial" w:cs="Arial" w:eastAsia="Arial" w:hAnsi="Arial"/>
          <w:sz w:val="16"/>
          <w:szCs w:val="16"/>
          <w:color w:val="auto"/>
        </w:rPr>
        <w:t>. Security Products net sales increased 10% in each of the third quarter and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2022 compared to the same periods last year. Relative to prior year, third quarter sales were $.7 million higher to the government security market, $.5 million higher to the office furniture market and $.4 million higher to the gas station security market. Relative to prior year, sales for the first nine months were $2.7 million higher to the government security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market, $1.9 million higher to the office furniture market, $1.0 million higher to distributors and $.7 million higher to each of the gas station security and general cabinetry markets.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Gross margin as a percentage of net sales for the third quarter and the first nine months of 2022 decreased as compared to the same periods in 2021 primarily due to higher costs of sales as price increases and surcharges did not fully offset higher cost inventory sold during the third quarter. Operating income as a percentage of net sales decreased in the third quarter and the first nine months of 2022 compared to the same periods in 2021 primarily due to the factors impacting gross margin, as well as increased operating costs and expenses resulting from higher salaries and benefits, partially offset by increased coverage of operating costs and expenses from higher sales.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88"/>
              </w:rPr>
              <w:t>Three months ended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89"/>
              </w:rPr>
              <w:t>Nine months ended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Change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18"/>
                <w:szCs w:val="18"/>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4"/>
          </w:tcPr>
          <w:p>
            <w:pPr>
              <w:ind w:left="40"/>
              <w:spacing w:after="0"/>
              <w:rPr>
                <w:sz w:val="20"/>
                <w:szCs w:val="20"/>
                <w:color w:val="auto"/>
              </w:rPr>
            </w:pPr>
            <w:r>
              <w:rPr>
                <w:rFonts w:ascii="Arial" w:cs="Arial" w:eastAsia="Arial" w:hAnsi="Arial"/>
                <w:sz w:val="18"/>
                <w:szCs w:val="18"/>
                <w:b w:val="1"/>
                <w:bCs w:val="1"/>
                <w:color w:val="auto"/>
              </w:rPr>
              <w:t>(Dollars in</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72"/>
              </w:rPr>
              <w:t>thousands)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Arial" w:cs="Arial" w:eastAsia="Arial" w:hAnsi="Arial"/>
                <w:sz w:val="18"/>
                <w:szCs w:val="18"/>
                <w:b w:val="1"/>
                <w:bCs w:val="1"/>
                <w:color w:val="auto"/>
              </w:rPr>
              <w:t>(Dollars in</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80"/>
              </w:rPr>
              <w:t>thousands)</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Marine Components: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Net sales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8,727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8"/>
              </w:rPr>
              <w:t>14,371</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65 %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27,432</w:t>
            </w:r>
          </w:p>
        </w:tc>
        <w:tc>
          <w:tcPr>
            <w:tcW w:w="20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8"/>
              </w:rPr>
              <w:t>39,678</w:t>
            </w:r>
          </w:p>
        </w:tc>
        <w:tc>
          <w:tcPr>
            <w:tcW w:w="26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b w:val="1"/>
                <w:bCs w:val="1"/>
                <w:color w:val="auto"/>
              </w:rPr>
              <w:t>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10,687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29,315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3,684</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8"/>
              </w:rPr>
              <w:t>10,363</w:t>
            </w:r>
          </w:p>
        </w:tc>
        <w:tc>
          <w:tcPr>
            <w:tcW w:w="2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b w:val="1"/>
                <w:bCs w:val="1"/>
                <w:color w:val="auto"/>
              </w:rPr>
              <w:t>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costs and expenses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2,716</w:t>
            </w:r>
          </w:p>
        </w:tc>
        <w:tc>
          <w:tcPr>
            <w:tcW w:w="2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116</w:t>
            </w:r>
          </w:p>
        </w:tc>
        <w:tc>
          <w:tcPr>
            <w:tcW w:w="2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7,449</w:t>
            </w:r>
          </w:p>
        </w:tc>
        <w:tc>
          <w:tcPr>
            <w:tcW w:w="2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55</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24.6 %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25.6 %</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27.0 %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26.1 %</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i w:val="1"/>
          <w:iCs w:val="1"/>
          <w:color w:val="auto"/>
        </w:rPr>
        <w:t>Marine Components</w:t>
      </w:r>
      <w:r>
        <w:rPr>
          <w:rFonts w:ascii="Arial" w:cs="Arial" w:eastAsia="Arial" w:hAnsi="Arial"/>
          <w:sz w:val="17"/>
          <w:szCs w:val="17"/>
          <w:color w:val="auto"/>
        </w:rPr>
        <w:t>. Marine Components net sales in the third quarter and first nine months of 2022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65% and 45%, respectively, compared to the same periods in 2021. Relative to prior year, third quarter sales were $3.5 million higher to the towboat market, $.9 million higher to the industrial market and $.8 million higher to the engine builder market. Relative to prior year, sales for the first nine months were $9.2 million higher to the towboat market, $1.2 million higher to the industrial market and $1.1 million higher to the engine builder market.</w:t>
      </w:r>
    </w:p>
    <w:p>
      <w:pPr>
        <w:spacing w:after="0" w:line="17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a percentage of net sales, gross margin and operating income for the third quarter of 2022 increased compared to the same period in 2021 due to increased sales as a result of increased sales volumes and surcharges, implemented to recover higher production costs, as well as increased coverage of cost of sales, operating costs and expenses from higher sales. For the first nine months of 2022, gross margin as a percentage of net sales decreased compared to the same period in 2021 as surcharges and increased coverage of fixed costs from higher sales were more than offset by higher cost of sales, most significantly in the first quarter of 2022, driven by higher raw material costs (primarily stainless steel and aluminum), higher shipping costs and increased labor costs. Operating income as a percentage of net sales for the first nine months of 2022 increased compared to the same period in 2021 due to increased coverage of operating costs and expenses from higher sales, partially offset by the factors impacting gross margin.</w:t>
      </w:r>
    </w:p>
    <w:p>
      <w:pPr>
        <w:spacing w:after="0" w:line="1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Outlook. </w:t>
      </w:r>
      <w:r>
        <w:rPr>
          <w:rFonts w:ascii="Arial" w:cs="Arial" w:eastAsia="Arial" w:hAnsi="Arial"/>
          <w:sz w:val="18"/>
          <w:szCs w:val="18"/>
          <w:color w:val="auto"/>
        </w:rPr>
        <w:t>During the first nine months of 2022, we have experienced strong demand at both our segments.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our manufacturing facilities at elevated production rates during the first nine months of the year in line with our demand. While labor markets continue to be competitive in each of the regions in which we operate and labor costs continue to rise, we have been able to achieve and maintain more balanced staffing levels aligned with current and forecasted demand, particularly at our Marine Components segment.</w:t>
      </w:r>
    </w:p>
    <w:p>
      <w:pPr>
        <w:spacing w:after="0" w:line="18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Thus far, the softening in demand Security Products has experienced in the transportation market has been more than offset by continued strong demand in other markets, particularly the government security and office furniture market. We expect gross margins at Security Products will continue to be challenged for the remainder of the year as higher cost inventory continues to work its way through cost of sales. Marine Components demand remains strong and with the implementation of price increases for the new model year at the beginning of the third quarter, we expect to maintain gross margins comparable to 2021 at the segment during the fourth quarter. Based on our strong performance through the first nine months, we expect to report increased net sales and operating income from both segments for the full year 2022</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compared to 2021. Certain of our supply chains, particularly for commodity raw materials, have stabilized while other supply chains remain challenging, and current global and domestic supply chain disruptions continue to impact sourcing certain of raw materials and components (such as electronic components) due to increased lead times, shortages and transportation and logistics delays. Thus far, we have been able to manage through these disruptions with minimal impact on our operations. In addition, we are experiencing increased production costs including higher labor and shipping costs and, although prices for certain raw materials have begun to stabilize, costs of many of the raw materials we use including zinc, brass, stainless steel and aluminum remain elevated above pre-pandemic levels. In response, we have implemented price increases and surcharges which have partially offset our increased production costs although, particularly at Security Products, we are increasingly unable to fully recover our cost increases. The extent to which future price increases and surcharges will mitigate rising costs is uncertain. We continue to take actions we believe will minimize supply related disruptions, manage inventory turnover, improve operating margins and maintain a safe working environment for our employees.</w:t>
      </w:r>
    </w:p>
    <w:p>
      <w:pPr>
        <w:spacing w:after="0" w:line="17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expectations for our operations and the markets we serve are based on a number of factors outside our control. As noted above, there continue to be global and domestic supply chain challenges and any future impacts on our operations will depend on, among other things, any future disruption in our operations or our suppliers’ operations, demand for our products and the timing and effectiveness of the global measures deployed to fight COVID-19, particularly in China, all of which remain uncertain and cannot be predicted.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net cash provided by operating activities for the first nine months of 2022 was comparable to the first nine months of 2021 primarily due to the net effects of:</w:t>
      </w:r>
    </w:p>
    <w:p>
      <w:pPr>
        <w:spacing w:after="0" w:line="170" w:lineRule="exact"/>
        <w:rPr>
          <w:sz w:val="20"/>
          <w:szCs w:val="20"/>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$3.3 million increase in operating income in 2022,</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$2.7 million increase in cash paid for taxes in 2022 due to higher operating income and the relative timing of payments, and</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$.7 million increase in the amount of net cash used by relative changes in our inventories, receivables, prepaids, payables and non-tax related accruals in 2022.</w:t>
      </w:r>
    </w:p>
    <w:p>
      <w:pPr>
        <w:spacing w:after="0" w:line="6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Relative changes in working capital can have a significant effect on cash flows from operating activities. As shown below, the change in our average days sales outstanding from December 31, 2021 to September 30, 2022 varied by segment primarily as a result of relative changes in the timing of sales relative to the end of the quarter. For comparative purposes, we have provided December 31, 2020 and September 30, 2021 numbers below.</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3780" w:type="dxa"/>
            <w:vAlign w:val="bottom"/>
            <w:gridSpan w:val="2"/>
          </w:tcPr>
          <w:p>
            <w:pPr>
              <w:ind w:left="860"/>
              <w:spacing w:after="0"/>
              <w:rPr>
                <w:sz w:val="20"/>
                <w:szCs w:val="20"/>
                <w:color w:val="auto"/>
              </w:rPr>
            </w:pPr>
            <w:r>
              <w:rPr>
                <w:rFonts w:ascii="Arial" w:cs="Arial" w:eastAsia="Arial" w:hAnsi="Arial"/>
                <w:sz w:val="18"/>
                <w:szCs w:val="18"/>
                <w:b w:val="1"/>
                <w:bCs w:val="1"/>
                <w:color w:val="auto"/>
              </w:rPr>
              <w:t>Days Sales Outstanding: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35 Days</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42 Days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 Days</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24 Days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33 Days</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30 Days</w:t>
            </w:r>
          </w:p>
        </w:tc>
        <w:tc>
          <w:tcPr>
            <w:tcW w:w="11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32 Days</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3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33 Days</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40 Days</w:t>
            </w:r>
          </w:p>
        </w:tc>
        <w:tc>
          <w:tcPr>
            <w:tcW w:w="13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42 Days</w:t>
            </w:r>
          </w:p>
        </w:tc>
        <w:tc>
          <w:tcPr>
            <w:tcW w:w="11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41 Days</w:t>
            </w:r>
          </w:p>
        </w:tc>
      </w:tr>
    </w:tbl>
    <w:p>
      <w:pPr>
        <w:spacing w:after="0" w:line="20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average number of days in inventory increased from December 31, 2021 to September 30, 2022 due to increased inventories of certain components and raw materials that had longer lead times or for which we have experienced availability issues and from the timing of sales relative to the end of the quarter, primarily at Security Products. For comparative purposes, we have provided December 31, 2020 and September 30, 2021 numbers below.</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3780" w:type="dxa"/>
            <w:vAlign w:val="bottom"/>
            <w:gridSpan w:val="2"/>
          </w:tcPr>
          <w:p>
            <w:pPr>
              <w:ind w:left="1080"/>
              <w:spacing w:after="0"/>
              <w:rPr>
                <w:sz w:val="20"/>
                <w:szCs w:val="20"/>
                <w:color w:val="auto"/>
              </w:rPr>
            </w:pPr>
            <w:r>
              <w:rPr>
                <w:rFonts w:ascii="Arial" w:cs="Arial" w:eastAsia="Arial" w:hAnsi="Arial"/>
                <w:sz w:val="18"/>
                <w:szCs w:val="18"/>
                <w:b w:val="1"/>
                <w:bCs w:val="1"/>
                <w:color w:val="auto"/>
              </w:rPr>
              <w:t>Days in Inventory:</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r>
      <w:tr>
        <w:trPr>
          <w:trHeight w:val="209"/>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75 Days</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91 Days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95 Days</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103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75 Days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90 Days</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97 Days</w:t>
            </w:r>
          </w:p>
        </w:tc>
        <w:tc>
          <w:tcPr>
            <w:tcW w:w="11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89 Days</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3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75 Days</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91 Days</w:t>
            </w:r>
          </w:p>
        </w:tc>
        <w:tc>
          <w:tcPr>
            <w:tcW w:w="13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96 Days</w:t>
            </w:r>
          </w:p>
        </w:tc>
        <w:tc>
          <w:tcPr>
            <w:tcW w:w="11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98 Days</w:t>
            </w: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$3.0 million and $2.3 million in the first nine months of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 respectively. During the first nine months of 2022, Valhi repaid a net $4.0 million under the promissory note ($17.1 million of gross borrowings and $21.1 million of gross repayments). During the first nine months of 2021, Valhi repaid a net $7.7 million under the promissory note ($25.4 million of gross borrowings and $33.1 million of gross repayments). See Note 9 to our Condensed Consolidated Financial Statements.</w:t>
      </w:r>
    </w:p>
    <w:p>
      <w:pPr>
        <w:spacing w:after="0" w:line="18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In March 2022, our board of directors increased our regular quarterly dividend from $.20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to $.25 per share beginning in the first quarter of 2022. In addition, our board of directors declared a special dividend on our Class A common stock of $1.75 per share that we paid on August 30, 2022.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During the second quarter of 2022, we acquired 78,900 shares of our Class A common stock (8,900 shares from affiliates and 70,000 shares in a single market transaction) for an aggregate purchase price of $1.7 million. During the first quarter of 2021, we acquired 50,000 shares of our Class A common stock in a market transaction for $.8 million. See Note 7 to our Condensed Consolidated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of our $53.3 million aggregate cash and cash equivalents at September 30, 2022 were held in the U.S.</w:t>
      </w:r>
    </w:p>
    <w:p>
      <w:pPr>
        <w:spacing w:after="0" w:line="225" w:lineRule="exact"/>
        <w:rPr>
          <w:sz w:val="20"/>
          <w:szCs w:val="20"/>
          <w:color w:val="auto"/>
        </w:rPr>
      </w:pPr>
    </w:p>
    <w:p>
      <w:pPr>
        <w:jc w:val="both"/>
        <w:ind w:left="60" w:right="79" w:firstLine="441"/>
        <w:spacing w:after="0" w:line="342"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Firm purchase commitments for capital projects in process at September 30, 2022 totaled $.5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We expect to spend $4.7 million during 2022 on capital investments. Beginning in the third quarter and through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remainder of the year, investments are expected to be limited primarily to those expenditures required to meet our existing customer demand and to properly maintain our facilities and technology infrastructure.</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At September 30, 2022, we have 523,647 shares available for repurchase under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authorized by our board of directors. See Note 7 to our Condensed Consolidated Financial Statements.</w:t>
      </w:r>
    </w:p>
    <w:p>
      <w:pPr>
        <w:spacing w:after="0" w:line="124"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There have been no material changes in our contractual obligations since we</w:t>
      </w:r>
      <w:r>
        <w:rPr>
          <w:rFonts w:ascii="Arial" w:cs="Arial" w:eastAsia="Arial" w:hAnsi="Arial"/>
          <w:sz w:val="17"/>
          <w:szCs w:val="17"/>
          <w:i w:val="1"/>
          <w:iCs w:val="1"/>
          <w:color w:val="auto"/>
        </w:rPr>
        <w:t xml:space="preserve"> </w:t>
      </w:r>
      <w:r>
        <w:rPr>
          <w:rFonts w:ascii="Arial" w:cs="Arial" w:eastAsia="Arial" w:hAnsi="Arial"/>
          <w:sz w:val="17"/>
          <w:szCs w:val="17"/>
          <w:color w:val="auto"/>
        </w:rPr>
        <w:t>filed our 2021 Annual Report and we refer you to that report for a complete description of these commitments.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have been no changes in the first nine months of 2022 with respect to our critical accounting policies presented in Management’s Discussion and Analysis of Financial Condition and Results of Operations in our 2021 Annual Report.</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2021 Annual Report, and we refer you to Part I, Item 7A – “Quantitative and Qualitative Disclosure About Market Risk” in our 2021 Annual Report. See also Note 8 to the Condensed Consolidated Financial Statements.</w:t>
      </w:r>
    </w:p>
    <w:p>
      <w:pPr>
        <w:spacing w:after="0" w:line="18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which,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September 30, 2022. Based upon their evaluation, these executive officers have concluded that our disclosure controls and procedures are effective as of the date of such evaluation.</w:t>
      </w:r>
    </w:p>
    <w:p>
      <w:pPr>
        <w:spacing w:after="0" w:line="168" w:lineRule="exact"/>
        <w:rPr>
          <w:sz w:val="20"/>
          <w:szCs w:val="20"/>
          <w:color w:val="auto"/>
        </w:rPr>
      </w:pPr>
    </w:p>
    <w:p>
      <w:pPr>
        <w:jc w:val="both"/>
        <w:ind w:left="60" w:right="59" w:firstLine="648"/>
        <w:spacing w:after="0" w:line="294" w:lineRule="auto"/>
        <w:rPr>
          <w:sz w:val="20"/>
          <w:szCs w:val="20"/>
          <w:color w:val="auto"/>
        </w:rPr>
      </w:pPr>
      <w:r>
        <w:rPr>
          <w:rFonts w:ascii="Arial" w:cs="Arial" w:eastAsia="Arial" w:hAnsi="Arial"/>
          <w:sz w:val="16"/>
          <w:szCs w:val="16"/>
          <w:b w:val="1"/>
          <w:bCs w:val="1"/>
          <w:color w:val="auto"/>
        </w:rPr>
        <w:t>Internal Control Over Financial Reporting</w:t>
      </w:r>
      <w:r>
        <w:rPr>
          <w:rFonts w:ascii="Arial" w:cs="Arial" w:eastAsia="Arial" w:hAnsi="Arial"/>
          <w:sz w:val="16"/>
          <w:szCs w:val="16"/>
          <w:color w:val="auto"/>
        </w:rPr>
        <w:t>. Our management is responsible for establishing and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4" w:lineRule="exact"/>
        <w:rPr>
          <w:sz w:val="20"/>
          <w:szCs w:val="20"/>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386" w:lineRule="exact"/>
        <w:rPr>
          <w:rFonts w:ascii="Arial" w:cs="Arial" w:eastAsia="Arial" w:hAnsi="Arial"/>
          <w:sz w:val="18"/>
          <w:szCs w:val="18"/>
          <w:color w:val="auto"/>
        </w:rPr>
      </w:pPr>
    </w:p>
    <w:p>
      <w:pPr>
        <w:ind w:left="4420" w:hanging="111"/>
        <w:spacing w:after="0"/>
        <w:tabs>
          <w:tab w:leader="none" w:pos="4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7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 There have been no changes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during the quarter ended September 30, 2022 that have materially affected, or are reasonably likely to materially affect, our internal control over financial reporting.</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 is made to the 2021 Annual Report for a discussion of risk factors related to our businesses.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80" w:type="dxa"/>
            <w:vAlign w:val="bottom"/>
          </w:tcPr>
          <w:p>
            <w:pPr>
              <w:spacing w:after="0"/>
              <w:rPr>
                <w:sz w:val="20"/>
                <w:szCs w:val="20"/>
                <w:color w:val="auto"/>
              </w:rPr>
            </w:pPr>
          </w:p>
        </w:tc>
        <w:tc>
          <w:tcPr>
            <w:tcW w:w="79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 No.</w:t>
            </w:r>
          </w:p>
        </w:tc>
        <w:tc>
          <w:tcPr>
            <w:tcW w:w="180" w:type="dxa"/>
            <w:vAlign w:val="bottom"/>
          </w:tcPr>
          <w:p>
            <w:pPr>
              <w:spacing w:after="0"/>
              <w:rPr>
                <w:sz w:val="24"/>
                <w:szCs w:val="24"/>
                <w:color w:val="auto"/>
              </w:rPr>
            </w:pPr>
          </w:p>
        </w:tc>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0000EE"/>
              </w:rPr>
              <w:t>Certification</w:t>
            </w:r>
          </w:p>
        </w:tc>
        <w:tc>
          <w:tcPr>
            <w:tcW w:w="0" w:type="dxa"/>
            <w:vAlign w:val="bottom"/>
          </w:tcPr>
          <w:p>
            <w:pPr>
              <w:spacing w:after="0"/>
              <w:rPr>
                <w:sz w:val="1"/>
                <w:szCs w:val="1"/>
                <w:color w:val="auto"/>
              </w:rPr>
            </w:pPr>
          </w:p>
        </w:tc>
      </w:tr>
      <w:tr>
        <w:trPr>
          <w:trHeight w:val="304"/>
        </w:trPr>
        <w:tc>
          <w:tcPr>
            <w:tcW w:w="82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Certification</w:t>
            </w:r>
          </w:p>
        </w:tc>
        <w:tc>
          <w:tcPr>
            <w:tcW w:w="70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0000EE"/>
                <w:w w:val="92"/>
              </w:rPr>
              <w:t>Certification</w:t>
            </w:r>
          </w:p>
        </w:tc>
        <w:tc>
          <w:tcPr>
            <w:tcW w:w="7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900" w:type="dxa"/>
            <w:vAlign w:val="bottom"/>
            <w:tcBorders>
              <w:bottom w:val="single" w:sz="8" w:color="0000EE"/>
            </w:tcBorders>
            <w:vMerge w:val="continue"/>
          </w:tcPr>
          <w:p>
            <w:pPr>
              <w:spacing w:after="0"/>
              <w:rPr>
                <w:sz w:val="21"/>
                <w:szCs w:val="21"/>
                <w:color w:val="auto"/>
              </w:rPr>
            </w:pPr>
          </w:p>
        </w:tc>
        <w:tc>
          <w:tcPr>
            <w:tcW w:w="7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900" w:type="dxa"/>
            <w:vAlign w:val="bottom"/>
            <w:gridSpan w:val="2"/>
            <w:vMerge w:val="restart"/>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3"/>
                <w:szCs w:val="23"/>
                <w:color w:val="auto"/>
              </w:rPr>
            </w:pPr>
          </w:p>
        </w:tc>
        <w:tc>
          <w:tcPr>
            <w:tcW w:w="79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bl>
    <w:p>
      <w:pPr>
        <w:spacing w:after="0" w:line="93"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101.CAL</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101.DEF</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101.LAB</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 Extension Schema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Calculation Linkbase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Definition Linkbase</w:t>
      </w:r>
    </w:p>
    <w:p>
      <w:pPr>
        <w:spacing w:after="0" w:line="169" w:lineRule="exact"/>
        <w:rPr>
          <w:sz w:val="20"/>
          <w:szCs w:val="20"/>
          <w:color w:val="auto"/>
        </w:rPr>
      </w:pPr>
    </w:p>
    <w:p>
      <w:pPr>
        <w:ind w:right="3799"/>
        <w:spacing w:after="0" w:line="342" w:lineRule="auto"/>
        <w:rPr>
          <w:sz w:val="20"/>
          <w:szCs w:val="20"/>
          <w:color w:val="auto"/>
        </w:rPr>
      </w:pPr>
      <w:r>
        <w:rPr>
          <w:rFonts w:ascii="Arial" w:cs="Arial" w:eastAsia="Arial" w:hAnsi="Arial"/>
          <w:sz w:val="16"/>
          <w:szCs w:val="16"/>
          <w:color w:val="auto"/>
        </w:rPr>
        <w:t>Inline XBRL Taxonomy Extension Label Linkbase Inline XBRL Taxonomy Extension Presentation Linkbase</w:t>
      </w:r>
    </w:p>
    <w:p>
      <w:pPr>
        <w:spacing w:after="0" w:line="16" w:lineRule="exact"/>
        <w:rPr>
          <w:sz w:val="20"/>
          <w:szCs w:val="20"/>
          <w:color w:val="auto"/>
        </w:rPr>
      </w:pPr>
    </w:p>
    <w:p>
      <w:pPr>
        <w:sectPr>
          <w:pgSz w:w="11900" w:h="16838" w:orient="portrait"/>
          <w:cols w:equalWidth="0" w:num="2">
            <w:col w:w="740" w:space="320"/>
            <w:col w:w="7959"/>
          </w:cols>
          <w:pgMar w:left="1440" w:top="517" w:right="1440" w:bottom="1440" w:gutter="0" w:footer="0" w:header="0"/>
          <w:type w:val="continuous"/>
        </w:sectPr>
      </w:pPr>
    </w:p>
    <w:p>
      <w:pPr>
        <w:ind w:left="1060" w:hanging="1004"/>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4420" w:hanging="111"/>
        <w:spacing w:after="0"/>
        <w:tabs>
          <w:tab w:leader="none" w:pos="4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7"/>
        </w:trPr>
        <w:tc>
          <w:tcPr>
            <w:tcW w:w="3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6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(Registrant)</w:t>
            </w:r>
          </w:p>
        </w:tc>
        <w:tc>
          <w:tcPr>
            <w:tcW w:w="800" w:type="dxa"/>
            <w:vAlign w:val="bottom"/>
          </w:tcPr>
          <w:p>
            <w:pPr>
              <w:spacing w:after="0"/>
              <w:rPr>
                <w:sz w:val="20"/>
                <w:szCs w:val="20"/>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Date: November 2, 2022</w:t>
            </w:r>
          </w:p>
        </w:tc>
        <w:tc>
          <w:tcPr>
            <w:tcW w:w="5660" w:type="dxa"/>
            <w:vAlign w:val="bottom"/>
            <w:gridSpan w:val="4"/>
          </w:tcPr>
          <w:p>
            <w:pPr>
              <w:ind w:left="1420"/>
              <w:spacing w:after="0"/>
              <w:rPr>
                <w:sz w:val="20"/>
                <w:szCs w:val="20"/>
                <w:color w:val="auto"/>
              </w:rPr>
            </w:pPr>
            <w:r>
              <w:rPr>
                <w:rFonts w:ascii="Arial" w:cs="Arial" w:eastAsia="Arial" w:hAnsi="Arial"/>
                <w:sz w:val="18"/>
                <w:szCs w:val="18"/>
                <w:color w:val="auto"/>
              </w:rPr>
              <w:t>By: /s/ Amy A. Samford</w:t>
            </w:r>
          </w:p>
        </w:tc>
      </w:tr>
      <w:tr>
        <w:trPr>
          <w:trHeight w:val="195"/>
        </w:trPr>
        <w:tc>
          <w:tcPr>
            <w:tcW w:w="3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Amy A. Samford</w:t>
            </w:r>
          </w:p>
        </w:tc>
      </w:tr>
      <w:tr>
        <w:trPr>
          <w:trHeight w:val="230"/>
        </w:trPr>
        <w:tc>
          <w:tcPr>
            <w:tcW w:w="3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Executive Vice President and Chief Financial Officer</w:t>
            </w:r>
          </w:p>
        </w:tc>
      </w:tr>
      <w:tr>
        <w:trPr>
          <w:trHeight w:val="648"/>
        </w:trPr>
        <w:tc>
          <w:tcPr>
            <w:tcW w:w="3240" w:type="dxa"/>
            <w:vAlign w:val="bottom"/>
          </w:tcPr>
          <w:p>
            <w:pPr>
              <w:spacing w:after="0"/>
              <w:rPr>
                <w:sz w:val="24"/>
                <w:szCs w:val="24"/>
                <w:color w:val="auto"/>
              </w:rPr>
            </w:pPr>
          </w:p>
        </w:tc>
        <w:tc>
          <w:tcPr>
            <w:tcW w:w="5660" w:type="dxa"/>
            <w:vAlign w:val="bottom"/>
            <w:gridSpan w:val="4"/>
          </w:tcPr>
          <w:p>
            <w:pPr>
              <w:ind w:left="1420"/>
              <w:spacing w:after="0"/>
              <w:rPr>
                <w:sz w:val="20"/>
                <w:szCs w:val="20"/>
                <w:color w:val="auto"/>
              </w:rPr>
            </w:pPr>
            <w:r>
              <w:rPr>
                <w:rFonts w:ascii="Arial" w:cs="Arial" w:eastAsia="Arial" w:hAnsi="Arial"/>
                <w:sz w:val="18"/>
                <w:szCs w:val="18"/>
                <w:color w:val="auto"/>
              </w:rPr>
              <w:t>By: /s/ Amy E. Ruf</w:t>
            </w:r>
          </w:p>
        </w:tc>
      </w:tr>
      <w:tr>
        <w:trPr>
          <w:trHeight w:val="195"/>
        </w:trPr>
        <w:tc>
          <w:tcPr>
            <w:tcW w:w="3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Amy E. Ruf</w:t>
            </w:r>
          </w:p>
        </w:tc>
      </w:tr>
      <w:tr>
        <w:trPr>
          <w:trHeight w:val="230"/>
        </w:trPr>
        <w:tc>
          <w:tcPr>
            <w:tcW w:w="3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660" w:right="20" w:hanging="328"/>
        <w:spacing w:after="0" w:line="28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3025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Amy A. Samford,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183"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14605</wp:posOffset>
            </wp:positionV>
            <wp:extent cx="3042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Amy A. Samford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CompX International Inc. (the Company) on Form 10-Q for the period ending September 30, 2022,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p>
      <w:pPr>
        <w:spacing w:after="0" w:line="17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3042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3042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Amy A. Samford</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lvl w:ilvl="1">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2022-11-02T16:01:56Z</dcterms:created>
  <dcterms:modified xsi:type="dcterms:W3CDTF">2022-11-02T16:01:56Z</dcterms:modified>
</cp:coreProperties>
</file>