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the earliest event reported)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August 6, 2019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90" w:lineRule="exact"/>
        <w:rPr>
          <w:sz w:val="24"/>
          <w:szCs w:val="24"/>
          <w:color w:val="auto"/>
        </w:rPr>
      </w:pPr>
    </w:p>
    <w:tbl>
      <w:tblPr>
        <w:tblLayout w:type="fixed"/>
        <w:tblInd w:w="320" w:type="dxa"/>
        <w:tblCellMar>
          <w:top w:w="0" w:type="dxa"/>
          <w:left w:w="0" w:type="dxa"/>
          <w:bottom w:w="0" w:type="dxa"/>
          <w:right w:w="0" w:type="dxa"/>
        </w:tblCellMar>
      </w:tblPr>
      <w:tr>
        <w:trPr>
          <w:trHeight w:val="256"/>
        </w:trPr>
        <w:tc>
          <w:tcPr>
            <w:tcW w:w="4040" w:type="dxa"/>
            <w:vAlign w:val="bottom"/>
          </w:tcPr>
          <w:p>
            <w:pPr>
              <w:jc w:val="center"/>
              <w:ind w:right="781"/>
              <w:spacing w:after="0"/>
              <w:rPr>
                <w:sz w:val="20"/>
                <w:szCs w:val="20"/>
                <w:color w:val="auto"/>
              </w:rPr>
            </w:pPr>
            <w:r>
              <w:rPr>
                <w:rFonts w:ascii="Arial" w:cs="Arial" w:eastAsia="Arial" w:hAnsi="Arial"/>
                <w:sz w:val="22"/>
                <w:szCs w:val="22"/>
                <w:b w:val="1"/>
                <w:bCs w:val="1"/>
                <w:color w:val="auto"/>
                <w:w w:val="91"/>
              </w:rPr>
              <w:t>Delaware</w:t>
            </w:r>
          </w:p>
        </w:tc>
        <w:tc>
          <w:tcPr>
            <w:tcW w:w="3160" w:type="dxa"/>
            <w:vAlign w:val="bottom"/>
          </w:tcPr>
          <w:p>
            <w:pPr>
              <w:jc w:val="center"/>
              <w:ind w:right="384"/>
              <w:spacing w:after="0"/>
              <w:rPr>
                <w:sz w:val="20"/>
                <w:szCs w:val="20"/>
                <w:color w:val="auto"/>
              </w:rPr>
            </w:pPr>
            <w:r>
              <w:rPr>
                <w:rFonts w:ascii="Arial" w:cs="Arial" w:eastAsia="Arial" w:hAnsi="Arial"/>
                <w:sz w:val="22"/>
                <w:szCs w:val="22"/>
                <w:b w:val="1"/>
                <w:bCs w:val="1"/>
                <w:color w:val="auto"/>
                <w:w w:val="89"/>
              </w:rPr>
              <w:t>1-13905</w:t>
            </w:r>
          </w:p>
        </w:tc>
        <w:tc>
          <w:tcPr>
            <w:tcW w:w="2660" w:type="dxa"/>
            <w:vAlign w:val="bottom"/>
          </w:tcPr>
          <w:p>
            <w:pPr>
              <w:jc w:val="center"/>
              <w:ind w:left="124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4040" w:type="dxa"/>
            <w:vAlign w:val="bottom"/>
          </w:tcPr>
          <w:p>
            <w:pPr>
              <w:jc w:val="center"/>
              <w:ind w:right="781"/>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64"/>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23"/>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64"/>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2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200" w:type="dxa"/>
            <w:vAlign w:val="bottom"/>
            <w:gridSpan w:val="2"/>
          </w:tcPr>
          <w:p>
            <w:pPr>
              <w:jc w:val="center"/>
              <w:ind w:right="10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60" w:type="dxa"/>
            <w:vAlign w:val="bottom"/>
          </w:tcPr>
          <w:p>
            <w:pPr>
              <w:jc w:val="center"/>
              <w:ind w:left="1263"/>
              <w:spacing w:after="0"/>
              <w:rPr>
                <w:sz w:val="20"/>
                <w:szCs w:val="20"/>
                <w:color w:val="auto"/>
              </w:rPr>
            </w:pPr>
            <w:r>
              <w:rPr>
                <w:rFonts w:ascii="Arial" w:cs="Arial" w:eastAsia="Arial" w:hAnsi="Arial"/>
                <w:sz w:val="22"/>
                <w:szCs w:val="22"/>
                <w:b w:val="1"/>
                <w:bCs w:val="1"/>
                <w:color w:val="auto"/>
                <w:w w:val="90"/>
              </w:rPr>
              <w:t>75240-2620</w:t>
            </w:r>
          </w:p>
        </w:tc>
      </w:tr>
      <w:tr>
        <w:trPr>
          <w:trHeight w:val="230"/>
        </w:trPr>
        <w:tc>
          <w:tcPr>
            <w:tcW w:w="72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63"/>
              <w:spacing w:after="0"/>
              <w:rPr>
                <w:sz w:val="20"/>
                <w:szCs w:val="20"/>
                <w:color w:val="auto"/>
              </w:rPr>
            </w:pPr>
            <w:r>
              <w:rPr>
                <w:rFonts w:ascii="Arial" w:cs="Arial" w:eastAsia="Arial" w:hAnsi="Arial"/>
                <w:sz w:val="18"/>
                <w:szCs w:val="18"/>
                <w:color w:val="auto"/>
                <w:w w:val="91"/>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270510</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w:t>
      </w:r>
    </w:p>
    <w:p>
      <w:pPr>
        <w:spacing w:after="0" w:line="164" w:lineRule="exact"/>
        <w:rPr>
          <w:sz w:val="24"/>
          <w:szCs w:val="24"/>
          <w:color w:val="auto"/>
        </w:rPr>
      </w:pPr>
    </w:p>
    <w:p>
      <w:pPr>
        <w:ind w:left="800" w:hanging="470"/>
        <w:spacing w:after="0"/>
        <w:tabs>
          <w:tab w:leader="none" w:pos="800" w:val="left"/>
        </w:tabs>
        <w:numPr>
          <w:ilvl w:val="0"/>
          <w:numId w:val="1"/>
        </w:numPr>
        <w:rPr>
          <w:rFonts w:ascii="Arial" w:cs="Arial" w:eastAsia="Arial" w:hAnsi="Arial"/>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sz w:val="24"/>
          <w:szCs w:val="24"/>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260" w:lineRule="exact"/>
        <w:rPr>
          <w:rFonts w:ascii="MS PGothic" w:cs="MS PGothic" w:eastAsia="MS PGothic" w:hAnsi="MS PGothic"/>
          <w:sz w:val="25"/>
          <w:szCs w:val="25"/>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260" w:lineRule="exact"/>
        <w:rPr>
          <w:rFonts w:ascii="MS PGothic" w:cs="MS PGothic" w:eastAsia="MS PGothic" w:hAnsi="MS PGothic"/>
          <w:sz w:val="25"/>
          <w:szCs w:val="25"/>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60" w:type="dxa"/>
            <w:vAlign w:val="bottom"/>
          </w:tcPr>
          <w:p>
            <w:pPr>
              <w:jc w:val="center"/>
              <w:spacing w:after="0" w:line="130" w:lineRule="exact"/>
              <w:rPr>
                <w:sz w:val="20"/>
                <w:szCs w:val="20"/>
                <w:color w:val="auto"/>
              </w:rPr>
            </w:pPr>
            <w:r>
              <w:rPr>
                <w:rFonts w:ascii="Arial" w:cs="Arial" w:eastAsia="Arial" w:hAnsi="Arial"/>
                <w:sz w:val="14"/>
                <w:szCs w:val="14"/>
                <w:color w:val="auto"/>
                <w:w w:val="92"/>
              </w:rPr>
              <w:t>Class A common stock</w:t>
            </w: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360" w:type="dxa"/>
            <w:vAlign w:val="bottom"/>
          </w:tcPr>
          <w:p>
            <w:pPr>
              <w:jc w:val="center"/>
              <w:spacing w:after="0"/>
              <w:rPr>
                <w:sz w:val="20"/>
                <w:szCs w:val="20"/>
                <w:color w:val="auto"/>
              </w:rPr>
            </w:pPr>
            <w:r>
              <w:rPr>
                <w:rFonts w:ascii="Arial" w:cs="Arial" w:eastAsia="Arial" w:hAnsi="Arial"/>
                <w:sz w:val="14"/>
                <w:szCs w:val="14"/>
                <w:color w:val="auto"/>
                <w:w w:val="91"/>
              </w:rPr>
              <w:t>($.01 par value per share)</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80"/>
        <w:spacing w:after="0" w:line="253"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jc w:val="right"/>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331"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Reports Second Quarter 2019 Results” that the registrant issued on August 6, 2019, a copy of which is attached hereto as Exhibit 99.1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Declares Quarterly Dividend” that the registrant also issued on August 6, 2019, a copy of which is attached hereto as Exhibit 99.2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700" w:hanging="692"/>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Item No.</w:t>
            </w:r>
          </w:p>
        </w:tc>
        <w:tc>
          <w:tcPr>
            <w:tcW w:w="5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ind w:left="1160"/>
              <w:spacing w:after="0"/>
              <w:rPr>
                <w:sz w:val="20"/>
                <w:szCs w:val="20"/>
                <w:color w:val="auto"/>
              </w:rPr>
            </w:pPr>
            <w:r>
              <w:rPr>
                <w:rFonts w:ascii="Arial" w:cs="Arial" w:eastAsia="Arial" w:hAnsi="Arial"/>
                <w:sz w:val="22"/>
                <w:szCs w:val="22"/>
                <w:b w:val="1"/>
                <w:bCs w:val="1"/>
                <w:color w:val="auto"/>
              </w:rPr>
              <w:t>Description</w:t>
            </w:r>
          </w:p>
        </w:tc>
        <w:tc>
          <w:tcPr>
            <w:tcW w:w="0" w:type="dxa"/>
            <w:vAlign w:val="bottom"/>
          </w:tcPr>
          <w:p>
            <w:pPr>
              <w:spacing w:after="0"/>
              <w:rPr>
                <w:sz w:val="1"/>
                <w:szCs w:val="1"/>
                <w:color w:val="auto"/>
              </w:rPr>
            </w:pPr>
          </w:p>
        </w:tc>
      </w:tr>
      <w:tr>
        <w:trPr>
          <w:trHeight w:val="419"/>
        </w:trPr>
        <w:tc>
          <w:tcPr>
            <w:tcW w:w="380" w:type="dxa"/>
            <w:vAlign w:val="bottom"/>
          </w:tcPr>
          <w:p>
            <w:pPr>
              <w:spacing w:after="0"/>
              <w:rPr>
                <w:sz w:val="24"/>
                <w:szCs w:val="24"/>
                <w:color w:val="auto"/>
              </w:rPr>
            </w:pPr>
          </w:p>
        </w:tc>
        <w:tc>
          <w:tcPr>
            <w:tcW w:w="2400" w:type="dxa"/>
            <w:vAlign w:val="bottom"/>
            <w:gridSpan w:val="2"/>
          </w:tcPr>
          <w:p>
            <w:pPr>
              <w:jc w:val="right"/>
              <w:ind w:right="1492"/>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8120" w:type="dxa"/>
            <w:vAlign w:val="bottom"/>
            <w:tcBorders>
              <w:bottom w:val="single" w:sz="8" w:color="0000EE"/>
            </w:tcBorders>
            <w:gridSpan w:val="3"/>
          </w:tcPr>
          <w:p>
            <w:pPr>
              <w:spacing w:after="0"/>
              <w:rPr>
                <w:rFonts w:ascii="Arial" w:cs="Arial" w:eastAsia="Arial" w:hAnsi="Arial"/>
                <w:sz w:val="22"/>
                <w:szCs w:val="22"/>
                <w:color w:val="0000EE"/>
                <w:w w:val="89"/>
              </w:rPr>
            </w:pPr>
            <w:hyperlink w:anchor="page4">
              <w:r>
                <w:rPr>
                  <w:rFonts w:ascii="Arial" w:cs="Arial" w:eastAsia="Arial" w:hAnsi="Arial"/>
                  <w:sz w:val="22"/>
                  <w:szCs w:val="22"/>
                  <w:color w:val="0000EE"/>
                  <w:w w:val="89"/>
                </w:rPr>
                <w:t>Press release dated August 6, 2019 entitled “CompX Reports Second Quarter 2019 Results”</w:t>
              </w:r>
            </w:hyperlink>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20" w:type="dxa"/>
            <w:vAlign w:val="bottom"/>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and issued by the registrant</w:t>
              </w:r>
              <w:r>
                <w:rPr>
                  <w:rFonts w:ascii="Arial" w:cs="Arial" w:eastAsia="Arial" w:hAnsi="Arial"/>
                  <w:sz w:val="22"/>
                  <w:szCs w:val="22"/>
                  <w:color w:val="000000"/>
                </w:rPr>
                <w:t>.</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2400" w:type="dxa"/>
            <w:vAlign w:val="bottom"/>
            <w:gridSpan w:val="2"/>
          </w:tcPr>
          <w:p>
            <w:pPr>
              <w:jc w:val="right"/>
              <w:ind w:right="1492"/>
              <w:spacing w:after="0"/>
              <w:rPr>
                <w:sz w:val="20"/>
                <w:szCs w:val="20"/>
                <w:color w:val="auto"/>
              </w:rPr>
            </w:pPr>
            <w:r>
              <w:rPr>
                <w:rFonts w:ascii="Arial" w:cs="Arial" w:eastAsia="Arial" w:hAnsi="Arial"/>
                <w:sz w:val="22"/>
                <w:szCs w:val="22"/>
                <w:color w:val="auto"/>
              </w:rPr>
              <w:t>99.2*</w:t>
            </w:r>
          </w:p>
        </w:tc>
        <w:tc>
          <w:tcPr>
            <w:tcW w:w="520" w:type="dxa"/>
            <w:vAlign w:val="bottom"/>
          </w:tcPr>
          <w:p>
            <w:pPr>
              <w:spacing w:after="0"/>
              <w:rPr>
                <w:sz w:val="24"/>
                <w:szCs w:val="24"/>
                <w:color w:val="auto"/>
              </w:rPr>
            </w:pPr>
          </w:p>
        </w:tc>
        <w:tc>
          <w:tcPr>
            <w:tcW w:w="8120" w:type="dxa"/>
            <w:vAlign w:val="bottom"/>
            <w:tcBorders>
              <w:bottom w:val="single" w:sz="8" w:color="0000EE"/>
            </w:tcBorders>
            <w:gridSpan w:val="3"/>
          </w:tcPr>
          <w:p>
            <w:pPr>
              <w:spacing w:after="0"/>
              <w:rPr>
                <w:rFonts w:ascii="Arial" w:cs="Arial" w:eastAsia="Arial" w:hAnsi="Arial"/>
                <w:sz w:val="22"/>
                <w:szCs w:val="22"/>
                <w:color w:val="0000EE"/>
                <w:w w:val="95"/>
              </w:rPr>
            </w:pPr>
            <w:hyperlink w:anchor="page8">
              <w:r>
                <w:rPr>
                  <w:rFonts w:ascii="Arial" w:cs="Arial" w:eastAsia="Arial" w:hAnsi="Arial"/>
                  <w:sz w:val="22"/>
                  <w:szCs w:val="22"/>
                  <w:color w:val="0000EE"/>
                  <w:w w:val="95"/>
                </w:rPr>
                <w:t>Press release dated August 6, 2019 entitled “CompX Declares Quarterly Dividend” and</w:t>
              </w:r>
            </w:hyperlink>
          </w:p>
        </w:tc>
        <w:tc>
          <w:tcPr>
            <w:tcW w:w="0" w:type="dxa"/>
            <w:vAlign w:val="bottom"/>
          </w:tcPr>
          <w:p>
            <w:pPr>
              <w:spacing w:after="0"/>
              <w:rPr>
                <w:sz w:val="1"/>
                <w:szCs w:val="1"/>
                <w:color w:val="auto"/>
              </w:rPr>
            </w:pPr>
          </w:p>
        </w:tc>
      </w:tr>
      <w:tr>
        <w:trPr>
          <w:trHeight w:val="223"/>
        </w:trPr>
        <w:tc>
          <w:tcPr>
            <w:tcW w:w="380" w:type="dxa"/>
            <w:vAlign w:val="bottom"/>
            <w:vMerge w:val="restart"/>
          </w:tcPr>
          <w:p>
            <w:pPr>
              <w:jc w:val="right"/>
              <w:ind w:right="152"/>
              <w:spacing w:after="0"/>
              <w:rPr>
                <w:sz w:val="20"/>
                <w:szCs w:val="20"/>
                <w:color w:val="auto"/>
              </w:rPr>
            </w:pPr>
            <w:r>
              <w:rPr>
                <w:rFonts w:ascii="Arial" w:cs="Arial" w:eastAsia="Arial" w:hAnsi="Arial"/>
                <w:sz w:val="22"/>
                <w:szCs w:val="22"/>
                <w:color w:val="auto"/>
              </w:rPr>
              <w:t>*</w:t>
            </w:r>
          </w:p>
        </w:tc>
        <w:tc>
          <w:tcPr>
            <w:tcW w:w="2400" w:type="dxa"/>
            <w:vAlign w:val="bottom"/>
            <w:gridSpan w:val="2"/>
            <w:vMerge w:val="restart"/>
          </w:tcPr>
          <w:p>
            <w:pPr>
              <w:jc w:val="right"/>
              <w:ind w:right="752"/>
              <w:spacing w:after="0"/>
              <w:rPr>
                <w:sz w:val="20"/>
                <w:szCs w:val="20"/>
                <w:color w:val="auto"/>
              </w:rPr>
            </w:pPr>
            <w:r>
              <w:rPr>
                <w:rFonts w:ascii="Arial" w:cs="Arial" w:eastAsia="Arial" w:hAnsi="Arial"/>
                <w:sz w:val="22"/>
                <w:szCs w:val="22"/>
                <w:color w:val="auto"/>
              </w:rPr>
              <w:t>Filed herewith</w:t>
            </w:r>
          </w:p>
        </w:tc>
        <w:tc>
          <w:tcPr>
            <w:tcW w:w="520" w:type="dxa"/>
            <w:vAlign w:val="bottom"/>
          </w:tcPr>
          <w:p>
            <w:pPr>
              <w:spacing w:after="0"/>
              <w:rPr>
                <w:sz w:val="19"/>
                <w:szCs w:val="19"/>
                <w:color w:val="auto"/>
              </w:rPr>
            </w:pPr>
          </w:p>
        </w:tc>
        <w:tc>
          <w:tcPr>
            <w:tcW w:w="8120" w:type="dxa"/>
            <w:vAlign w:val="bottom"/>
            <w:gridSpan w:val="3"/>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issued by the registrant</w:t>
              </w:r>
              <w:r>
                <w:rPr>
                  <w:rFonts w:ascii="Arial" w:cs="Arial" w:eastAsia="Arial" w:hAnsi="Arial"/>
                  <w:sz w:val="22"/>
                  <w:szCs w:val="22"/>
                  <w:color w:val="000000"/>
                </w:rPr>
                <w:t>.</w:t>
              </w:r>
            </w:hyperlink>
          </w:p>
        </w:tc>
        <w:tc>
          <w:tcPr>
            <w:tcW w:w="0" w:type="dxa"/>
            <w:vAlign w:val="bottom"/>
          </w:tcPr>
          <w:p>
            <w:pPr>
              <w:spacing w:after="0"/>
              <w:rPr>
                <w:sz w:val="1"/>
                <w:szCs w:val="1"/>
                <w:color w:val="auto"/>
              </w:rPr>
            </w:pPr>
          </w:p>
        </w:tc>
      </w:tr>
      <w:tr>
        <w:trPr>
          <w:trHeight w:val="287"/>
        </w:trPr>
        <w:tc>
          <w:tcPr>
            <w:tcW w:w="380" w:type="dxa"/>
            <w:vAlign w:val="bottom"/>
            <w:vMerge w:val="continue"/>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2"/>
        </w:trPr>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700" w:type="dxa"/>
            <w:vAlign w:val="bottom"/>
          </w:tcPr>
          <w:p>
            <w:pPr>
              <w:spacing w:after="0"/>
              <w:rPr>
                <w:sz w:val="23"/>
                <w:szCs w:val="23"/>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By:</w:t>
            </w:r>
          </w:p>
        </w:tc>
        <w:tc>
          <w:tcPr>
            <w:tcW w:w="534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/s/ Amy A. Samford</w:t>
            </w:r>
          </w:p>
        </w:tc>
      </w:tr>
      <w:tr>
        <w:trPr>
          <w:trHeight w:val="222"/>
        </w:trPr>
        <w:tc>
          <w:tcPr>
            <w:tcW w:w="5700" w:type="dxa"/>
            <w:vAlign w:val="bottom"/>
          </w:tcPr>
          <w:p>
            <w:pPr>
              <w:spacing w:after="0" w:line="222" w:lineRule="exact"/>
              <w:rPr>
                <w:sz w:val="20"/>
                <w:szCs w:val="20"/>
                <w:color w:val="auto"/>
              </w:rPr>
            </w:pPr>
            <w:r>
              <w:rPr>
                <w:rFonts w:ascii="Arial" w:cs="Arial" w:eastAsia="Arial" w:hAnsi="Arial"/>
                <w:sz w:val="22"/>
                <w:szCs w:val="22"/>
                <w:color w:val="auto"/>
              </w:rPr>
              <w:t>Date: August 6, 2019</w:t>
            </w:r>
          </w:p>
        </w:tc>
        <w:tc>
          <w:tcPr>
            <w:tcW w:w="380" w:type="dxa"/>
            <w:vAlign w:val="bottom"/>
          </w:tcPr>
          <w:p>
            <w:pPr>
              <w:spacing w:after="0"/>
              <w:rPr>
                <w:sz w:val="19"/>
                <w:szCs w:val="19"/>
                <w:color w:val="auto"/>
              </w:rPr>
            </w:pPr>
          </w:p>
        </w:tc>
        <w:tc>
          <w:tcPr>
            <w:tcW w:w="5340" w:type="dxa"/>
            <w:vAlign w:val="bottom"/>
          </w:tcPr>
          <w:p>
            <w:pPr>
              <w:ind w:left="80"/>
              <w:spacing w:after="0" w:line="222" w:lineRule="exact"/>
              <w:rPr>
                <w:sz w:val="20"/>
                <w:szCs w:val="20"/>
                <w:color w:val="auto"/>
              </w:rPr>
            </w:pPr>
            <w:r>
              <w:rPr>
                <w:rFonts w:ascii="Arial" w:cs="Arial" w:eastAsia="Arial" w:hAnsi="Arial"/>
                <w:sz w:val="22"/>
                <w:szCs w:val="22"/>
                <w:i w:val="1"/>
                <w:iCs w:val="1"/>
                <w:color w:val="auto"/>
              </w:rPr>
              <w:t>Amy A. Samford</w:t>
            </w:r>
          </w:p>
        </w:tc>
      </w:tr>
      <w:tr>
        <w:trPr>
          <w:trHeight w:val="275"/>
        </w:trPr>
        <w:tc>
          <w:tcPr>
            <w:tcW w:w="5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340" w:type="dxa"/>
            <w:vAlign w:val="bottom"/>
          </w:tcPr>
          <w:p>
            <w:pPr>
              <w:ind w:left="80"/>
              <w:spacing w:after="0"/>
              <w:rPr>
                <w:sz w:val="20"/>
                <w:szCs w:val="20"/>
                <w:color w:val="auto"/>
              </w:rPr>
            </w:pPr>
            <w:r>
              <w:rPr>
                <w:rFonts w:ascii="Arial" w:cs="Arial" w:eastAsia="Arial" w:hAnsi="Arial"/>
                <w:sz w:val="22"/>
                <w:szCs w:val="22"/>
                <w:i w:val="1"/>
                <w:iCs w:val="1"/>
                <w:color w:val="auto"/>
              </w:rPr>
              <w:t>Vice President and Chief Financial Officer</w:t>
            </w:r>
          </w:p>
        </w:tc>
      </w:tr>
    </w:tbl>
    <w:p>
      <w:pPr>
        <w:sectPr>
          <w:pgSz w:w="11900" w:h="16838" w:orient="portrait"/>
          <w:cols w:equalWidth="0" w:num="1">
            <w:col w:w="11420"/>
          </w:cols>
          <w:pgMar w:left="240" w:top="598"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SECOND QUARTER 2019 RESULTS</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DALLAS, TEXAS …August 6, 2019 … CompX International Inc. (NYSE American: CIX) announced today sales of $33.7 million for the second quarter of 2019 compared to $32.4 million in the same period of 2018. Operating income was $5.6 million in the second quarter of 2019 compared to $6.0 million in the same period in 2018. Net income for the second quarter of 2019 was $4.9 million, or $0.39 per diluted share, compared to $5.0 million, or $0.40 per diluted share, in the second quarter of 2018.</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six months ended June 30, 2019, sales were $64.9 million compared to $60.8 million in the previous year. Operating income was $9.9 million for the first six months of 2019 compared to $10.3 million for 2018. Net income for the six months ended June 30, 2019 was $8.9 million or $0.71 per diluted share, compared to $8.7 million, or $0.70 per diluted share, in 2018.</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Second quarter and year-to-date 2019 net sales increased over the comparable 2018 periods primarily due to higher Marine Component sales, primarily surf pipes and wake enhancement systems to an original equipment boat manufacturer. Operating income decreased for both comparative periods as the favorable effect of higher sales volumes at Marine Components was offset by regional wage increases at Security Products as well as a less favorable customer and product mix at Marine Components.</w:t>
      </w:r>
    </w:p>
    <w:p>
      <w:pPr>
        <w:spacing w:after="0" w:line="170"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560 people.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Future demand for our products,</w:t>
      </w:r>
    </w:p>
    <w:p>
      <w:pPr>
        <w:spacing w:after="0" w:line="206"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4"/>
        </w:numPr>
        <w:rPr>
          <w:rFonts w:ascii="Arial" w:cs="Arial" w:eastAsia="Arial" w:hAnsi="Arial"/>
          <w:sz w:val="21"/>
          <w:szCs w:val="21"/>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0" w:lineRule="exact"/>
        <w:rPr>
          <w:rFonts w:ascii="Arial" w:cs="Arial" w:eastAsia="Arial" w:hAnsi="Arial"/>
          <w:sz w:val="21"/>
          <w:szCs w:val="21"/>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Price and product competition from low-cost manufacturing sources (such as China),</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impact of pricing and production decisions,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Customer and competitor strategies including substitute products,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Uncertainties associated with the development of new product features,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Future litigation,</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Potential difficulties in integrating future acquisitions,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Decisions to sell operating assets other than in the ordinary course of business,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1"/>
          <w:szCs w:val="21"/>
          <w:color w:val="auto"/>
        </w:rPr>
      </w:pPr>
      <w:r>
        <w:rPr>
          <w:rFonts w:ascii="Arial" w:cs="Arial" w:eastAsia="Arial" w:hAnsi="Arial"/>
          <w:sz w:val="21"/>
          <w:szCs w:val="21"/>
          <w:color w:val="auto"/>
        </w:rPr>
        <w:t>Environmental matters (such as those requiring emission and discharge standards for existing and new facilities),</w:t>
      </w:r>
    </w:p>
    <w:p>
      <w:pPr>
        <w:spacing w:after="0" w:line="217" w:lineRule="exact"/>
        <w:rPr>
          <w:rFonts w:ascii="Arial" w:cs="Arial" w:eastAsia="Arial" w:hAnsi="Arial"/>
          <w:sz w:val="21"/>
          <w:szCs w:val="21"/>
          <w:color w:val="auto"/>
        </w:rPr>
      </w:pPr>
    </w:p>
    <w:p>
      <w:pPr>
        <w:ind w:left="880" w:hanging="431"/>
        <w:spacing w:after="0"/>
        <w:tabs>
          <w:tab w:leader="none" w:pos="88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ultimate outcome of income tax audits, tax settlement initiatives or other tax matters, including tax reform,</w:t>
      </w:r>
    </w:p>
    <w:p>
      <w:pPr>
        <w:spacing w:after="0" w:line="217" w:lineRule="exact"/>
        <w:rPr>
          <w:rFonts w:ascii="Arial" w:cs="Arial" w:eastAsia="Arial" w:hAnsi="Arial"/>
          <w:sz w:val="21"/>
          <w:szCs w:val="21"/>
          <w:color w:val="auto"/>
        </w:rPr>
      </w:pPr>
    </w:p>
    <w:p>
      <w:pPr>
        <w:ind w:left="880" w:hanging="431"/>
        <w:spacing w:after="0"/>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240" w:lineRule="exact"/>
        <w:rPr>
          <w:rFonts w:ascii="Arial" w:cs="Arial" w:eastAsia="Arial" w:hAnsi="Arial"/>
          <w:sz w:val="19"/>
          <w:szCs w:val="19"/>
          <w:color w:val="auto"/>
        </w:rPr>
      </w:pPr>
    </w:p>
    <w:p>
      <w:pPr>
        <w:ind w:left="880" w:hanging="431"/>
        <w:spacing w:after="0" w:line="251"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General global economic and political conditions that introduce instability into the U.S. economy (such as changes in the level of gross domestic product in various regions of the world),</w:t>
      </w:r>
    </w:p>
    <w:p>
      <w:pPr>
        <w:spacing w:after="0" w:line="173"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4"/>
        </w:numPr>
        <w:rPr>
          <w:rFonts w:ascii="Arial" w:cs="Arial" w:eastAsia="Arial" w:hAnsi="Arial"/>
          <w:sz w:val="21"/>
          <w:szCs w:val="21"/>
          <w:color w:val="auto"/>
        </w:rPr>
      </w:pPr>
      <w:r>
        <w:rPr>
          <w:rFonts w:ascii="Arial" w:cs="Arial" w:eastAsia="Arial" w:hAnsi="Arial"/>
          <w:sz w:val="21"/>
          <w:szCs w:val="21"/>
          <w:color w:val="auto"/>
        </w:rPr>
        <w:t>Operating interruptions (including, but not limited to labor disputes, hazardous chemical leaks, natural disasters, fires, explosions, unscheduled or unplanned downtime, transportation interruptions and cyber attacks); and</w:t>
      </w:r>
    </w:p>
    <w:p>
      <w:pPr>
        <w:spacing w:after="0" w:line="150" w:lineRule="exact"/>
        <w:rPr>
          <w:rFonts w:ascii="Arial" w:cs="Arial" w:eastAsia="Arial" w:hAnsi="Arial"/>
          <w:sz w:val="21"/>
          <w:szCs w:val="21"/>
          <w:color w:val="auto"/>
        </w:rPr>
      </w:pPr>
    </w:p>
    <w:p>
      <w:pPr>
        <w:ind w:left="880" w:hanging="431"/>
        <w:spacing w:after="0" w:line="251"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CONSOLIDATED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40" w:type="dxa"/>
            <w:vAlign w:val="bottom"/>
            <w:gridSpan w:val="4"/>
          </w:tcPr>
          <w:p>
            <w:pPr>
              <w:jc w:val="right"/>
              <w:ind w:right="6"/>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8"/>
                <w:szCs w:val="18"/>
                <w:b w:val="1"/>
                <w:bCs w:val="1"/>
                <w:color w:val="auto"/>
              </w:rPr>
              <w:t>June 30,</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900" w:type="dxa"/>
            <w:vAlign w:val="bottom"/>
          </w:tcPr>
          <w:p>
            <w:pPr>
              <w:spacing w:after="0"/>
              <w:rPr>
                <w:sz w:val="24"/>
                <w:szCs w:val="24"/>
                <w:color w:val="auto"/>
              </w:rPr>
            </w:pPr>
          </w:p>
        </w:tc>
        <w:tc>
          <w:tcPr>
            <w:tcW w:w="19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1920" w:type="dxa"/>
            <w:vAlign w:val="bottom"/>
            <w:gridSpan w:val="2"/>
            <w:shd w:val="clear" w:color="auto" w:fill="CCEEFF"/>
          </w:tcPr>
          <w:p>
            <w:pPr>
              <w:jc w:val="right"/>
              <w:ind w:right="568"/>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32.4</w:t>
            </w:r>
          </w:p>
        </w:tc>
        <w:tc>
          <w:tcPr>
            <w:tcW w:w="980" w:type="dxa"/>
            <w:vAlign w:val="bottom"/>
            <w:gridSpan w:val="2"/>
            <w:shd w:val="clear" w:color="auto" w:fill="CCEEFF"/>
          </w:tcPr>
          <w:p>
            <w:pPr>
              <w:jc w:val="right"/>
              <w:ind w:right="546"/>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33.7</w:t>
            </w:r>
          </w:p>
        </w:tc>
        <w:tc>
          <w:tcPr>
            <w:tcW w:w="460" w:type="dxa"/>
            <w:vAlign w:val="bottom"/>
            <w:gridSpan w:val="2"/>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60.8</w:t>
            </w:r>
          </w:p>
        </w:tc>
        <w:tc>
          <w:tcPr>
            <w:tcW w:w="420" w:type="dxa"/>
            <w:vAlign w:val="bottom"/>
            <w:gridSpan w:val="2"/>
            <w:shd w:val="clear" w:color="auto" w:fill="CCEEFF"/>
          </w:tcPr>
          <w:p>
            <w:pPr>
              <w:jc w:val="right"/>
              <w:ind w:right="103"/>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w w:val="88"/>
              </w:rPr>
              <w:t>21.2</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w w:val="88"/>
              </w:rPr>
              <w:t>22.8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profit</w:t>
            </w:r>
          </w:p>
        </w:tc>
        <w:tc>
          <w:tcPr>
            <w:tcW w:w="1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11.2</w:t>
            </w:r>
          </w:p>
        </w:tc>
        <w:tc>
          <w:tcPr>
            <w:tcW w:w="2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10.9</w:t>
            </w:r>
          </w:p>
        </w:tc>
        <w:tc>
          <w:tcPr>
            <w:tcW w:w="2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1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6.0</w:t>
            </w:r>
          </w:p>
        </w:tc>
        <w:tc>
          <w:tcPr>
            <w:tcW w:w="2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5.6</w:t>
            </w:r>
          </w:p>
        </w:tc>
        <w:tc>
          <w:tcPr>
            <w:tcW w:w="2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0.6</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0.8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1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6.6</w:t>
            </w:r>
          </w:p>
        </w:tc>
        <w:tc>
          <w:tcPr>
            <w:tcW w:w="2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6.4</w:t>
            </w:r>
          </w:p>
        </w:tc>
        <w:tc>
          <w:tcPr>
            <w:tcW w:w="2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Arial" w:cs="Arial" w:eastAsia="Arial" w:hAnsi="Arial"/>
                <w:sz w:val="19"/>
                <w:szCs w:val="19"/>
                <w:color w:val="auto"/>
                <w:w w:val="75"/>
              </w:rPr>
              <w:t>$</w:t>
            </w:r>
          </w:p>
        </w:tc>
        <w:tc>
          <w:tcPr>
            <w:tcW w:w="4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5.0</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4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4.9</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8.9</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Basic and diluted net income</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00" w:type="dxa"/>
            <w:vAlign w:val="bottom"/>
            <w:shd w:val="clear" w:color="auto" w:fill="CCEEFF"/>
          </w:tcPr>
          <w:p>
            <w:pPr>
              <w:ind w:left="160"/>
              <w:spacing w:after="0" w:line="243" w:lineRule="exact"/>
              <w:rPr>
                <w:sz w:val="20"/>
                <w:szCs w:val="20"/>
                <w:color w:val="auto"/>
              </w:rPr>
            </w:pPr>
            <w:r>
              <w:rPr>
                <w:rFonts w:ascii="Arial" w:cs="Arial" w:eastAsia="Arial" w:hAnsi="Arial"/>
                <w:sz w:val="22"/>
                <w:szCs w:val="22"/>
                <w:color w:val="auto"/>
              </w:rPr>
              <w:t>per common share</w:t>
            </w:r>
          </w:p>
        </w:tc>
        <w:tc>
          <w:tcPr>
            <w:tcW w:w="1920" w:type="dxa"/>
            <w:vAlign w:val="bottom"/>
            <w:gridSpan w:val="2"/>
            <w:shd w:val="clear" w:color="auto" w:fill="CCEEFF"/>
          </w:tcPr>
          <w:p>
            <w:pPr>
              <w:jc w:val="right"/>
              <w:ind w:right="568"/>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0.40</w:t>
            </w:r>
          </w:p>
        </w:tc>
        <w:tc>
          <w:tcPr>
            <w:tcW w:w="980" w:type="dxa"/>
            <w:vAlign w:val="bottom"/>
            <w:gridSpan w:val="2"/>
            <w:shd w:val="clear" w:color="auto" w:fill="CCEEFF"/>
          </w:tcPr>
          <w:p>
            <w:pPr>
              <w:jc w:val="right"/>
              <w:ind w:right="546"/>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0.39</w:t>
            </w:r>
          </w:p>
        </w:tc>
        <w:tc>
          <w:tcPr>
            <w:tcW w:w="460" w:type="dxa"/>
            <w:vAlign w:val="bottom"/>
            <w:gridSpan w:val="2"/>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0.70</w:t>
            </w:r>
          </w:p>
        </w:tc>
        <w:tc>
          <w:tcPr>
            <w:tcW w:w="420" w:type="dxa"/>
            <w:vAlign w:val="bottom"/>
            <w:gridSpan w:val="2"/>
            <w:shd w:val="clear" w:color="auto" w:fill="CCEEFF"/>
          </w:tcPr>
          <w:p>
            <w:pPr>
              <w:jc w:val="right"/>
              <w:ind w:right="103"/>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1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60"/>
              <w:spacing w:after="0" w:line="243" w:lineRule="exact"/>
              <w:rPr>
                <w:sz w:val="20"/>
                <w:szCs w:val="20"/>
                <w:color w:val="auto"/>
              </w:rPr>
            </w:pPr>
            <w:r>
              <w:rPr>
                <w:rFonts w:ascii="Arial" w:cs="Arial" w:eastAsia="Arial" w:hAnsi="Arial"/>
                <w:sz w:val="22"/>
                <w:szCs w:val="22"/>
                <w:color w:val="auto"/>
              </w:rPr>
              <w:t>shares outstanding</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w w:val="88"/>
              </w:rPr>
              <w:t>12.4</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w w:val="88"/>
              </w:rPr>
              <w:t>12.4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22"/>
          <w:szCs w:val="22"/>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center"/>
              <w:ind w:right="35"/>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40" w:type="dxa"/>
            <w:vAlign w:val="bottom"/>
            <w:vMerge w:val="restart"/>
          </w:tcPr>
          <w:p>
            <w:pPr>
              <w:ind w:left="660"/>
              <w:spacing w:after="0"/>
              <w:rPr>
                <w:sz w:val="20"/>
                <w:szCs w:val="20"/>
                <w:color w:val="auto"/>
              </w:rPr>
            </w:pPr>
            <w:r>
              <w:rPr>
                <w:rFonts w:ascii="Arial" w:cs="Arial" w:eastAsia="Arial" w:hAnsi="Arial"/>
                <w:sz w:val="22"/>
                <w:szCs w:val="22"/>
                <w:b w:val="1"/>
                <w:bCs w:val="1"/>
                <w:color w:val="auto"/>
              </w:rPr>
              <w:t>Assets</w:t>
            </w:r>
          </w:p>
        </w:tc>
        <w:tc>
          <w:tcPr>
            <w:tcW w:w="9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2018</w:t>
            </w:r>
          </w:p>
        </w:tc>
        <w:tc>
          <w:tcPr>
            <w:tcW w:w="14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8"/>
                <w:szCs w:val="18"/>
                <w:b w:val="1"/>
                <w:bCs w:val="1"/>
                <w:color w:val="auto"/>
                <w:w w:val="89"/>
              </w:rPr>
              <w:t>2019</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5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jc w:val="center"/>
              <w:ind w:right="55"/>
              <w:spacing w:after="0"/>
              <w:rPr>
                <w:sz w:val="20"/>
                <w:szCs w:val="20"/>
                <w:color w:val="auto"/>
              </w:rPr>
            </w:pPr>
            <w:r>
              <w:rPr>
                <w:rFonts w:ascii="Arial" w:cs="Arial" w:eastAsia="Arial" w:hAnsi="Arial"/>
                <w:sz w:val="18"/>
                <w:szCs w:val="18"/>
                <w:b w:val="1"/>
                <w:bCs w:val="1"/>
                <w:color w:val="auto"/>
                <w:w w:val="91"/>
              </w:rPr>
              <w:t>(unaudited)</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9"/>
        </w:trPr>
        <w:tc>
          <w:tcPr>
            <w:tcW w:w="5540" w:type="dxa"/>
            <w:vAlign w:val="bottom"/>
          </w:tcPr>
          <w:p>
            <w:pPr>
              <w:ind w:left="660"/>
              <w:spacing w:after="0"/>
              <w:rPr>
                <w:sz w:val="20"/>
                <w:szCs w:val="20"/>
                <w:color w:val="auto"/>
              </w:rPr>
            </w:pPr>
            <w:r>
              <w:rPr>
                <w:rFonts w:ascii="Arial" w:cs="Arial" w:eastAsia="Arial" w:hAnsi="Arial"/>
                <w:sz w:val="22"/>
                <w:szCs w:val="22"/>
                <w:color w:val="auto"/>
              </w:rPr>
              <w:t>Current assets:</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760"/>
              <w:spacing w:after="0" w:line="243" w:lineRule="exact"/>
              <w:rPr>
                <w:sz w:val="20"/>
                <w:szCs w:val="20"/>
                <w:color w:val="auto"/>
              </w:rPr>
            </w:pPr>
            <w:r>
              <w:rPr>
                <w:rFonts w:ascii="Arial" w:cs="Arial" w:eastAsia="Arial" w:hAnsi="Arial"/>
                <w:sz w:val="22"/>
                <w:szCs w:val="22"/>
                <w:color w:val="auto"/>
              </w:rPr>
              <w:t>Cash and equivalents</w:t>
            </w:r>
          </w:p>
        </w:tc>
        <w:tc>
          <w:tcPr>
            <w:tcW w:w="920" w:type="dxa"/>
            <w:vAlign w:val="bottom"/>
            <w:shd w:val="clear" w:color="auto" w:fill="CCEEFF"/>
          </w:tcPr>
          <w:p>
            <w:pPr>
              <w:jc w:val="right"/>
              <w:ind w:right="76"/>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45.4</w:t>
            </w:r>
          </w:p>
        </w:tc>
        <w:tc>
          <w:tcPr>
            <w:tcW w:w="22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41.9</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Accounts receivable, net</w:t>
            </w:r>
          </w:p>
        </w:tc>
        <w:tc>
          <w:tcPr>
            <w:tcW w:w="9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c>
          <w:tcPr>
            <w:tcW w:w="1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14.9</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760"/>
              <w:spacing w:after="0" w:line="243" w:lineRule="exact"/>
              <w:rPr>
                <w:sz w:val="20"/>
                <w:szCs w:val="20"/>
                <w:color w:val="auto"/>
              </w:rPr>
            </w:pPr>
            <w:r>
              <w:rPr>
                <w:rFonts w:ascii="Arial" w:cs="Arial" w:eastAsia="Arial" w:hAnsi="Arial"/>
                <w:sz w:val="22"/>
                <w:szCs w:val="22"/>
                <w:color w:val="auto"/>
              </w:rPr>
              <w:t>Inventories, net</w:t>
            </w: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17.1</w:t>
            </w:r>
          </w:p>
        </w:tc>
        <w:tc>
          <w:tcPr>
            <w:tcW w:w="1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17.8</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Prepaid expenses and other</w:t>
            </w:r>
          </w:p>
        </w:tc>
        <w:tc>
          <w:tcPr>
            <w:tcW w:w="9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1.7</w:t>
            </w:r>
          </w:p>
        </w:tc>
        <w:tc>
          <w:tcPr>
            <w:tcW w:w="14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1.0</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860"/>
              <w:spacing w:after="0" w:line="243" w:lineRule="exact"/>
              <w:rPr>
                <w:sz w:val="20"/>
                <w:szCs w:val="20"/>
                <w:color w:val="auto"/>
              </w:rPr>
            </w:pPr>
            <w:r>
              <w:rPr>
                <w:rFonts w:ascii="Arial" w:cs="Arial" w:eastAsia="Arial" w:hAnsi="Arial"/>
                <w:sz w:val="22"/>
                <w:szCs w:val="22"/>
                <w:color w:val="auto"/>
              </w:rPr>
              <w:t>Total current assets</w:t>
            </w: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76.3</w:t>
            </w:r>
          </w:p>
        </w:tc>
        <w:tc>
          <w:tcPr>
            <w:tcW w:w="1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75.6</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660"/>
              <w:spacing w:after="0" w:line="243" w:lineRule="exact"/>
              <w:rPr>
                <w:sz w:val="20"/>
                <w:szCs w:val="20"/>
                <w:color w:val="auto"/>
              </w:rPr>
            </w:pPr>
            <w:r>
              <w:rPr>
                <w:rFonts w:ascii="Arial" w:cs="Arial" w:eastAsia="Arial" w:hAnsi="Arial"/>
                <w:sz w:val="22"/>
                <w:szCs w:val="22"/>
                <w:color w:val="auto"/>
              </w:rPr>
              <w:t>Note receivable from affiliate</w:t>
            </w: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34.0</w:t>
            </w:r>
          </w:p>
        </w:tc>
        <w:tc>
          <w:tcPr>
            <w:tcW w:w="1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40.0</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660"/>
              <w:spacing w:after="0" w:line="243" w:lineRule="exact"/>
              <w:rPr>
                <w:sz w:val="20"/>
                <w:szCs w:val="20"/>
                <w:color w:val="auto"/>
              </w:rPr>
            </w:pPr>
            <w:r>
              <w:rPr>
                <w:rFonts w:ascii="Arial" w:cs="Arial" w:eastAsia="Arial" w:hAnsi="Arial"/>
                <w:sz w:val="22"/>
                <w:szCs w:val="22"/>
                <w:color w:val="auto"/>
              </w:rPr>
              <w:t>Goodwill</w:t>
            </w:r>
          </w:p>
        </w:tc>
        <w:tc>
          <w:tcPr>
            <w:tcW w:w="9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23.7</w:t>
            </w:r>
          </w:p>
        </w:tc>
        <w:tc>
          <w:tcPr>
            <w:tcW w:w="1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23.7</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660"/>
              <w:spacing w:after="0" w:line="243" w:lineRule="exact"/>
              <w:rPr>
                <w:sz w:val="20"/>
                <w:szCs w:val="20"/>
                <w:color w:val="auto"/>
              </w:rPr>
            </w:pPr>
            <w:r>
              <w:rPr>
                <w:rFonts w:ascii="Arial" w:cs="Arial" w:eastAsia="Arial" w:hAnsi="Arial"/>
                <w:sz w:val="22"/>
                <w:szCs w:val="22"/>
                <w:color w:val="auto"/>
              </w:rPr>
              <w:t>Net property and equipment</w:t>
            </w: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31.8</w:t>
            </w:r>
          </w:p>
        </w:tc>
        <w:tc>
          <w:tcPr>
            <w:tcW w:w="1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31.5</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40" w:type="dxa"/>
            <w:vAlign w:val="bottom"/>
          </w:tcPr>
          <w:p>
            <w:pPr>
              <w:ind w:left="660"/>
              <w:spacing w:after="0" w:line="243" w:lineRule="exact"/>
              <w:rPr>
                <w:sz w:val="20"/>
                <w:szCs w:val="20"/>
                <w:color w:val="auto"/>
              </w:rPr>
            </w:pPr>
            <w:r>
              <w:rPr>
                <w:rFonts w:ascii="Arial" w:cs="Arial" w:eastAsia="Arial" w:hAnsi="Arial"/>
                <w:sz w:val="22"/>
                <w:szCs w:val="22"/>
                <w:color w:val="auto"/>
              </w:rPr>
              <w:t>Other noncurrent</w:t>
            </w:r>
          </w:p>
        </w:tc>
        <w:tc>
          <w:tcPr>
            <w:tcW w:w="9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0.6</w:t>
            </w:r>
          </w:p>
        </w:tc>
        <w:tc>
          <w:tcPr>
            <w:tcW w:w="14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0.6</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860"/>
              <w:spacing w:after="0" w:line="243" w:lineRule="exact"/>
              <w:rPr>
                <w:sz w:val="20"/>
                <w:szCs w:val="20"/>
                <w:color w:val="auto"/>
              </w:rPr>
            </w:pPr>
            <w:r>
              <w:rPr>
                <w:rFonts w:ascii="Arial" w:cs="Arial" w:eastAsia="Arial" w:hAnsi="Arial"/>
                <w:sz w:val="22"/>
                <w:szCs w:val="22"/>
                <w:color w:val="auto"/>
              </w:rPr>
              <w:t>Total assets</w:t>
            </w:r>
          </w:p>
        </w:tc>
        <w:tc>
          <w:tcPr>
            <w:tcW w:w="920" w:type="dxa"/>
            <w:vAlign w:val="bottom"/>
          </w:tcPr>
          <w:p>
            <w:pPr>
              <w:jc w:val="right"/>
              <w:ind w:right="76"/>
              <w:spacing w:after="0" w:line="243" w:lineRule="exact"/>
              <w:rPr>
                <w:sz w:val="20"/>
                <w:szCs w:val="20"/>
                <w:color w:val="auto"/>
              </w:rPr>
            </w:pPr>
            <w:r>
              <w:rPr>
                <w:rFonts w:ascii="Arial" w:cs="Arial" w:eastAsia="Arial" w:hAnsi="Arial"/>
                <w:sz w:val="22"/>
                <w:szCs w:val="22"/>
                <w:color w:val="auto"/>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166.4</w:t>
            </w:r>
          </w:p>
        </w:tc>
        <w:tc>
          <w:tcPr>
            <w:tcW w:w="22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171.4</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660"/>
              <w:spacing w:after="0" w:line="243" w:lineRule="exact"/>
              <w:rPr>
                <w:sz w:val="20"/>
                <w:szCs w:val="20"/>
                <w:color w:val="auto"/>
              </w:rPr>
            </w:pPr>
            <w:r>
              <w:rPr>
                <w:rFonts w:ascii="Arial" w:cs="Arial" w:eastAsia="Arial" w:hAnsi="Arial"/>
                <w:sz w:val="22"/>
                <w:szCs w:val="22"/>
                <w:b w:val="1"/>
                <w:bCs w:val="1"/>
                <w:color w:val="auto"/>
              </w:rPr>
              <w:t>Liabilities and Stockholders’ Equity</w:t>
            </w: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660"/>
              <w:spacing w:after="0" w:line="243" w:lineRule="exact"/>
              <w:rPr>
                <w:sz w:val="20"/>
                <w:szCs w:val="20"/>
                <w:color w:val="auto"/>
              </w:rPr>
            </w:pPr>
            <w:r>
              <w:rPr>
                <w:rFonts w:ascii="Arial" w:cs="Arial" w:eastAsia="Arial" w:hAnsi="Arial"/>
                <w:sz w:val="22"/>
                <w:szCs w:val="22"/>
                <w:color w:val="auto"/>
              </w:rPr>
              <w:t>Current liabilities:</w:t>
            </w: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760"/>
              <w:spacing w:after="0" w:line="243" w:lineRule="exact"/>
              <w:rPr>
                <w:sz w:val="20"/>
                <w:szCs w:val="20"/>
                <w:color w:val="auto"/>
              </w:rPr>
            </w:pPr>
            <w:r>
              <w:rPr>
                <w:rFonts w:ascii="Arial" w:cs="Arial" w:eastAsia="Arial" w:hAnsi="Arial"/>
                <w:sz w:val="22"/>
                <w:szCs w:val="22"/>
                <w:color w:val="auto"/>
              </w:rPr>
              <w:t>Accounts payable and accrued liabilities</w:t>
            </w:r>
          </w:p>
        </w:tc>
        <w:tc>
          <w:tcPr>
            <w:tcW w:w="920" w:type="dxa"/>
            <w:vAlign w:val="bottom"/>
            <w:shd w:val="clear" w:color="auto" w:fill="CCEEFF"/>
          </w:tcPr>
          <w:p>
            <w:pPr>
              <w:jc w:val="right"/>
              <w:ind w:right="76"/>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12.5</w:t>
            </w:r>
          </w:p>
        </w:tc>
        <w:tc>
          <w:tcPr>
            <w:tcW w:w="22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10.5</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Income taxes</w:t>
            </w:r>
          </w:p>
        </w:tc>
        <w:tc>
          <w:tcPr>
            <w:tcW w:w="9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1.2</w:t>
            </w:r>
          </w:p>
        </w:tc>
        <w:tc>
          <w:tcPr>
            <w:tcW w:w="14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0.7</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860"/>
              <w:spacing w:after="0" w:line="243" w:lineRule="exact"/>
              <w:rPr>
                <w:sz w:val="20"/>
                <w:szCs w:val="20"/>
                <w:color w:val="auto"/>
              </w:rPr>
            </w:pPr>
            <w:r>
              <w:rPr>
                <w:rFonts w:ascii="Arial" w:cs="Arial" w:eastAsia="Arial" w:hAnsi="Arial"/>
                <w:sz w:val="22"/>
                <w:szCs w:val="22"/>
                <w:color w:val="auto"/>
              </w:rPr>
              <w:t>Total current liabilities</w:t>
            </w: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13.7</w:t>
            </w:r>
          </w:p>
        </w:tc>
        <w:tc>
          <w:tcPr>
            <w:tcW w:w="1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11.2</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660"/>
              <w:spacing w:after="0" w:line="243" w:lineRule="exact"/>
              <w:rPr>
                <w:sz w:val="20"/>
                <w:szCs w:val="20"/>
                <w:color w:val="auto"/>
              </w:rPr>
            </w:pPr>
            <w:r>
              <w:rPr>
                <w:rFonts w:ascii="Arial" w:cs="Arial" w:eastAsia="Arial" w:hAnsi="Arial"/>
                <w:sz w:val="22"/>
                <w:szCs w:val="22"/>
                <w:color w:val="auto"/>
              </w:rPr>
              <w:t>Deferred income taxes</w:t>
            </w: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3.2</w:t>
            </w:r>
          </w:p>
        </w:tc>
        <w:tc>
          <w:tcPr>
            <w:tcW w:w="1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3.4</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40" w:type="dxa"/>
            <w:vAlign w:val="bottom"/>
          </w:tcPr>
          <w:p>
            <w:pPr>
              <w:ind w:left="660"/>
              <w:spacing w:after="0" w:line="243" w:lineRule="exact"/>
              <w:rPr>
                <w:sz w:val="20"/>
                <w:szCs w:val="20"/>
                <w:color w:val="auto"/>
              </w:rPr>
            </w:pPr>
            <w:r>
              <w:rPr>
                <w:rFonts w:ascii="Arial" w:cs="Arial" w:eastAsia="Arial" w:hAnsi="Arial"/>
                <w:sz w:val="22"/>
                <w:szCs w:val="22"/>
                <w:color w:val="auto"/>
              </w:rPr>
              <w:t>Stockholders’ equity</w:t>
            </w:r>
          </w:p>
        </w:tc>
        <w:tc>
          <w:tcPr>
            <w:tcW w:w="9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149.5</w:t>
            </w:r>
          </w:p>
        </w:tc>
        <w:tc>
          <w:tcPr>
            <w:tcW w:w="14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156.8</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860"/>
              <w:spacing w:after="0" w:line="243" w:lineRule="exact"/>
              <w:rPr>
                <w:sz w:val="20"/>
                <w:szCs w:val="20"/>
                <w:color w:val="auto"/>
              </w:rPr>
            </w:pPr>
            <w:r>
              <w:rPr>
                <w:rFonts w:ascii="Arial" w:cs="Arial" w:eastAsia="Arial" w:hAnsi="Arial"/>
                <w:sz w:val="22"/>
                <w:szCs w:val="22"/>
                <w:color w:val="auto"/>
              </w:rPr>
              <w:t>Total liabilities and stockholders’ equity</w:t>
            </w:r>
          </w:p>
        </w:tc>
        <w:tc>
          <w:tcPr>
            <w:tcW w:w="920" w:type="dxa"/>
            <w:vAlign w:val="bottom"/>
          </w:tcPr>
          <w:p>
            <w:pPr>
              <w:jc w:val="right"/>
              <w:ind w:right="76"/>
              <w:spacing w:after="0" w:line="243" w:lineRule="exact"/>
              <w:rPr>
                <w:sz w:val="20"/>
                <w:szCs w:val="20"/>
                <w:color w:val="auto"/>
              </w:rPr>
            </w:pPr>
            <w:r>
              <w:rPr>
                <w:rFonts w:ascii="Arial" w:cs="Arial" w:eastAsia="Arial" w:hAnsi="Arial"/>
                <w:sz w:val="22"/>
                <w:szCs w:val="22"/>
                <w:color w:val="auto"/>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166.4</w:t>
            </w:r>
          </w:p>
        </w:tc>
        <w:tc>
          <w:tcPr>
            <w:tcW w:w="22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171.4</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420"/>
          </w:cols>
          <w:pgMar w:left="240" w:top="36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5796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11480"/>
                    </a:xfrm>
                    <a:prstGeom prst="rect">
                      <a:avLst/>
                    </a:prstGeom>
                    <a:noFill/>
                  </pic:spPr>
                </pic:pic>
              </a:graphicData>
            </a:graphic>
          </wp:anchor>
        </w:drawing>
        <w:t>PRESS RELEASE</w:t>
      </w:r>
    </w:p>
    <w:p>
      <w:pPr>
        <w:sectPr>
          <w:pgSz w:w="11900" w:h="16838" w:orient="portrait"/>
          <w:cols w:equalWidth="0" w:num="1">
            <w:col w:w="11420"/>
          </w:cols>
          <w:pgMar w:left="240" w:top="1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160" w:space="720"/>
            <w:col w:w="4540"/>
          </w:cols>
          <w:pgMar w:left="240" w:top="1233"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160" w:space="720"/>
            <w:col w:w="4540"/>
          </w:cols>
          <w:pgMar w:left="240" w:top="1233" w:right="2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COMPX DECLARES REGULAR QUARTERLY DIVIDEND</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DALLAS, TEXAS . . . August 6, 2019 . . . CompX International Inc. (NYSE American: CIX) announced today that its board of directors has declared CompX’s regular quarterly dividend of seven cents ($0.07) per share on its class A common stock, payable on September 10, 2019 to stockholders of record at the close of business on September 3, 2019.</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 * *</w:t>
      </w:r>
    </w:p>
    <w:sectPr>
      <w:pgSz w:w="11900" w:h="16838" w:orient="portrait"/>
      <w:cols w:equalWidth="0" w:num="1">
        <w:col w:w="11420"/>
      </w:cols>
      <w:pgMar w:left="240" w:top="1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2019-12-28T08:32:04Z</dcterms:created>
  <dcterms:modified xsi:type="dcterms:W3CDTF">2019-12-28T08:32:04Z</dcterms:modified>
</cp:coreProperties>
</file>