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53975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78105</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53" w:lineRule="exact"/>
        <w:rPr>
          <w:sz w:val="24"/>
          <w:szCs w:val="24"/>
          <w:color w:val="auto"/>
        </w:rPr>
      </w:pPr>
    </w:p>
    <w:p>
      <w:pPr>
        <w:ind w:left="2860" w:right="1560" w:hanging="1307"/>
        <w:spacing w:after="0" w:line="262" w:lineRule="auto"/>
        <w:tabs>
          <w:tab w:leader="none" w:pos="219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2024</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0" w:lineRule="exact"/>
        <w:rPr>
          <w:sz w:val="24"/>
          <w:szCs w:val="24"/>
          <w:color w:val="auto"/>
        </w:rPr>
      </w:pPr>
    </w:p>
    <w:p>
      <w:pPr>
        <w:ind w:left="2860" w:right="1560" w:hanging="1315"/>
        <w:spacing w:after="0" w:line="262" w:lineRule="auto"/>
        <w:tabs>
          <w:tab w:leader="none" w:pos="2185"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0"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 to _________</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1-13905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124460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COMPX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133985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17" w:lineRule="exact"/>
        <w:rPr>
          <w:sz w:val="24"/>
          <w:szCs w:val="24"/>
          <w:color w:val="auto"/>
        </w:rPr>
      </w:pPr>
    </w:p>
    <w:p>
      <w:pPr>
        <w:ind w:left="19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57-0981653</w:t>
      </w:r>
    </w:p>
    <w:p>
      <w:pPr>
        <w:spacing w:after="0" w:line="31" w:lineRule="exact"/>
        <w:rPr>
          <w:sz w:val="24"/>
          <w:szCs w:val="24"/>
          <w:color w:val="auto"/>
        </w:rPr>
      </w:pPr>
    </w:p>
    <w:p>
      <w:pPr>
        <w:ind w:left="138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(State or other jurisdiction of</w:t>
      </w:r>
      <w:r>
        <w:rPr>
          <w:sz w:val="20"/>
          <w:szCs w:val="20"/>
          <w:color w:val="auto"/>
        </w:rPr>
        <w:tab/>
      </w: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ind w:left="1320"/>
        <w:spacing w:after="0"/>
        <w:tabs>
          <w:tab w:leader="none" w:pos="6980" w:val="left"/>
        </w:tabs>
        <w:rPr>
          <w:sz w:val="20"/>
          <w:szCs w:val="20"/>
          <w:color w:val="auto"/>
        </w:rPr>
      </w:pPr>
      <w:r>
        <w:rPr>
          <w:rFonts w:ascii="Times New Roman" w:cs="Times New Roman" w:eastAsia="Times New Roman" w:hAnsi="Times New Roman"/>
          <w:sz w:val="18"/>
          <w:szCs w:val="18"/>
          <w:b w:val="1"/>
          <w:bCs w:val="1"/>
          <w:color w:val="auto"/>
        </w:rPr>
        <w:t>incorporation or organization)</w:t>
      </w:r>
      <w:r>
        <w:rPr>
          <w:sz w:val="20"/>
          <w:szCs w:val="20"/>
          <w:color w:val="auto"/>
        </w:rPr>
        <w:tab/>
      </w:r>
      <w:r>
        <w:rPr>
          <w:rFonts w:ascii="Times New Roman" w:cs="Times New Roman" w:eastAsia="Times New Roman" w:hAnsi="Times New Roman"/>
          <w:sz w:val="18"/>
          <w:szCs w:val="18"/>
          <w:b w:val="1"/>
          <w:bCs w:val="1"/>
          <w:color w:val="auto"/>
        </w:rPr>
        <w:t>Identification No.)</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5430 LBJ Freeway, Suite 1700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75240-2620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448-1400</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1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311"/>
        </w:trPr>
        <w:tc>
          <w:tcPr>
            <w:tcW w:w="20" w:type="dxa"/>
            <w:vAlign w:val="bottom"/>
          </w:tcPr>
          <w:p>
            <w:pPr>
              <w:spacing w:after="0"/>
              <w:rPr>
                <w:sz w:val="24"/>
                <w:szCs w:val="24"/>
                <w:color w:val="auto"/>
              </w:rPr>
            </w:pPr>
          </w:p>
        </w:tc>
        <w:tc>
          <w:tcPr>
            <w:tcW w:w="412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20" w:type="dxa"/>
            <w:vAlign w:val="bottom"/>
          </w:tcPr>
          <w:p>
            <w:pPr>
              <w:spacing w:after="0"/>
              <w:rPr>
                <w:sz w:val="18"/>
                <w:szCs w:val="18"/>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Class A common stock</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CIX</w:t>
            </w:r>
          </w:p>
        </w:tc>
        <w:tc>
          <w:tcPr>
            <w:tcW w:w="160" w:type="dxa"/>
            <w:vAlign w:val="bottom"/>
          </w:tcPr>
          <w:p>
            <w:pPr>
              <w:spacing w:after="0"/>
              <w:rPr>
                <w:sz w:val="18"/>
                <w:szCs w:val="18"/>
                <w:color w:val="auto"/>
              </w:rPr>
            </w:pPr>
          </w:p>
        </w:tc>
        <w:tc>
          <w:tcPr>
            <w:tcW w:w="4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NYSE American</w:t>
            </w:r>
          </w:p>
        </w:tc>
      </w:tr>
    </w:tbl>
    <w:p>
      <w:pPr>
        <w:spacing w:after="0" w:line="9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74"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87"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line="207" w:lineRule="exact"/>
        <w:tabs>
          <w:tab w:leader="none" w:pos="38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Accelerated filer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tabs>
          <w:tab w:leader="none" w:pos="2900" w:val="left"/>
          <w:tab w:leader="none" w:pos="52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46" w:lineRule="exact"/>
        <w:rPr>
          <w:sz w:val="24"/>
          <w:szCs w:val="24"/>
          <w:color w:val="auto"/>
        </w:rPr>
      </w:pPr>
    </w:p>
    <w:p>
      <w:pPr>
        <w:sectPr>
          <w:pgSz w:w="11900" w:h="16838" w:orient="portrait"/>
          <w:cols w:equalWidth="0" w:num="2">
            <w:col w:w="4100" w:space="720"/>
            <w:col w:w="5400"/>
          </w:cols>
          <w:pgMar w:left="840" w:top="661" w:right="839" w:bottom="1440" w:gutter="0" w:footer="0" w:header="0"/>
          <w:type w:val="continuous"/>
        </w:sectPr>
      </w:pPr>
    </w:p>
    <w:p>
      <w:pPr>
        <w:ind w:right="20"/>
        <w:spacing w:after="0" w:line="221"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52" w:lineRule="exact"/>
        <w:rPr>
          <w:sz w:val="24"/>
          <w:szCs w:val="24"/>
          <w:color w:val="auto"/>
        </w:rPr>
      </w:pPr>
    </w:p>
    <w:p>
      <w:pPr>
        <w:spacing w:after="0" w:line="184" w:lineRule="exact"/>
        <w:tabs>
          <w:tab w:leader="none" w:pos="8520" w:val="left"/>
        </w:tabs>
        <w:rPr>
          <w:sz w:val="20"/>
          <w:szCs w:val="20"/>
          <w:color w:val="auto"/>
        </w:rPr>
      </w:pPr>
      <w:r>
        <w:rPr>
          <w:rFonts w:ascii="Times New Roman" w:cs="Times New Roman" w:eastAsia="Times New Roman" w:hAnsi="Times New Roman"/>
          <w:sz w:val="16"/>
          <w:szCs w:val="16"/>
          <w:b w:val="1"/>
          <w:bCs w:val="1"/>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ab/>
        <w:t xml:space="preserve">No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w:t>
      </w:r>
    </w:p>
    <w:p>
      <w:pPr>
        <w:spacing w:after="0" w:line="188"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As of November 1, 2024, the registrant had 12,318,557 shares of Class A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775970</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141605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184785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4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7480" w:type="dxa"/>
            <w:vAlign w:val="bottom"/>
            <w:gridSpan w:val="16"/>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Balance Sheets – December 31, 2023 and September 30, 2024 (unaudited)</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Income and Comprehensive Income (unaudited) – Three and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0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nine months ended September 30, 2023 and 2024</w:t>
            </w:r>
          </w:p>
        </w:tc>
        <w:tc>
          <w:tcPr>
            <w:tcW w:w="26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- 4 -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(unaudited) – Three and nine months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ended September 30, 2023 and 2024</w:t>
            </w:r>
          </w:p>
        </w:tc>
        <w:tc>
          <w:tcPr>
            <w:tcW w:w="4260" w:type="dxa"/>
            <w:vAlign w:val="bottom"/>
            <w:tcBorders>
              <w:top w:val="single" w:sz="8" w:color="0000EE"/>
            </w:tcBorders>
            <w:gridSpan w:val="5"/>
          </w:tcPr>
          <w:p>
            <w:pPr>
              <w:spacing w:after="0"/>
              <w:rPr>
                <w:sz w:val="17"/>
                <w:szCs w:val="17"/>
                <w:color w:val="auto"/>
              </w:rPr>
            </w:pPr>
          </w:p>
        </w:tc>
        <w:tc>
          <w:tcPr>
            <w:tcW w:w="400" w:type="dxa"/>
            <w:vAlign w:val="bottom"/>
            <w:gridSpan w:val="3"/>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- 5 -</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 – Nine months ended September 30,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2023 and 2024</w:t>
            </w:r>
          </w:p>
        </w:tc>
        <w:tc>
          <w:tcPr>
            <w:tcW w:w="5960" w:type="dxa"/>
            <w:vAlign w:val="bottom"/>
            <w:tcBorders>
              <w:top w:val="single" w:sz="8" w:color="0000EE"/>
            </w:tcBorders>
            <w:gridSpan w:val="11"/>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- 6 -</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Notes to Condensed Consolidated Financial Statements (unaudited)</w:t>
            </w:r>
          </w:p>
        </w:tc>
        <w:tc>
          <w:tcPr>
            <w:tcW w:w="2640" w:type="dxa"/>
            <w:vAlign w:val="bottom"/>
            <w:gridSpan w:val="5"/>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- 7 -</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2.</w:t>
            </w: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Quantitative and Qualitative Disclosure About Market Risk</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8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48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260" w:type="dxa"/>
            <w:vAlign w:val="bottom"/>
            <w:gridSpan w:val="2"/>
          </w:tcPr>
          <w:p>
            <w:pPr>
              <w:spacing w:after="0"/>
              <w:rPr>
                <w:sz w:val="24"/>
                <w:szCs w:val="24"/>
                <w:color w:val="auto"/>
              </w:rPr>
            </w:pP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18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6.</w:t>
            </w: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Exhibits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900" w:type="dxa"/>
            <w:vAlign w:val="bottom"/>
            <w:gridSpan w:val="1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32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auto"/>
              </w:rPr>
              <w:t>Items 2, 3, 4 and 5 of Part II are omitted because there is no information to report.</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60" w:type="dxa"/>
            <w:vAlign w:val="bottom"/>
            <w:gridSpan w:val="10"/>
          </w:tcPr>
          <w:p>
            <w:pPr>
              <w:jc w:val="right"/>
              <w:ind w:right="480"/>
              <w:spacing w:after="0"/>
              <w:rPr>
                <w:sz w:val="20"/>
                <w:szCs w:val="20"/>
                <w:color w:val="auto"/>
              </w:rPr>
            </w:pPr>
            <w:r>
              <w:rPr>
                <w:rFonts w:ascii="Times New Roman" w:cs="Times New Roman" w:eastAsia="Times New Roman" w:hAnsi="Times New Roman"/>
                <w:sz w:val="18"/>
                <w:szCs w:val="18"/>
                <w:color w:val="auto"/>
              </w:rPr>
              <w:t>- 2 -</w:t>
            </w: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602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COMPX INTERNATIONAL INC.</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2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960" w:type="dxa"/>
            <w:vAlign w:val="bottom"/>
          </w:tcPr>
          <w:p>
            <w:pPr>
              <w:jc w:val="center"/>
              <w:ind w:left="23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96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2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126,630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103,499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 receivable from affiliate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32,346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Buildings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187,604</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52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15,745</w:t>
            </w:r>
          </w:p>
        </w:tc>
        <w:tc>
          <w:tcPr>
            <w:tcW w:w="2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 payable to affiliate</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17,205</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Class A common stock</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91,811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Accumulated other comprehensive loss -</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20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168,849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145,330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187,604</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Commitments and contingencies (Note 8)</w:t>
      </w:r>
    </w:p>
    <w:p>
      <w:pPr>
        <w:spacing w:after="0" w:line="36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9019"/>
          </w:cols>
          <w:pgMar w:left="1440" w:top="5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500" w:type="dxa"/>
            <w:vAlign w:val="bottom"/>
            <w:gridSpan w:val="7"/>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4"/>
          </w:tcPr>
          <w:p>
            <w:pPr>
              <w:jc w:val="right"/>
              <w:ind w:right="550"/>
              <w:spacing w:after="0" w:line="196"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40,355</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33,667</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118,122</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24,199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82,526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9,468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marketable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 adjustment: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Unrealized income (loss) arising during year, net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per common share</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12,319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100" w:type="dxa"/>
            <w:vAlign w:val="bottom"/>
            <w:tcBorders>
              <w:bottom w:val="single" w:sz="8" w:color="auto"/>
            </w:tcBorders>
            <w:gridSpan w:val="2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Three months ended September 30, 2023 and 2024 (unaudited)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20"/>
              <w:spacing w:after="0" w:line="172" w:lineRule="exact"/>
              <w:rPr>
                <w:sz w:val="20"/>
                <w:szCs w:val="20"/>
                <w:color w:val="auto"/>
              </w:rPr>
            </w:pPr>
            <w:r>
              <w:rPr>
                <w:rFonts w:ascii="Times New Roman" w:cs="Times New Roman" w:eastAsia="Times New Roman" w:hAnsi="Times New Roman"/>
                <w:sz w:val="17"/>
                <w:szCs w:val="17"/>
                <w:b w:val="1"/>
                <w:bCs w:val="1"/>
                <w:color w:val="auto"/>
                <w:w w:val="99"/>
              </w:rPr>
              <w:t>Accumulated</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common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paid-in</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comprehensive</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loss</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53,275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$ 109,160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162,439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($.25 per share)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53,275</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111,839</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165,148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53,396</w:t>
            </w:r>
          </w:p>
        </w:tc>
        <w:tc>
          <w:tcPr>
            <w:tcW w:w="10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$ 116,665</w:t>
            </w:r>
          </w:p>
        </w:tc>
        <w:tc>
          <w:tcPr>
            <w:tcW w:w="36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170,183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($2.30 per share)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(28,332)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53,396</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91,811</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145,330</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gridSpan w:val="21"/>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 and 2024 (unaudited)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00" w:type="dxa"/>
            <w:vAlign w:val="bottom"/>
          </w:tcPr>
          <w:p>
            <w:pPr>
              <w:spacing w:after="0"/>
              <w:rPr>
                <w:sz w:val="17"/>
                <w:szCs w:val="17"/>
                <w:color w:val="auto"/>
              </w:rPr>
            </w:pPr>
          </w:p>
        </w:tc>
        <w:tc>
          <w:tcPr>
            <w:tcW w:w="86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18"/>
                <w:szCs w:val="18"/>
                <w:color w:val="auto"/>
              </w:rPr>
            </w:pPr>
          </w:p>
        </w:tc>
        <w:tc>
          <w:tcPr>
            <w:tcW w:w="8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8"/>
                <w:szCs w:val="18"/>
                <w:color w:val="auto"/>
              </w:rPr>
            </w:pPr>
          </w:p>
        </w:tc>
        <w:tc>
          <w:tcPr>
            <w:tcW w:w="1180" w:type="dxa"/>
            <w:vAlign w:val="bottom"/>
            <w:gridSpan w:val="4"/>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comprehensive</w:t>
            </w:r>
          </w:p>
        </w:tc>
        <w:tc>
          <w:tcPr>
            <w:tcW w:w="100" w:type="dxa"/>
            <w:vAlign w:val="bottom"/>
          </w:tcPr>
          <w:p>
            <w:pPr>
              <w:spacing w:after="0"/>
              <w:rPr>
                <w:sz w:val="18"/>
                <w:szCs w:val="18"/>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loss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53,155</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$ 105,175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dividends ($.75 per share)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53,275</w:t>
            </w: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$ 111,839</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8"/>
                <w:szCs w:val="18"/>
                <w:color w:val="auto"/>
              </w:rPr>
            </w:pPr>
          </w:p>
        </w:tc>
        <w:tc>
          <w:tcPr>
            <w:tcW w:w="28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53,275</w:t>
            </w:r>
          </w:p>
        </w:tc>
        <w:tc>
          <w:tcPr>
            <w:tcW w:w="6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$ 115,457</w:t>
            </w:r>
          </w:p>
        </w:tc>
        <w:tc>
          <w:tcPr>
            <w:tcW w:w="80" w:type="dxa"/>
            <w:vAlign w:val="bottom"/>
          </w:tcPr>
          <w:p>
            <w:pPr>
              <w:spacing w:after="0"/>
              <w:rPr>
                <w:sz w:val="18"/>
                <w:szCs w:val="18"/>
                <w:color w:val="auto"/>
              </w:rPr>
            </w:pPr>
          </w:p>
        </w:tc>
        <w:tc>
          <w:tcPr>
            <w:tcW w:w="3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($2.90 per share)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(35,722)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53,396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91,811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tbl>
      <w:tblPr>
        <w:tblLayout w:type="fixed"/>
        <w:tblInd w:w="60" w:type="dxa"/>
        <w:tblCellMar>
          <w:top w:w="0" w:type="dxa"/>
          <w:left w:w="0" w:type="dxa"/>
          <w:bottom w:w="0" w:type="dxa"/>
          <w:right w:w="0" w:type="dxa"/>
        </w:tblCellMar>
      </w:tblPr>
      <w:tr>
        <w:trPr>
          <w:trHeight w:val="207"/>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58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COMPX INTERNATIONAL INC.</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5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3"/>
          </w:tcPr>
          <w:p>
            <w:pPr>
              <w:jc w:val="right"/>
              <w:ind w:right="36"/>
              <w:spacing w:after="0" w:line="196"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72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Noncash interest income</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Inventories, net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Accounts with affiliates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Prepaids and other, net</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2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15,611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Purchases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Proceeds from maturities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 receivable from affiliate:</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Collections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Advances</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(11,689)</w:t>
            </w:r>
          </w:p>
        </w:tc>
        <w:tc>
          <w:tcPr>
            <w:tcW w:w="2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(35,722)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 net change from:</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investing and financing activities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26,748</w:t>
            </w: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17,595</w:t>
            </w:r>
          </w:p>
        </w:tc>
        <w:tc>
          <w:tcPr>
            <w:tcW w:w="2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5,315</w:t>
            </w:r>
          </w:p>
        </w:tc>
        <w:tc>
          <w:tcPr>
            <w:tcW w:w="72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5,154</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We (NYSE American: CIX) were approximately 87% owned by NL Industries, Inc. (NYSE: NL)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At September 30, 2024, Valhi, Inc. (NYSE: VHI) owned approximately 83% of NL’s outstanding common stock and a wholly-owned subsidiary of Contran Corporation owned approximately 91% of Valhi’s outstanding common stock. A majority of Contran’s outstanding voting stock is held directly by Lisa K. Simmons, and by family stockholders (Thomas C. Connelly (the husband of Ms. Simmons’ late sister), a family-owned entity and various family trusts established for the benefit of Ms. Simmons, Mr. Connelly and their children) who are required to vote their shares of Contran voting stock in the same manner as Ms. Simmons. Such voting rights are personal to Ms. Simmons and last through April 22, 2030. The remainder of Contran’s outstanding voting stock is held by another trust (the “Family Trust”), which was established for the benefit of Ms. Simmons and her late sister and their children and for which a third-party financial institution serves as trustee. Consequently, at September 30, 2024 Ms. Simmons and the Family Trust may be deemed to control Contran, and therefore may be deemed to indirectly control the wholly-owned subsidiary of Contran, Valhi, NL and us.</w:t>
      </w:r>
    </w:p>
    <w:p>
      <w:pPr>
        <w:spacing w:after="0" w:line="19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Consolidated in this Quarterly Report are the results of CompX International Inc.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The unaudited Condensed Consolidated Financial Statements contained in this Quarterly Report have been prepared on the same basis as the audited Consolidated Financial Statements included in our Annual Report on Form 10-K for the year ended December 31, 2023 that we filed with the Securities and Exchange Commission (“SEC”) on February 28, 2024 (the “2023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2023 contained in this Quarterly Report as compared to our audited Consolidated Financial Statements at that date, and we have omitted certain information and footnote disclosures (including those related to the Consolidated Balance Sheet at December 31, 2023) normally included in financial statements prepared in accordance with accounting principles generally accepted in the United States of America (“GAAP”). Our results of operations for the interim periods ended September 30, 2024 may not be indicative of our operating results for the full year. The Condensed Consolidated Financial Statements contained in this Quarterly Report should be read in conjunction with our 2023 Consolidated Financial Statements contained in our 2023 Annual Report.</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Cash dividends in 2024 include a $2.00 per share special dividend.</w:t>
      </w:r>
    </w:p>
    <w:p>
      <w:pPr>
        <w:spacing w:after="0" w:line="22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operations are reported on a 52 or 53-week year. For presentation purposes, annual and quarterly information in the Condensed Consolidated Financial Statements and accompanying notes are presented as ended September 30, 2023, December 31, 2023 and September 30, 2024. The actual dates of our annual and quarterly periods are October 1, 2023, December 31, 2023 and September 29, 2024, respectively. Unless otherwise indicated, references in this report to “we”, “us” or “our” refer to CompX International Inc.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 – Business segment information:</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8"/>
          </w:tcPr>
          <w:p>
            <w:pPr>
              <w:jc w:val="right"/>
              <w:ind w:right="52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Security Products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31,376</w:t>
            </w:r>
          </w:p>
        </w:tc>
        <w:tc>
          <w:tcPr>
            <w:tcW w:w="200" w:type="dxa"/>
            <w:vAlign w:val="bottom"/>
          </w:tcPr>
          <w:p>
            <w:pPr>
              <w:spacing w:after="0"/>
              <w:rPr>
                <w:sz w:val="18"/>
                <w:szCs w:val="18"/>
                <w:color w:val="auto"/>
              </w:rPr>
            </w:pPr>
          </w:p>
        </w:tc>
        <w:tc>
          <w:tcPr>
            <w:tcW w:w="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26,567</w:t>
            </w:r>
          </w:p>
        </w:tc>
        <w:tc>
          <w:tcPr>
            <w:tcW w:w="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84,390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84,667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Marine Components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33,732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22,858</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434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40,355</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33,667</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118,122</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107,525</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Security Products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4,553</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16,009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Marine Components</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603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(1,644)</w:t>
            </w: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operating income</w:t>
            </w: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3,349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17,952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12,145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4,584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20,955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auto"/>
              </w:rPr>
              <w:t>Intersegment sales are not material.</w:t>
            </w: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3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 Marketable securities:</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24"/>
                <w:szCs w:val="24"/>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Market value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cost basis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loss, net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40" w:type="dxa"/>
            <w:vAlign w:val="bottom"/>
            <w:gridSpan w:val="2"/>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2"/>
                <w:szCs w:val="22"/>
                <w:color w:val="auto"/>
              </w:rPr>
            </w:pPr>
          </w:p>
        </w:tc>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35,354</w:t>
            </w: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35,359</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3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marketable securities consist of investments in debt securities. We classify our marketable securities as available-for-sale. The fair value of our marketable securities is generally determined using Level 2 inputs because although these securities are traded, in many cases the market is not active and the quarter-end valuation is generally based on the last trade of the quarter, which may be several days prior to quarter end. We accumulate unrealized gains and losses on marketable debt securities as part of accumulated other comprehensive income (loss), net of related deferred income taxes.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Accounts receivable, net:</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23"/>
        </w:trPr>
        <w:tc>
          <w:tcPr>
            <w:tcW w:w="4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4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6"/>
        </w:trPr>
        <w:tc>
          <w:tcPr>
            <w:tcW w:w="4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4"/>
          </w:tcPr>
          <w:p>
            <w:pPr>
              <w:jc w:val="right"/>
              <w:ind w:right="85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11,653</w:t>
            </w: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2,875</w:t>
            </w:r>
          </w:p>
        </w:tc>
      </w:tr>
      <w:tr>
        <w:trPr>
          <w:trHeight w:val="216"/>
        </w:trPr>
        <w:tc>
          <w:tcPr>
            <w:tcW w:w="4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r>
      <w:tr>
        <w:trPr>
          <w:trHeight w:val="209"/>
        </w:trPr>
        <w:tc>
          <w:tcPr>
            <w:tcW w:w="42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17,061</w:t>
            </w: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14,458</w:t>
            </w:r>
          </w:p>
        </w:tc>
      </w:tr>
      <w:tr>
        <w:trPr>
          <w:trHeight w:val="20"/>
        </w:trPr>
        <w:tc>
          <w:tcPr>
            <w:tcW w:w="4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8" w:name="page9"/>
    <w:bookmarkEnd w:id="8"/>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Inventories, net: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Security Products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Marine Components</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raw materials</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Security Products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Marine Components</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work-in-process</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Security Products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Marine Components</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finished goods</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9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inventories, net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 Accounts payable and accrued liabilities:</w:t>
            </w: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59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2,514</w:t>
            </w:r>
          </w:p>
        </w:tc>
        <w:tc>
          <w:tcPr>
            <w:tcW w:w="180" w:type="dxa"/>
            <w:vAlign w:val="bottom"/>
          </w:tcPr>
          <w:p>
            <w:pPr>
              <w:spacing w:after="0"/>
              <w:rPr>
                <w:sz w:val="18"/>
                <w:szCs w:val="18"/>
                <w:color w:val="auto"/>
              </w:rPr>
            </w:pPr>
          </w:p>
        </w:tc>
        <w:tc>
          <w:tcPr>
            <w:tcW w:w="50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Corporate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affiliate - Contran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10,712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tooling</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15,745</w:t>
            </w:r>
          </w:p>
        </w:tc>
        <w:tc>
          <w:tcPr>
            <w:tcW w:w="18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440" w:type="dxa"/>
            <w:vAlign w:val="bottom"/>
          </w:tcPr>
          <w:p>
            <w:pPr>
              <w:jc w:val="right"/>
              <w:ind w:right="30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 Provision for income taxes: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4"/>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Expected tax expense, at the U.S. federal statutory</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income tax rate of 21%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1,106</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3,823</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provision for income taxes allocable to:</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 marketable securities</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00" w:right="1440"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121"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be involved in various environmental, contractual, product liability, patent (or intellectual property), employment and other claims and disputes incidental to our business. At least quarterly our management discusses and evaluates the status of any pending litigation to which we are a party. The factors considered in such evaluation include, among other things, the nature of such pending cases, the status of such pending cases, the advice of legal counsel and our experience in similar cases (if any). Based on such evaluation, we make a determination as to whether we believe (i) it is probable a loss has been incurred, and if so if the amount of such loss (or a range of loss) is reasonably estimable, or (ii) it is reasonably possible but not probable a loss has been incurred, and if so if the amount of such loss (or a range of loss) is reasonably estimable, or (iii) the probability a loss has been incurred is remote. We have not accrued any amounts for litigation matters because it is not reasonably possible we have incurred a loss that would be material to our consolidated financial statements, results of operations or liquidity.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 Financial instruments: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3 for information on how we determine the fair value of our marketable securities.</w:t>
      </w:r>
    </w:p>
    <w:p>
      <w:pPr>
        <w:spacing w:after="0" w:line="22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instruments that are not carried at fair value but which require fair value disclosure:</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187"/>
        </w:trPr>
        <w:tc>
          <w:tcPr>
            <w:tcW w:w="3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38"/>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96"/>
        </w:trPr>
        <w:tc>
          <w:tcPr>
            <w:tcW w:w="3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4"/>
          </w:tcPr>
          <w:p>
            <w:pPr>
              <w:jc w:val="right"/>
              <w:ind w:right="45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58,788</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58,788</w:t>
            </w: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Due to their near-term maturities, the carrying amounts of accounts receivable and accounts payable are considered equivalent to fair value.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under which, as amended, we agreed to loan Valhi up to $25 million. Our loan to Valhi, as amended, bears interest at prime plus 1.00%, payable quarterly, with all principal due on demand, but in any event no earlier than December 31, 2025. Loans made to Valhi at any time under the agreement are at our discretion. At September 30, 2024, the outstanding principal balance receivable from Valhi under the promissory note was $7.9 million. Interest income (including unused commitment fees) on our loan to Valhi was $.9 million and $.8 million for the nine months ended September 30, 2023 and 2024,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 Recent Accounting Pronouncements: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Segment Reporting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The ASU requires public companies to disclose significant segment expenses and other segment items on an annual and interim basis. The ASU also mandates public companies to provide all annual segment disclosures currently required annually in interim periods. Public companies will also be required to disclose the title and position of the chief operating decision maker (“CODM”) and explain how the CODM uses the reported measure of segment profit or loss in assessing segment performance and allocation of resources. The ASU is effective for us beginning with our 2024 Annual Report, and for interim reporting, in the first quarter of 2025, with retrospective application required. We are in the process of evaluating the additional disclosure requirements across all segments.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w:t>
      </w:r>
      <w:r>
        <w:rPr>
          <w:rFonts w:ascii="Times New Roman" w:cs="Times New Roman" w:eastAsia="Times New Roman" w:hAnsi="Times New Roman"/>
          <w:sz w:val="18"/>
          <w:szCs w:val="18"/>
          <w:i w:val="1"/>
          <w:iCs w:val="1"/>
          <w:color w:val="auto"/>
        </w:rPr>
        <w:t>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The ASU requires additional annual disclosure and disaggregation for the rate reconciliation,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and income tax expense by federal, state and foreign tax jurisdictions. In addition, the standard increases the disclosure requirements for items included in the rate reconciliation that meet a quantitative threshold. The ASU is effective for us beginning with our 2025 Annual Report. The ASU may be applied prospectively; however, entities have the option to apply it retrospectively. We are in the process of evaluating the additional disclosure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340" w:right="73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a leading manufacturer of engineered components utilized in a variety of applications and industries. Through our Security Products segment we manufacture mechanical and electrical cabinet locks and other locking mechanisms used in postal, recreational transportation, office and institutional furniture, cabinetry, tool storage and healthcare applications. We also manufacture wake enhancement systems, stainless steel exhaust systems, gauges, throttle controls, trim tabs and related hardware and accessories for the recreational marine and other industries through our Marine Components segment.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192" w:lineRule="exact"/>
        <w:rPr>
          <w:sz w:val="20"/>
          <w:szCs w:val="20"/>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demand for our products,</w:t>
      </w:r>
    </w:p>
    <w:p>
      <w:pPr>
        <w:spacing w:after="0" w:line="117" w:lineRule="exact"/>
        <w:rPr>
          <w:rFonts w:ascii="Times New Roman" w:cs="Times New Roman" w:eastAsia="Times New Roman" w:hAnsi="Times New Roman"/>
          <w:sz w:val="18"/>
          <w:szCs w:val="18"/>
          <w:color w:val="auto"/>
        </w:rPr>
      </w:pPr>
    </w:p>
    <w:p>
      <w:pPr>
        <w:jc w:val="both"/>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raw material and other operating costs (such as zinc, brass, aluminum, steel and energy costs) and our ability to pass those costs on to our customers or offset them with reductions in other operating costs,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product competition from low-cost manufacturing sources (such as China),</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pricing and production decisions,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competitor strategies including substitute products,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development of new products and product features,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possible future litigation,</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or defend our intellectual property rights,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in integrating future acquisitions,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to sell operating assets other than in the ordinary course of business,</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(such as those requiring emission and discharge standards for existing and new facilities),</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outcome of income tax audits, tax settlement initiatives or other tax matters, including future tax reform,</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laws and regulations and possible changes therein, including new environmental, health and safety, sustainability or other regulations,</w:t>
      </w:r>
    </w:p>
    <w:p>
      <w:pPr>
        <w:spacing w:after="0" w:line="53"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p>
      <w:pPr>
        <w:spacing w:after="0" w:line="395"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40" w:right="79" w:hanging="31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but not limited to, labor disputes, leaks, natural disasters, fires, explosions, unscheduled or unplanned downtime, transportation interruptions, certain regional and world events or economic conditions and public health crises);</w:t>
      </w:r>
    </w:p>
    <w:p>
      <w:pPr>
        <w:spacing w:after="0" w:line="67" w:lineRule="exact"/>
        <w:rPr>
          <w:rFonts w:ascii="Times New Roman" w:cs="Times New Roman" w:eastAsia="Times New Roman" w:hAnsi="Times New Roman"/>
          <w:sz w:val="18"/>
          <w:szCs w:val="18"/>
          <w:color w:val="auto"/>
        </w:rPr>
      </w:pPr>
    </w:p>
    <w:p>
      <w:pPr>
        <w:jc w:val="both"/>
        <w:ind w:left="1040" w:right="79" w:hanging="315"/>
        <w:spacing w:after="0" w:line="258"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related disruptions (including, but not limited to, cyber 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p>
      <w:pPr>
        <w:spacing w:after="0" w:line="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 of our business or increases in the cost of doing business resulting from terrorist activities or global conflicts.</w:t>
      </w:r>
    </w:p>
    <w:p>
      <w:pPr>
        <w:spacing w:after="0" w:line="162"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Income Overview</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Operating income in the third quarter of 2024 was $3.3 million compared to $6.6 million in the third quarter of 2023. The decrease in operating income in the third quarter of 2024 compared to 2023 is due to lower sales and gross margin at both Security Products and Marine Components. Operating income for the first nine months of 2024 was $12.1 million compared to $18.0 million in the first nine months of 2023. The decrease in operating income in the first nine months of 2024 compared to 2023 is primarily due to lower Marine Components sales and gross margin.</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3"/>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gridSpan w:val="9"/>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4"/>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(Dollars in</w:t>
            </w:r>
          </w:p>
        </w:tc>
        <w:tc>
          <w:tcPr>
            <w:tcW w:w="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100.0 % </w:t>
            </w: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33,667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27,736</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24,199</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71.9</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margin</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9,468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6,119</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income</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3,349</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1"/>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gridSpan w:val="9"/>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9"/>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(Dollars in</w:t>
            </w:r>
          </w:p>
        </w:tc>
        <w:tc>
          <w:tcPr>
            <w:tcW w:w="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100.0 % </w:t>
            </w: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107,525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20" w:type="dxa"/>
            <w:vAlign w:val="bottom"/>
          </w:tcPr>
          <w:p>
            <w:pPr>
              <w:spacing w:after="0"/>
              <w:rPr>
                <w:sz w:val="18"/>
                <w:szCs w:val="18"/>
                <w:color w:val="auto"/>
              </w:rPr>
            </w:pPr>
          </w:p>
        </w:tc>
      </w:tr>
      <w:tr>
        <w:trPr>
          <w:trHeight w:val="216"/>
        </w:trPr>
        <w:tc>
          <w:tcPr>
            <w:tcW w:w="4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82,526</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77,225</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71.8</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shd w:val="clear" w:color="auto" w:fill="CCEEFF"/>
          </w:tcPr>
          <w:p>
            <w:pPr>
              <w:spacing w:after="0"/>
              <w:rPr>
                <w:sz w:val="18"/>
                <w:szCs w:val="18"/>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margin</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17,644</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18,155</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17,952</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12,145</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$6.7 million in the third quarter of 2024 compared to the same period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lower Security Products sales to a government security customer and to a lesser extent lower Marine Components sales primarily to the towboat market. Net sales decreased $10.6 million for the first nine months of 2024</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compared to the same period in 2023 primarily due to lower Marine Components sales to the towboat market. See segment discussion below.</w:t>
      </w:r>
    </w:p>
    <w:p>
      <w:pPr>
        <w:spacing w:after="0" w:line="16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sales and gross margin. </w:t>
      </w:r>
      <w:r>
        <w:rPr>
          <w:rFonts w:ascii="Times New Roman" w:cs="Times New Roman" w:eastAsia="Times New Roman" w:hAnsi="Times New Roman"/>
          <w:sz w:val="18"/>
          <w:szCs w:val="18"/>
          <w:color w:val="auto"/>
        </w:rPr>
        <w:t>Cost of sales as a percentage of sales increased 3.2% in the third quarter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2023. As a result, gross margin as a percentage of sales decreased over the same period. Gross margin percentage decreased in the third quarter of 2024 compared to the same period in 2023 primarily due to lower gross margin percentages at both Security Products and Marine Components. Cost of sales as a percentage of sales increased 1.9% for the first nine months of 2024 compared to the same period in 2023. As a result, gross margin as a percentage of sales declined over the same period. The decline in gross margin percentage for the nine-month comparative period is primarily due to lower gross margin percentage at Marine Components. See segment discussion below.</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Operating costs and expenses consist primarily of sales and administrative-related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costs, sales commissions and advertising expenses directly related to product sales and administrative costs relating to business unit and corporate management activities, as well as any gains and losses on property and equipment. Operating costs and expenses for the third quarter of 2024 were comparable to the same period in 2023. For the first nine months of 2024, operating costs and expenses increased $.6 million compared to the same period in 2023 primarily due to higher employee salaries and benefits at Security Products during the first half of the year. Operating costs and expenses as a percentage of net sales increased for the third quarter of 2024 compared to the same period in 2023 due to decreased coverage of operating costs and expenses as a result of lower sales. Operating costs and expenses as a percentage of net sales increased for the first nine months of 2024 compared to the same period in 2023 due to decreased coverage of operating costs and expenses as a result of lower sales and higher operating costs as noted above.</w:t>
      </w:r>
    </w:p>
    <w:p>
      <w:pPr>
        <w:spacing w:after="0" w:line="185"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As a percentage of net sales, operating income for the third quarter and the first nine months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same periods of 2023 was primarily impacted by the factors affecting sales, cost of sales, gross margin and operating costs and expenses. See segment discussion below.</w:t>
      </w:r>
    </w:p>
    <w:p>
      <w:pPr>
        <w:spacing w:after="0" w:line="17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increased $.2 million and $.8 million in the third quarter and for the first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2024, respectively, compared to the same periods in 2023 primarily due to higher average interest rates and higher average investment balances, somewhat offset by lower average balances on the revolving promissory note receivable from Valhi. See Notes 3 and 10 to our Condensed Consolidated Financial Statements.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A tabular reconciliation of our actual tax provision to the U.S. federal statutory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rate is included in Note 7 to the Condensed Consolidated Financial Statements. Our operations are wholly within the U.S. and therefore our effective income tax rate is primarily reflective of the U.S. federal statutory rate and applicable state taxes.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Key performance indicators for our segments are gross margin and operating income.</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(Dollars in</w:t>
            </w:r>
          </w:p>
        </w:tc>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0"/>
              </w:rPr>
              <w:t>thousands)</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4"/>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(Dollars in</w:t>
            </w:r>
          </w:p>
        </w:tc>
        <w:tc>
          <w:tcPr>
            <w:tcW w:w="7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3"/>
              </w:rPr>
              <w:t>thousands)</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Products: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31,376</w:t>
            </w:r>
          </w:p>
        </w:tc>
        <w:tc>
          <w:tcPr>
            <w:tcW w:w="20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26,567</w:t>
            </w: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84,390</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84,667</w:t>
            </w:r>
          </w:p>
        </w:tc>
        <w:tc>
          <w:tcPr>
            <w:tcW w:w="26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18,486</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58,862</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8,081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25,805</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3,528</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10,360</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4,553</w:t>
            </w:r>
          </w:p>
        </w:tc>
        <w:tc>
          <w:tcPr>
            <w:tcW w:w="26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16,009</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15,445</w:t>
            </w:r>
          </w:p>
        </w:tc>
        <w:tc>
          <w:tcPr>
            <w:tcW w:w="26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30.4 %</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30.5 %</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Security Products</w:t>
      </w:r>
      <w:r>
        <w:rPr>
          <w:rFonts w:ascii="Times New Roman" w:cs="Times New Roman" w:eastAsia="Times New Roman" w:hAnsi="Times New Roman"/>
          <w:sz w:val="18"/>
          <w:szCs w:val="18"/>
          <w:color w:val="auto"/>
        </w:rPr>
        <w:t>. Security Products net sales decreased 15% in the third quarter of 2024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2023 primarily due to lower sales for a government security customer related to a pilot project that began shipping in the third quarter of 2023 for which there were no related sales in the third quarter of 2024. Relative to prior year, sales</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were $5.0 million lower to the government security market and $1.4 million lower to the transportation market, partially offset by $1.2 million higher sales to the healthcare market. Security Products net sales in the first nine months of 2024 were comparable to the same period in 2023, as $1.5 million higher sales to the healthcare market and $.6 million higher sales to the tool storage market were offset by $1.1 million lower sales to the transportation market, $.7 million lower sales to distributors and $.4 million lower sales to the government security market.</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Gross margin as a percentage of net sales decreased for the third quarter of 2024 compared to the same period in 2023 primarily due to lower sales, higher materials costs (primarily brass and electronics), higher labor costs and decreased coverage of fixed costs as a result of lower sales. Operating income as a percentage of net sales decreased in the third quarter of 2024 compared to the same period in 2023 due to the factors impacting gross margin as well as decreased coverage of operating costs and expenses on lower sales. Gross margin as a percentage of net sales for the first nine months of 2024 is comparable to the same period in 2023. Operating income as a percentage of net sales decreased in the first nine months of 2024 compared to the same period in 2023 due to increased operating costs and expenses including higher employee salaries and benefits of $.4 million, primarily in the first half of the year.</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4"/>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(Dollars in</w:t>
            </w:r>
          </w:p>
        </w:tc>
        <w:tc>
          <w:tcPr>
            <w:tcW w:w="7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3"/>
              </w:rPr>
              <w:t>thousands)</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4"/>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(Dollars in</w:t>
            </w:r>
          </w:p>
        </w:tc>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2"/>
              </w:rPr>
              <w:t>thousands)</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Components: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7,100</w:t>
            </w:r>
          </w:p>
        </w:tc>
        <w:tc>
          <w:tcPr>
            <w:tcW w:w="28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33,732</w:t>
            </w:r>
          </w:p>
        </w:tc>
        <w:tc>
          <w:tcPr>
            <w:tcW w:w="18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22,858</w:t>
            </w: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sales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5,713</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3"/>
              </w:rPr>
              <w:t>(11)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18,363</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1,387</w:t>
            </w:r>
          </w:p>
        </w:tc>
        <w:tc>
          <w:tcPr>
            <w:tcW w:w="280" w:type="dxa"/>
            <w:vAlign w:val="bottom"/>
          </w:tcPr>
          <w:p>
            <w:pPr>
              <w:spacing w:after="0"/>
              <w:rPr>
                <w:sz w:val="18"/>
                <w:szCs w:val="18"/>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(46)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4,495</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784</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9"/>
              </w:rPr>
              <w:t>(13)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2,471</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603</w:t>
            </w:r>
          </w:p>
        </w:tc>
        <w:tc>
          <w:tcPr>
            <w:tcW w:w="28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w w:val="99"/>
              </w:rPr>
              <w:t>(64)</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19.5 %</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19.7 %</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Marine Components</w:t>
      </w:r>
      <w:r>
        <w:rPr>
          <w:rFonts w:ascii="Times New Roman" w:cs="Times New Roman" w:eastAsia="Times New Roman" w:hAnsi="Times New Roman"/>
          <w:sz w:val="18"/>
          <w:szCs w:val="18"/>
          <w:color w:val="auto"/>
        </w:rPr>
        <w:t>. Marine Components net sales decreased 21% in the third quarter of 2024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2023. Relative to prior year, the decrease in third quarter sales was primarily due to $1.3 million lower sales to the towboat market and $.5 million lower sales to the industrial market. Marine Components net sales decreased 32% in the first nine months of 2024 compared to the same period in 2023. Relative to prior year, the decrease in sales for the first nine months was primarily due to $8.7 million lower sales to the towboat market, $1.1 million lower sales to the industrial market and $.6 million lower sales to each the engine builder market and distributors.</w:t>
      </w:r>
    </w:p>
    <w:p>
      <w:pPr>
        <w:spacing w:after="0" w:line="184"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Gross margin as a percentage of sales decreased in the third quarter of 2024 compared to the same period in 2023 primarily due to lower sales and decreased coverage of fixed costs as a result of lower sales, partially offset by a more favorable customer and product mix as well as lower employee salaries and benefits of approximately $.5 million related to headcount reductions. Operating income as a percentage of net sales decreased in the third quarter of 2024 compared to the same period in 2023 due to the factors impacting gross margin as well as decreased coverage of operating costs and expenses on lower sales, partially offset by slightly reduced operating costs and expenses, including lower employee salaries and benefits of approximately $.1 million. For the first nine months of 2024, gross margin as a percentage of net sales declined compared to the same period in 2023 primarily due to higher cost inventory produced during the fourth quarter of 2023 and sold in the first quarter of 2024 and decreased coverage of fixed costs as a result of lower sales, partially offset by a more favorable customer and product mix as well as lower employee salaries and benefits of approximately $1.7 million related to headcount reductions. Operating income as a percentage of net sales decreased in the first nine months of 2024 compared to the same period in 2023 due to the factors impacting gross margin as well as decreased coverage of operating costs and expenses on lower sales, partially offset by reduced operating costs and expenses, including lower employee salaries and benefits of $.2 million.</w:t>
      </w:r>
    </w:p>
    <w:p>
      <w:pPr>
        <w:spacing w:after="0" w:line="195"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Outlook. </w:t>
      </w:r>
      <w:r>
        <w:rPr>
          <w:rFonts w:ascii="Times New Roman" w:cs="Times New Roman" w:eastAsia="Times New Roman" w:hAnsi="Times New Roman"/>
          <w:sz w:val="18"/>
          <w:szCs w:val="18"/>
          <w:color w:val="auto"/>
        </w:rPr>
        <w:t>As previously noted, beginning in the third quarter of 2023 Security Products had significant sales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pilot project to a government security customer. Excluding these sales in 2023, sales would have increased in the first nine months of 2024 as compared to the first nine months of 2023 due to increased sales across a variety of markets, particularly increased sales of mechanical locks to the government security market. At Marine Components, the decline in sales to the towboat market as a result of the contraction in the recreational marine industry that began late in the first quarter of 2023 has continued. We are focused on aligning our resources with current demand levels, and particularly at</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Marine Components, we are adjusting inventory levels, operating expenses and labor resources to align with current orders while also preserving our ability to respond quickly when demand increases. Raw material prices have been relatively stable during the first nine months of 2024; however, we are beginning to experience price increases in certain raw materials. Our supply chains are stable and transportation and logistical delays are minimal. We have adjusted our order patterns in response to our customer demand levels and the stability of our raw materials supplies.</w:t>
      </w:r>
    </w:p>
    <w:p>
      <w:pPr>
        <w:spacing w:after="0" w:line="183"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expect Security Products sales comparisons for the remainder of the year will be challenged by lower government security sales as the 2023 pilot project to a government security customer will not repeat. We expect our recurring Security Products sales for the remainder of the year to continue to be strong relative to the prior year. Overall, we expect Security Products gross margin and operating income margin for 2024 will be lower than 2023 primarily due to reduced coverage of fixed, selling, general and administrative costs as a result of lower expected sales as well as a less favorable product mix and higher materials and labor costs in the current economic environment. We expect Marine Components net sales for the full year of 2024 will be lower as compared to 2023 due to decreased demand in the towboat market. The recreational marine industry faces strong headwinds due to higher interest rates and broader market weakness. Overall, we expect Marine Components gross margin as a percentage of net sales for 2024 to be lower than 2023 due to lower coverage of fixed overhead as a result of lower expected sales, and operating income as a percentage of net sales to be similarly lower as a result of reduced coverage of selling, general and administrative expenses due to lower expected sales. We ended 2023 with elevated inventory balances at our Marine Components segment as a result of increased orders of certain raw materials due to previously long lead times coupled with the rapidly changing towboat demand which created a misalignment of our raw materials with near term demand. We made significant progress in aligning our Marine Components inventory balances with current demand in the first nine months of 2024; however, we expect further reduction of inventory quantities will be offset by higher raw materials costs for certain projects in the industrial and other marine components markets, outside of the towboat market, which in many instances are more expensive than the stainless steel inventory used in towboat products.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expectations for our operations and the markets we serve are based on a number of factors outside our control. We have experienced global and domestic supply chain challenges, and any future impacts on our operations will depend on, among other things, any future disruption in our operations or our suppliers’ operations, the impact of economic conditions and geopolitical events on demand for our products or our customers’ and suppliers’ operations, all of which remain uncertain and cannot be predicted.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Consolidated cash flows </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Trends in cash flows from operating activities, excluding changes in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generally been similar to the 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spacing w:after="0" w:line="18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net cash provided by operating activities for the first nine months of 2024 increased by $3.8 million as compared to the first nine months of 2023. The increase in net cash provided is primarily due to the net effects of:</w:t>
      </w:r>
    </w:p>
    <w:p>
      <w:pPr>
        <w:spacing w:after="0" w:line="162" w:lineRule="exact"/>
        <w:rPr>
          <w:sz w:val="20"/>
          <w:szCs w:val="20"/>
          <w:color w:val="auto"/>
        </w:rPr>
      </w:pPr>
    </w:p>
    <w:p>
      <w:pPr>
        <w:ind w:left="1040" w:right="7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$8.2 million increase in the amount of net cash provided by relative changes in our inventories, receivables, prepaids, payables and non-tax related accruals in 2024;</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$5.9 million decrease in operating income in 2024; and</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 million increase in interest received in 2024 due to higher interest rates and increased investment balances, partially offset by lower average balances on our loan to an affiliate.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1"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Changes in working capital can have a significant effect on cash flows from operating activities. As shown below, the change in our average days sales outstanding from December 31, 2023 to September 30, 2024 varied by segment primarily as a result of relative changes in the timing of sales and collections relative to the end of the quarter. For comparative purposes, we have provided December 31, 2022 and September 30, 2023 numbers below.</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378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Days Sales Outstanding: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Products</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 Days</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48 Days</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 Days</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 Days</w:t>
            </w: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Marine Components</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30 Days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33 Days</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31 Days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 Days</w:t>
            </w: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CompX</w:t>
            </w:r>
          </w:p>
        </w:tc>
        <w:tc>
          <w:tcPr>
            <w:tcW w:w="13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41 Days</w:t>
            </w:r>
          </w:p>
        </w:tc>
        <w:tc>
          <w:tcPr>
            <w:tcW w:w="13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45 Days</w:t>
            </w:r>
          </w:p>
        </w:tc>
        <w:tc>
          <w:tcPr>
            <w:tcW w:w="13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36 Days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 Days</w:t>
            </w:r>
          </w:p>
        </w:tc>
      </w:tr>
    </w:tbl>
    <w:p>
      <w:pPr>
        <w:spacing w:after="0" w:line="19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average number of days in inventory increased from December 31, 2023 to September 30, 2024 primarily due to the increase at Security Products somewhat offset by the decline at Marine Components. Security Products days in inventory at December 31, 2023 is lower than usual due to the fulfillment and shipping of a significant order during the fourth quarter of 2023 and September 30, 2024 is more favorable to September 30, 2023 balances due to planned inventory reductions. The average number of days in inventory for Marine Components declined from December 31, 2023 to September 30, 2024 as a result of planned inventory reductions. For comparative purposes, we have provided December 31, 2022 and September 30, 2023 numbers below.</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378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Days in Inventory:</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r>
      <w:tr>
        <w:trPr>
          <w:trHeight w:val="209"/>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Products</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 Days</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 Days</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 Days</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 Days</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Marine Components</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95 Days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144 Days</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175 Days</w:t>
            </w: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130 Days</w:t>
            </w: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CompX</w:t>
            </w:r>
          </w:p>
        </w:tc>
        <w:tc>
          <w:tcPr>
            <w:tcW w:w="13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99 Days</w:t>
            </w:r>
          </w:p>
        </w:tc>
        <w:tc>
          <w:tcPr>
            <w:tcW w:w="1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112 Days</w:t>
            </w:r>
          </w:p>
        </w:tc>
        <w:tc>
          <w:tcPr>
            <w:tcW w:w="13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95 Days</w:t>
            </w:r>
          </w:p>
        </w:tc>
        <w:tc>
          <w:tcPr>
            <w:tcW w:w="11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105 Days</w:t>
            </w:r>
          </w:p>
        </w:tc>
      </w:tr>
    </w:tbl>
    <w:p>
      <w:pPr>
        <w:spacing w:after="0" w:line="19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capital expenditures were $1.2 million and $.6 million in the first nine months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2023, respectively. During the first nine months of 2024, Valhi repaid a net $2.7 million under the promissory note ($17.7 million of gross borrowings and $20.4 million of gross repayments). During the first nine months of 2023, Valhi repaid a net $1.2 million under the promissory note ($20.7 million of gross borrowings and $21.9 million of gross repayments). See Note 10 to our Condensed Consolidated Financial Statements.</w:t>
      </w:r>
    </w:p>
    <w:p>
      <w:pPr>
        <w:spacing w:after="0" w:line="18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During the first nine months of 2024, we received gross proceeds totaling $36.0 million related to U.S. treasury bill maturities. During the first nine months of 2023, we had gross purchases of U.S. treasury marketable securities aggregating $36.3 million and received gross proceeds totaling $24.0 million related to U.S. treasury bill maturities. See Note 3 to our Condensed Consolidated Financial Statements.</w:t>
      </w:r>
    </w:p>
    <w:p>
      <w:pPr>
        <w:spacing w:after="0" w:line="17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Financing activities consisted only of cash dividends. In February 2024,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increased our regular quarterly dividend from $.25 per share to $.30 per share beginning in the first quarter of 2024. During the first nine months of 2024 and 2023, we paid aggregate quarterly dividends to CompX stockholders of $11.1 million and $9.2 million, respectively. Additionally, in August 2024 our board of directors declared a special dividend on our Class A common stock of $2.00 per share ($24.6 million).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Future cash requirements </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 Our primary source of liquidity on an ongoing basis is our cash flow from operating activities,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used to (i) fund capital 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spacing w:after="0" w:line="185"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10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 of our $58.8 million aggregate cash and cash equivalents at September 30, 2024 were held in the U.S.</w:t>
      </w:r>
    </w:p>
    <w:p>
      <w:pPr>
        <w:spacing w:after="0" w:line="223"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Firm purchase commitments for capital projects in process at September 30, 2024 totaled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 million. We expect our capital expenditures for 2024 will be approximately $2.1 million primarily to meet our existing customer demand and those required to properly maintain our facilities and technology infrastructure.</w:t>
      </w:r>
    </w:p>
    <w:p>
      <w:pPr>
        <w:spacing w:after="0" w:line="173" w:lineRule="exact"/>
        <w:rPr>
          <w:sz w:val="20"/>
          <w:szCs w:val="20"/>
          <w:color w:val="auto"/>
        </w:rPr>
      </w:pPr>
    </w:p>
    <w:p>
      <w:pPr>
        <w:jc w:val="both"/>
        <w:ind w:left="60" w:right="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At September 30, 2024, we have 523,647 shares available for repurchase under a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program authorized by our board of directors.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Commitments and contingencies </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are subject to certain commitments and contingencies, as more fully described in our 2023 Annual Report, or in Note 8 to our Condensed Consolidated Financial Statements or in Part II, Item 1 of this report, including certain legal proceedings.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11 to our Condensed Consolidated Financial Statements.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first nine months of 2024 with respect to our critical accounting policies presented in Management’s Discussion and Analysis of Financial Condition and Results of Operations in our 2023 Annual Report.</w:t>
      </w:r>
    </w:p>
    <w:p>
      <w:pPr>
        <w:spacing w:after="0" w:line="17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and raw material prices. There have been no material changes in these market risks since we filed our 2023 Annual Report, and we refer you to Part I, Item 7A – “Quantitative and Qualitative Disclosure About Market Risk” in our 2023 Annual Report. See also Note 9 to our Condensed Consolidated Financial Statements.</w:t>
      </w:r>
    </w:p>
    <w:p>
      <w:pPr>
        <w:spacing w:after="0" w:line="176"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which,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 Samford, our Executive Vice President and Chief Financial Officer, has evaluated the design and operating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effectiveness of our disclosure controls and procedures as of September 30, 2024. Based upon their evaluation, these executive officers have concluded that our disclosure controls and procedures are effective as of the date of such evaluation.</w:t>
      </w:r>
    </w:p>
    <w:p>
      <w:pPr>
        <w:spacing w:after="0" w:line="172"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Internal Control Over Financial Reporting</w:t>
      </w:r>
      <w:r>
        <w:rPr>
          <w:rFonts w:ascii="Times New Roman" w:cs="Times New Roman" w:eastAsia="Times New Roman" w:hAnsi="Times New Roman"/>
          <w:sz w:val="18"/>
          <w:szCs w:val="18"/>
          <w:color w:val="auto"/>
        </w:rPr>
        <w:t>. Our management is responsible for establishing and maintaining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adequate internal control over 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6" w:lineRule="exact"/>
        <w:rPr>
          <w:sz w:val="20"/>
          <w:szCs w:val="20"/>
          <w:color w:val="auto"/>
        </w:rPr>
      </w:pPr>
    </w:p>
    <w:p>
      <w:pPr>
        <w:ind w:left="1040" w:right="79" w:hanging="315"/>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53"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67"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an unauthorized acquisition, use or disposition of our assets that could have a material effect on our Condensed Consolidated Financial Statements.</w:t>
      </w:r>
    </w:p>
    <w:p>
      <w:pPr>
        <w:spacing w:after="0" w:line="172"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r>
        <w:rPr>
          <w:rFonts w:ascii="Times New Roman" w:cs="Times New Roman" w:eastAsia="Times New Roman" w:hAnsi="Times New Roman"/>
          <w:sz w:val="18"/>
          <w:szCs w:val="18"/>
          <w:color w:val="auto"/>
        </w:rPr>
        <w:t>. There have been no changes in our internal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financial reporting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Refer to Note 8 to our Condensed Consolidated Financial Statements, our June 30, 2024 Quarterly Report on Form 10-Q and our 2023 Annual Report for descriptions of certain legal proceedings.</w:t>
      </w:r>
    </w:p>
    <w:p>
      <w:pPr>
        <w:spacing w:after="0" w:line="15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Reference is made to the 2023 Annual Report for a discussion of risk factors related to our businesses.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80" w:type="dxa"/>
            <w:vAlign w:val="bottom"/>
          </w:tcPr>
          <w:p>
            <w:pPr>
              <w:spacing w:after="0"/>
              <w:rPr>
                <w:sz w:val="20"/>
                <w:szCs w:val="20"/>
                <w:color w:val="auto"/>
              </w:rPr>
            </w:pPr>
          </w:p>
        </w:tc>
        <w:tc>
          <w:tcPr>
            <w:tcW w:w="79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45"/>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180" w:type="dxa"/>
            <w:vAlign w:val="bottom"/>
          </w:tcPr>
          <w:p>
            <w:pPr>
              <w:spacing w:after="0"/>
              <w:rPr>
                <w:sz w:val="24"/>
                <w:szCs w:val="24"/>
                <w:color w:val="auto"/>
              </w:rPr>
            </w:pPr>
          </w:p>
        </w:tc>
        <w:tc>
          <w:tcPr>
            <w:tcW w:w="7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Certification</w:t>
            </w:r>
          </w:p>
        </w:tc>
        <w:tc>
          <w:tcPr>
            <w:tcW w:w="0" w:type="dxa"/>
            <w:vAlign w:val="bottom"/>
          </w:tcPr>
          <w:p>
            <w:pPr>
              <w:spacing w:after="0"/>
              <w:rPr>
                <w:sz w:val="1"/>
                <w:szCs w:val="1"/>
                <w:color w:val="auto"/>
              </w:rPr>
            </w:pPr>
          </w:p>
        </w:tc>
      </w:tr>
      <w:tr>
        <w:trPr>
          <w:trHeight w:val="304"/>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9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Certification</w:t>
            </w:r>
          </w:p>
        </w:tc>
        <w:tc>
          <w:tcPr>
            <w:tcW w:w="70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8"/>
              </w:rPr>
              <w:t>Certification</w:t>
            </w:r>
          </w:p>
        </w:tc>
        <w:tc>
          <w:tcPr>
            <w:tcW w:w="7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1"/>
                <w:szCs w:val="21"/>
                <w:color w:val="auto"/>
              </w:rPr>
            </w:pPr>
          </w:p>
        </w:tc>
        <w:tc>
          <w:tcPr>
            <w:tcW w:w="920" w:type="dxa"/>
            <w:vAlign w:val="bottom"/>
            <w:tcBorders>
              <w:bottom w:val="single" w:sz="8" w:color="0000EE"/>
            </w:tcBorders>
            <w:vMerge w:val="continue"/>
          </w:tcPr>
          <w:p>
            <w:pPr>
              <w:spacing w:after="0"/>
              <w:rPr>
                <w:sz w:val="21"/>
                <w:szCs w:val="21"/>
                <w:color w:val="auto"/>
              </w:rPr>
            </w:pPr>
          </w:p>
        </w:tc>
        <w:tc>
          <w:tcPr>
            <w:tcW w:w="7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3"/>
                <w:szCs w:val="23"/>
                <w:color w:val="auto"/>
              </w:rPr>
            </w:pPr>
          </w:p>
        </w:tc>
        <w:tc>
          <w:tcPr>
            <w:tcW w:w="79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0" w:type="dxa"/>
            <w:vAlign w:val="bottom"/>
          </w:tcPr>
          <w:p>
            <w:pPr>
              <w:spacing w:after="0"/>
              <w:rPr>
                <w:sz w:val="1"/>
                <w:szCs w:val="1"/>
                <w:color w:val="auto"/>
              </w:rPr>
            </w:pPr>
          </w:p>
        </w:tc>
      </w:tr>
    </w:tbl>
    <w:p>
      <w:pPr>
        <w:spacing w:after="0" w:line="85"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101.SCH</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101.CAL</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101.DEF</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101.LAB</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101.PRE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 Extension Schema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11" w:lineRule="exact"/>
        <w:rPr>
          <w:sz w:val="20"/>
          <w:szCs w:val="20"/>
          <w:color w:val="auto"/>
        </w:rPr>
      </w:pPr>
    </w:p>
    <w:p>
      <w:pPr>
        <w:sectPr>
          <w:pgSz w:w="11900" w:h="16838" w:orient="portrait"/>
          <w:cols w:equalWidth="0" w:num="2">
            <w:col w:w="740" w:space="300"/>
            <w:col w:w="797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COMPX INTERNATIONAL INC.</w:t>
            </w:r>
          </w:p>
        </w:tc>
      </w:tr>
      <w:tr>
        <w:trPr>
          <w:trHeight w:val="237"/>
        </w:trPr>
        <w:tc>
          <w:tcPr>
            <w:tcW w:w="3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6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800" w:type="dxa"/>
            <w:vAlign w:val="bottom"/>
          </w:tcPr>
          <w:p>
            <w:pPr>
              <w:spacing w:after="0"/>
              <w:rPr>
                <w:sz w:val="20"/>
                <w:szCs w:val="20"/>
                <w:color w:val="auto"/>
              </w:rPr>
            </w:pPr>
          </w:p>
        </w:tc>
      </w:tr>
      <w:tr>
        <w:trPr>
          <w:trHeight w:val="43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5660" w:type="dxa"/>
            <w:vAlign w:val="bottom"/>
            <w:gridSpan w:val="4"/>
          </w:tcPr>
          <w:p>
            <w:pPr>
              <w:ind w:left="1420"/>
              <w:spacing w:after="0"/>
              <w:rPr>
                <w:sz w:val="20"/>
                <w:szCs w:val="20"/>
                <w:color w:val="auto"/>
              </w:rPr>
            </w:pPr>
            <w:r>
              <w:rPr>
                <w:rFonts w:ascii="Times New Roman" w:cs="Times New Roman" w:eastAsia="Times New Roman" w:hAnsi="Times New Roman"/>
                <w:sz w:val="18"/>
                <w:szCs w:val="18"/>
                <w:color w:val="auto"/>
              </w:rPr>
              <w:t>By: /s/ Amy A. Samford</w:t>
            </w:r>
          </w:p>
        </w:tc>
      </w:tr>
      <w:tr>
        <w:trPr>
          <w:trHeight w:val="191"/>
        </w:trPr>
        <w:tc>
          <w:tcPr>
            <w:tcW w:w="3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94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Amy A. Samford</w:t>
            </w:r>
          </w:p>
        </w:tc>
      </w:tr>
      <w:tr>
        <w:trPr>
          <w:trHeight w:val="234"/>
        </w:trPr>
        <w:tc>
          <w:tcPr>
            <w:tcW w:w="3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648"/>
        </w:trPr>
        <w:tc>
          <w:tcPr>
            <w:tcW w:w="3240" w:type="dxa"/>
            <w:vAlign w:val="bottom"/>
          </w:tcPr>
          <w:p>
            <w:pPr>
              <w:spacing w:after="0"/>
              <w:rPr>
                <w:sz w:val="24"/>
                <w:szCs w:val="24"/>
                <w:color w:val="auto"/>
              </w:rPr>
            </w:pPr>
          </w:p>
        </w:tc>
        <w:tc>
          <w:tcPr>
            <w:tcW w:w="5660" w:type="dxa"/>
            <w:vAlign w:val="bottom"/>
            <w:gridSpan w:val="4"/>
          </w:tcPr>
          <w:p>
            <w:pPr>
              <w:ind w:left="1420"/>
              <w:spacing w:after="0"/>
              <w:rPr>
                <w:sz w:val="20"/>
                <w:szCs w:val="20"/>
                <w:color w:val="auto"/>
              </w:rPr>
            </w:pPr>
            <w:r>
              <w:rPr>
                <w:rFonts w:ascii="Times New Roman" w:cs="Times New Roman" w:eastAsia="Times New Roman" w:hAnsi="Times New Roman"/>
                <w:sz w:val="18"/>
                <w:szCs w:val="18"/>
                <w:color w:val="auto"/>
              </w:rPr>
              <w:t>By: /s/ Amy E. Ruf</w:t>
            </w:r>
          </w:p>
        </w:tc>
      </w:tr>
      <w:tr>
        <w:trPr>
          <w:trHeight w:val="191"/>
        </w:trPr>
        <w:tc>
          <w:tcPr>
            <w:tcW w:w="3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94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Amy E. Ruf</w:t>
            </w:r>
          </w:p>
        </w:tc>
      </w:tr>
      <w:tr>
        <w:trPr>
          <w:trHeight w:val="234"/>
        </w:trPr>
        <w:tc>
          <w:tcPr>
            <w:tcW w:w="3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Vice President and Controller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C. James,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CompX International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025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Scott C. James</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Amy A. Samford,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CompX International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17145</wp:posOffset>
            </wp:positionV>
            <wp:extent cx="3042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Amy A. Samford</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CompX International Inc. (the Company) on Form 10-Q for the period ending September 30, 2024, as filed with the Securities and Exchange Commission on the date hereof (the Report), I, Scott C. James, President and Chief Executive Officer of the Company and I, Amy A. Samford, Executive Vice President and Chief Financial Officer of the Company, certify, pursuant to 18 U.S.C. §1350, as adopted pursuant to §906 of the Sarbanes-Oxley Act of 2002, that:</w:t>
      </w:r>
    </w:p>
    <w:p>
      <w:pPr>
        <w:spacing w:after="0" w:line="180"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0429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Scott C. James</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0429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Amy A. Samford</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2024-11-06T15:43:32Z</dcterms:created>
  <dcterms:modified xsi:type="dcterms:W3CDTF">2024-11-06T15:43:32Z</dcterms:modified>
</cp:coreProperties>
</file>