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103505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3" w:lineRule="exact"/>
        <w:rPr>
          <w:sz w:val="24"/>
          <w:szCs w:val="24"/>
          <w:color w:val="auto"/>
        </w:rPr>
      </w:pPr>
    </w:p>
    <w:p>
      <w:pPr>
        <w:ind w:left="1520" w:right="300"/>
        <w:spacing w:after="0" w:line="23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20"/>
          <w:szCs w:val="20"/>
          <w:color w:val="auto"/>
        </w:rPr>
        <w:t xml:space="preserve"> QUARTERLY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220" w:lineRule="exact"/>
        <w:rPr>
          <w:sz w:val="24"/>
          <w:szCs w:val="24"/>
          <w:color w:val="auto"/>
        </w:rPr>
      </w:pPr>
    </w:p>
    <w:p>
      <w:pPr>
        <w:ind w:left="1900" w:hanging="379"/>
        <w:spacing w:after="0"/>
        <w:tabs>
          <w:tab w:leader="none" w:pos="1900" w:val="left"/>
        </w:tabs>
        <w:numPr>
          <w:ilvl w:val="0"/>
          <w:numId w:val="1"/>
        </w:numPr>
        <w:rPr>
          <w:rFonts w:ascii="MS PGothic" w:cs="MS PGothic" w:eastAsia="MS PGothic" w:hAnsi="MS PGothic"/>
          <w:sz w:val="16"/>
          <w:szCs w:val="16"/>
          <w:color w:val="auto"/>
        </w:rPr>
      </w:pPr>
      <w:r>
        <w:rPr>
          <w:rFonts w:ascii="Arial" w:cs="Arial" w:eastAsia="Arial" w:hAnsi="Arial"/>
          <w:sz w:val="20"/>
          <w:szCs w:val="20"/>
          <w:color w:val="auto"/>
        </w:rPr>
        <w:t>TRANSITION REPORT PURSUANT TO SECTION 13 OR 15(d) OF THE SECURITIES</w:t>
      </w:r>
    </w:p>
    <w:p>
      <w:pPr>
        <w:spacing w:after="0" w:line="16" w:lineRule="exact"/>
        <w:rPr>
          <w:sz w:val="24"/>
          <w:szCs w:val="24"/>
          <w:color w:val="auto"/>
        </w:rPr>
      </w:pPr>
    </w:p>
    <w:p>
      <w:pPr>
        <w:ind w:left="1920"/>
        <w:spacing w:after="0"/>
        <w:rPr>
          <w:sz w:val="20"/>
          <w:szCs w:val="20"/>
          <w:color w:val="auto"/>
        </w:rPr>
      </w:pPr>
      <w:r>
        <w:rPr>
          <w:rFonts w:ascii="Arial" w:cs="Arial" w:eastAsia="Arial" w:hAnsi="Arial"/>
          <w:sz w:val="20"/>
          <w:szCs w:val="20"/>
          <w:color w:val="auto"/>
        </w:rPr>
        <w:t>ECHANGE ACT OF 1934</w:t>
      </w:r>
    </w:p>
    <w:p>
      <w:pPr>
        <w:spacing w:after="0" w:line="2"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6560" w:type="dxa"/>
            <w:vAlign w:val="bottom"/>
            <w:gridSpan w:val="3"/>
          </w:tcPr>
          <w:p>
            <w:pPr>
              <w:ind w:left="2260"/>
              <w:spacing w:after="0"/>
              <w:rPr>
                <w:sz w:val="20"/>
                <w:szCs w:val="20"/>
                <w:color w:val="auto"/>
              </w:rPr>
            </w:pPr>
            <w:r>
              <w:rPr>
                <w:rFonts w:ascii="Arial" w:cs="Arial" w:eastAsia="Arial" w:hAnsi="Arial"/>
                <w:sz w:val="18"/>
                <w:szCs w:val="18"/>
                <w:b w:val="1"/>
                <w:bCs w:val="1"/>
                <w:color w:val="auto"/>
                <w:w w:val="91"/>
              </w:rPr>
              <w:t>For the transition period from _________ to _________</w:t>
            </w:r>
          </w:p>
        </w:tc>
        <w:tc>
          <w:tcPr>
            <w:tcW w:w="1160" w:type="dxa"/>
            <w:vAlign w:val="bottom"/>
          </w:tcPr>
          <w:p>
            <w:pPr>
              <w:spacing w:after="0"/>
              <w:rPr>
                <w:sz w:val="20"/>
                <w:szCs w:val="20"/>
                <w:color w:val="auto"/>
              </w:rPr>
            </w:pPr>
          </w:p>
        </w:tc>
      </w:tr>
      <w:tr>
        <w:trPr>
          <w:trHeight w:val="412"/>
        </w:trPr>
        <w:tc>
          <w:tcPr>
            <w:tcW w:w="6560" w:type="dxa"/>
            <w:vAlign w:val="bottom"/>
            <w:gridSpan w:val="3"/>
          </w:tcPr>
          <w:p>
            <w:pPr>
              <w:jc w:val="center"/>
              <w:ind w:left="1888"/>
              <w:spacing w:after="0"/>
              <w:rPr>
                <w:sz w:val="20"/>
                <w:szCs w:val="20"/>
                <w:color w:val="auto"/>
              </w:rPr>
            </w:pPr>
            <w:r>
              <w:rPr>
                <w:rFonts w:ascii="Arial" w:cs="Arial" w:eastAsia="Arial" w:hAnsi="Arial"/>
                <w:sz w:val="18"/>
                <w:szCs w:val="18"/>
                <w:b w:val="1"/>
                <w:bCs w:val="1"/>
                <w:color w:val="auto"/>
                <w:w w:val="90"/>
              </w:rPr>
              <w:t>Commission file number 1-13905</w:t>
            </w:r>
          </w:p>
        </w:tc>
        <w:tc>
          <w:tcPr>
            <w:tcW w:w="1160" w:type="dxa"/>
            <w:vAlign w:val="bottom"/>
          </w:tcPr>
          <w:p>
            <w:pPr>
              <w:spacing w:after="0"/>
              <w:rPr>
                <w:sz w:val="24"/>
                <w:szCs w:val="24"/>
                <w:color w:val="auto"/>
              </w:rPr>
            </w:pPr>
          </w:p>
        </w:tc>
      </w:tr>
      <w:tr>
        <w:trPr>
          <w:trHeight w:val="176"/>
        </w:trPr>
        <w:tc>
          <w:tcPr>
            <w:tcW w:w="314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2300" w:type="dxa"/>
            <w:vAlign w:val="bottom"/>
            <w:gridSpan w:val="2"/>
          </w:tcPr>
          <w:p>
            <w:pPr>
              <w:spacing w:after="0"/>
              <w:rPr>
                <w:sz w:val="15"/>
                <w:szCs w:val="15"/>
                <w:color w:val="auto"/>
              </w:rPr>
            </w:pPr>
          </w:p>
        </w:tc>
      </w:tr>
      <w:tr>
        <w:trPr>
          <w:trHeight w:val="533"/>
        </w:trPr>
        <w:tc>
          <w:tcPr>
            <w:tcW w:w="7720" w:type="dxa"/>
            <w:vAlign w:val="bottom"/>
            <w:gridSpan w:val="4"/>
          </w:tcPr>
          <w:p>
            <w:pPr>
              <w:jc w:val="center"/>
              <w:ind w:left="728"/>
              <w:spacing w:after="0"/>
              <w:rPr>
                <w:sz w:val="20"/>
                <w:szCs w:val="20"/>
                <w:color w:val="auto"/>
              </w:rPr>
            </w:pPr>
            <w:r>
              <w:rPr>
                <w:rFonts w:ascii="Arial" w:cs="Arial" w:eastAsia="Arial" w:hAnsi="Arial"/>
                <w:sz w:val="32"/>
                <w:szCs w:val="32"/>
                <w:b w:val="1"/>
                <w:bCs w:val="1"/>
                <w:color w:val="auto"/>
              </w:rPr>
              <w:t>COMPX INTERNATIONAL INC</w:t>
            </w:r>
            <w:r>
              <w:rPr>
                <w:rFonts w:ascii="Arial" w:cs="Arial" w:eastAsia="Arial" w:hAnsi="Arial"/>
                <w:sz w:val="39"/>
                <w:szCs w:val="39"/>
                <w:b w:val="1"/>
                <w:bCs w:val="1"/>
                <w:color w:val="auto"/>
              </w:rPr>
              <w:t>.</w:t>
            </w:r>
          </w:p>
        </w:tc>
      </w:tr>
      <w:tr>
        <w:trPr>
          <w:trHeight w:val="230"/>
        </w:trPr>
        <w:tc>
          <w:tcPr>
            <w:tcW w:w="6560" w:type="dxa"/>
            <w:vAlign w:val="bottom"/>
            <w:gridSpan w:val="3"/>
          </w:tcPr>
          <w:p>
            <w:pPr>
              <w:jc w:val="center"/>
              <w:ind w:left="1908"/>
              <w:spacing w:after="0"/>
              <w:rPr>
                <w:sz w:val="20"/>
                <w:szCs w:val="20"/>
                <w:color w:val="auto"/>
              </w:rPr>
            </w:pPr>
            <w:r>
              <w:rPr>
                <w:rFonts w:ascii="Arial" w:cs="Arial" w:eastAsia="Arial" w:hAnsi="Arial"/>
                <w:sz w:val="18"/>
                <w:szCs w:val="18"/>
                <w:color w:val="auto"/>
                <w:w w:val="90"/>
              </w:rPr>
              <w:t>(Exact name of registrant as specified in its charter)</w:t>
            </w:r>
          </w:p>
        </w:tc>
        <w:tc>
          <w:tcPr>
            <w:tcW w:w="1160" w:type="dxa"/>
            <w:vAlign w:val="bottom"/>
          </w:tcPr>
          <w:p>
            <w:pPr>
              <w:spacing w:after="0"/>
              <w:rPr>
                <w:sz w:val="20"/>
                <w:szCs w:val="20"/>
                <w:color w:val="auto"/>
              </w:rPr>
            </w:pPr>
          </w:p>
        </w:tc>
      </w:tr>
      <w:tr>
        <w:trPr>
          <w:trHeight w:val="440"/>
        </w:trPr>
        <w:tc>
          <w:tcPr>
            <w:tcW w:w="65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3"/>
              </w:rPr>
              <w:t>Delaware</w:t>
            </w:r>
          </w:p>
        </w:tc>
        <w:tc>
          <w:tcPr>
            <w:tcW w:w="1160" w:type="dxa"/>
            <w:vAlign w:val="bottom"/>
          </w:tcPr>
          <w:p>
            <w:pPr>
              <w:jc w:val="center"/>
              <w:ind w:left="1"/>
              <w:spacing w:after="0"/>
              <w:rPr>
                <w:sz w:val="20"/>
                <w:szCs w:val="20"/>
                <w:color w:val="auto"/>
              </w:rPr>
            </w:pPr>
            <w:r>
              <w:rPr>
                <w:rFonts w:ascii="Arial" w:cs="Arial" w:eastAsia="Arial" w:hAnsi="Arial"/>
                <w:sz w:val="18"/>
                <w:szCs w:val="18"/>
                <w:b w:val="1"/>
                <w:bCs w:val="1"/>
                <w:color w:val="auto"/>
                <w:w w:val="91"/>
              </w:rPr>
              <w:t>57-0981653</w:t>
            </w:r>
          </w:p>
        </w:tc>
      </w:tr>
      <w:tr>
        <w:trPr>
          <w:trHeight w:val="149"/>
        </w:trPr>
        <w:tc>
          <w:tcPr>
            <w:tcW w:w="6560" w:type="dxa"/>
            <w:vAlign w:val="bottom"/>
            <w:gridSpan w:val="3"/>
          </w:tcPr>
          <w:p>
            <w:pPr>
              <w:jc w:val="center"/>
              <w:ind w:right="382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160" w:type="dxa"/>
            <w:vAlign w:val="bottom"/>
          </w:tcPr>
          <w:p>
            <w:pPr>
              <w:jc w:val="center"/>
              <w:ind w:left="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6560" w:type="dxa"/>
            <w:vAlign w:val="bottom"/>
            <w:gridSpan w:val="3"/>
          </w:tcPr>
          <w:p>
            <w:pPr>
              <w:jc w:val="center"/>
              <w:ind w:right="3820"/>
              <w:spacing w:after="0"/>
              <w:rPr>
                <w:sz w:val="20"/>
                <w:szCs w:val="20"/>
                <w:color w:val="auto"/>
              </w:rPr>
            </w:pPr>
            <w:r>
              <w:rPr>
                <w:rFonts w:ascii="Arial" w:cs="Arial" w:eastAsia="Arial" w:hAnsi="Arial"/>
                <w:sz w:val="14"/>
                <w:szCs w:val="14"/>
                <w:color w:val="auto"/>
                <w:w w:val="95"/>
              </w:rPr>
              <w:t>Incorporation or organization)</w:t>
            </w:r>
          </w:p>
        </w:tc>
        <w:tc>
          <w:tcPr>
            <w:tcW w:w="1160" w:type="dxa"/>
            <w:vAlign w:val="bottom"/>
          </w:tcPr>
          <w:p>
            <w:pPr>
              <w:jc w:val="center"/>
              <w:ind w:left="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65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9"/>
              </w:rPr>
              <w:t>5430 LBJ Freeway, Suite 1700,</w:t>
            </w:r>
          </w:p>
        </w:tc>
        <w:tc>
          <w:tcPr>
            <w:tcW w:w="1160" w:type="dxa"/>
            <w:vAlign w:val="bottom"/>
          </w:tcPr>
          <w:p>
            <w:pPr>
              <w:spacing w:after="0"/>
              <w:rPr>
                <w:sz w:val="24"/>
                <w:szCs w:val="24"/>
                <w:color w:val="auto"/>
              </w:rPr>
            </w:pPr>
          </w:p>
        </w:tc>
      </w:tr>
      <w:tr>
        <w:trPr>
          <w:trHeight w:val="229"/>
        </w:trPr>
        <w:tc>
          <w:tcPr>
            <w:tcW w:w="65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0"/>
              </w:rPr>
              <w:t>Three Lincoln Centre, Dallas, Texas</w:t>
            </w:r>
          </w:p>
        </w:tc>
        <w:tc>
          <w:tcPr>
            <w:tcW w:w="1160" w:type="dxa"/>
            <w:vAlign w:val="bottom"/>
          </w:tcPr>
          <w:p>
            <w:pPr>
              <w:jc w:val="center"/>
              <w:ind w:left="1"/>
              <w:spacing w:after="0"/>
              <w:rPr>
                <w:sz w:val="20"/>
                <w:szCs w:val="20"/>
                <w:color w:val="auto"/>
              </w:rPr>
            </w:pPr>
            <w:r>
              <w:rPr>
                <w:rFonts w:ascii="Arial" w:cs="Arial" w:eastAsia="Arial" w:hAnsi="Arial"/>
                <w:sz w:val="18"/>
                <w:szCs w:val="18"/>
                <w:b w:val="1"/>
                <w:bCs w:val="1"/>
                <w:color w:val="auto"/>
                <w:w w:val="91"/>
              </w:rPr>
              <w:t>75240-2620</w:t>
            </w:r>
          </w:p>
        </w:tc>
      </w:tr>
      <w:tr>
        <w:trPr>
          <w:trHeight w:val="182"/>
        </w:trPr>
        <w:tc>
          <w:tcPr>
            <w:tcW w:w="6560" w:type="dxa"/>
            <w:vAlign w:val="bottom"/>
            <w:gridSpan w:val="3"/>
          </w:tcPr>
          <w:p>
            <w:pPr>
              <w:jc w:val="center"/>
              <w:ind w:right="3820"/>
              <w:spacing w:after="0"/>
              <w:rPr>
                <w:sz w:val="20"/>
                <w:szCs w:val="20"/>
                <w:color w:val="auto"/>
              </w:rPr>
            </w:pPr>
            <w:r>
              <w:rPr>
                <w:rFonts w:ascii="Arial" w:cs="Arial" w:eastAsia="Arial" w:hAnsi="Arial"/>
                <w:sz w:val="14"/>
                <w:szCs w:val="14"/>
                <w:color w:val="auto"/>
                <w:w w:val="95"/>
              </w:rPr>
              <w:t>(Address of principal executive offices)</w:t>
            </w:r>
          </w:p>
        </w:tc>
        <w:tc>
          <w:tcPr>
            <w:tcW w:w="1160" w:type="dxa"/>
            <w:vAlign w:val="bottom"/>
          </w:tcPr>
          <w:p>
            <w:pPr>
              <w:jc w:val="center"/>
              <w:ind w:left="1"/>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85"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CIX</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81"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2" w:lineRule="exact"/>
        <w:rPr>
          <w:sz w:val="24"/>
          <w:szCs w:val="24"/>
          <w:color w:val="auto"/>
        </w:rPr>
      </w:pPr>
    </w:p>
    <w:p>
      <w:pPr>
        <w:spacing w:after="0" w:line="184" w:lineRule="exact"/>
        <w:tabs>
          <w:tab w:leader="none" w:pos="1880" w:val="left"/>
          <w:tab w:leader="none" w:pos="338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6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spacing w:after="0" w:line="184" w:lineRule="exact"/>
        <w:tabs>
          <w:tab w:leader="none" w:pos="7940" w:val="left"/>
          <w:tab w:leader="none" w:pos="85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rPr>
        <w:t>☒</w:t>
      </w:r>
      <w:r>
        <w:rPr>
          <w:rFonts w:ascii="Arial" w:cs="Arial" w:eastAsia="Arial" w:hAnsi="Arial"/>
          <w:sz w:val="15"/>
          <w:szCs w:val="15"/>
          <w:b w:val="1"/>
          <w:bCs w:val="1"/>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October 24, 2019, the registrant had 12,443,057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248285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rPr>
              <w:t>COMPX INTERNATIONAL INC.</w:t>
            </w:r>
          </w:p>
        </w:tc>
        <w:tc>
          <w:tcPr>
            <w:tcW w:w="82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2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w w:val="93"/>
              </w:rPr>
              <w:t>Index</w:t>
            </w:r>
          </w:p>
        </w:tc>
        <w:tc>
          <w:tcPr>
            <w:tcW w:w="820" w:type="dxa"/>
            <w:vAlign w:val="bottom"/>
          </w:tcPr>
          <w:p>
            <w:pPr>
              <w:spacing w:after="0"/>
              <w:rPr>
                <w:sz w:val="24"/>
                <w:szCs w:val="24"/>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4"/>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18"/>
                <w:szCs w:val="18"/>
                <w:color w:val="auto"/>
              </w:rPr>
            </w:pPr>
          </w:p>
        </w:tc>
      </w:tr>
      <w:tr>
        <w:trPr>
          <w:trHeight w:val="296"/>
        </w:trPr>
        <w:tc>
          <w:tcPr>
            <w:tcW w:w="900" w:type="dxa"/>
            <w:vAlign w:val="bottom"/>
          </w:tcPr>
          <w:p>
            <w:pPr>
              <w:spacing w:after="0"/>
              <w:rPr>
                <w:sz w:val="24"/>
                <w:szCs w:val="24"/>
                <w:color w:val="auto"/>
              </w:rPr>
            </w:pPr>
          </w:p>
        </w:tc>
        <w:tc>
          <w:tcPr>
            <w:tcW w:w="72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December 31, 2018 and September 30, 2019 (unaudited)</w:t>
              </w:r>
            </w:hyperlink>
          </w:p>
        </w:tc>
        <w:tc>
          <w:tcPr>
            <w:tcW w:w="2500" w:type="dxa"/>
            <w:vAlign w:val="bottom"/>
            <w:gridSpan w:val="4"/>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- 3 -</w:t>
            </w:r>
          </w:p>
        </w:tc>
      </w:tr>
      <w:tr>
        <w:trPr>
          <w:trHeight w:val="318"/>
        </w:trPr>
        <w:tc>
          <w:tcPr>
            <w:tcW w:w="900" w:type="dxa"/>
            <w:vAlign w:val="bottom"/>
          </w:tcPr>
          <w:p>
            <w:pPr>
              <w:spacing w:after="0"/>
              <w:rPr>
                <w:sz w:val="24"/>
                <w:szCs w:val="24"/>
                <w:color w:val="auto"/>
              </w:rPr>
            </w:pPr>
          </w:p>
        </w:tc>
        <w:tc>
          <w:tcPr>
            <w:tcW w:w="88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(unaudited) – Three and nine months ended September 30, 2018 and 2019</w:t>
              </w:r>
            </w:hyperlink>
          </w:p>
        </w:tc>
        <w:tc>
          <w:tcPr>
            <w:tcW w:w="90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- 4 -</w:t>
            </w:r>
          </w:p>
        </w:tc>
      </w:tr>
      <w:tr>
        <w:trPr>
          <w:trHeight w:val="318"/>
        </w:trPr>
        <w:tc>
          <w:tcPr>
            <w:tcW w:w="90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Stockholders’ Equity (unaudited) – Three and nine months ended September 30, 2018 and</w:t>
              </w:r>
            </w:hyperlink>
          </w:p>
        </w:tc>
        <w:tc>
          <w:tcPr>
            <w:tcW w:w="8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3"/>
              </w:rPr>
              <w:t>- 5 -</w:t>
            </w:r>
          </w:p>
        </w:tc>
      </w:tr>
      <w:tr>
        <w:trPr>
          <w:trHeight w:val="318"/>
        </w:trPr>
        <w:tc>
          <w:tcPr>
            <w:tcW w:w="90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Nine months ended September 30, 2018 and 2019</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- 6 -</w:t>
            </w:r>
          </w:p>
        </w:tc>
      </w:tr>
      <w:tr>
        <w:trPr>
          <w:trHeight w:val="318"/>
        </w:trPr>
        <w:tc>
          <w:tcPr>
            <w:tcW w:w="900" w:type="dxa"/>
            <w:vAlign w:val="bottom"/>
          </w:tcPr>
          <w:p>
            <w:pPr>
              <w:spacing w:after="0"/>
              <w:rPr>
                <w:sz w:val="24"/>
                <w:szCs w:val="24"/>
                <w:color w:val="auto"/>
              </w:rPr>
            </w:pPr>
          </w:p>
        </w:tc>
        <w:tc>
          <w:tcPr>
            <w:tcW w:w="836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340" w:type="dxa"/>
            <w:vAlign w:val="bottom"/>
            <w:gridSpan w:val="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- 7 -</w:t>
            </w:r>
          </w:p>
        </w:tc>
      </w:tr>
      <w:tr>
        <w:trPr>
          <w:trHeight w:val="20"/>
        </w:trPr>
        <w:tc>
          <w:tcPr>
            <w:tcW w:w="9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auto"/>
                <w:w w:val="90"/>
              </w:rPr>
              <w:t>- 11 -</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70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 About Market Risk</w:t>
              </w:r>
            </w:hyperlink>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- 15 -</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5420" w:type="dxa"/>
            <w:vAlign w:val="bottom"/>
            <w:gridSpan w:val="7"/>
          </w:tcPr>
          <w:p>
            <w:pPr>
              <w:spacing w:after="0"/>
              <w:rPr>
                <w:sz w:val="24"/>
                <w:szCs w:val="24"/>
                <w:color w:val="auto"/>
              </w:rPr>
            </w:pP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- 15 -</w:t>
            </w:r>
          </w:p>
        </w:tc>
      </w:tr>
      <w:tr>
        <w:trPr>
          <w:trHeight w:val="20"/>
        </w:trPr>
        <w:tc>
          <w:tcPr>
            <w:tcW w:w="9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820" w:type="dxa"/>
            <w:vAlign w:val="bottom"/>
          </w:tcPr>
          <w:p>
            <w:pPr>
              <w:spacing w:after="0"/>
              <w:rPr>
                <w:sz w:val="24"/>
                <w:szCs w:val="24"/>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680" w:type="dxa"/>
            <w:vAlign w:val="bottom"/>
            <w:gridSpan w:val="8"/>
          </w:tcPr>
          <w:p>
            <w:pPr>
              <w:spacing w:after="0"/>
              <w:rPr>
                <w:sz w:val="24"/>
                <w:szCs w:val="24"/>
                <w:color w:val="auto"/>
              </w:rPr>
            </w:pP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- 17 -</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800" w:type="dxa"/>
            <w:vAlign w:val="bottom"/>
            <w:gridSpan w:val="10"/>
          </w:tcPr>
          <w:p>
            <w:pPr>
              <w:spacing w:after="0"/>
              <w:rPr>
                <w:sz w:val="24"/>
                <w:szCs w:val="24"/>
                <w:color w:val="auto"/>
              </w:rPr>
            </w:pP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- 17 -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center"/>
              <w:ind w:right="52"/>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76,285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67,221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95,451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166,429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176,410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166,429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176,410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left="455"/>
              <w:spacing w:after="0" w:line="155"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center"/>
              <w:ind w:left="435"/>
              <w:spacing w:after="0" w:line="155"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29,703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90,827</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9,476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4,266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5,114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3,887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per common share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12,436</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12,443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12,431</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12,439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For the three and nine months ended September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94"/>
              <w:spacing w:after="0" w:line="147"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3"/>
              </w:rPr>
              <w:t>Class 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33"/>
              <w:spacing w:after="0" w:line="155" w:lineRule="exact"/>
              <w:rPr>
                <w:sz w:val="20"/>
                <w:szCs w:val="20"/>
                <w:color w:val="auto"/>
              </w:rPr>
            </w:pPr>
            <w:r>
              <w:rPr>
                <w:rFonts w:ascii="Arial" w:cs="Arial" w:eastAsia="Arial" w:hAnsi="Arial"/>
                <w:sz w:val="14"/>
                <w:szCs w:val="14"/>
                <w:b w:val="1"/>
                <w:bCs w:val="1"/>
                <w:color w:val="auto"/>
                <w:w w:val="89"/>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($0.05 per share)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4"/>
        </w:trPr>
        <w:tc>
          <w:tcPr>
            <w:tcW w:w="4240" w:type="dxa"/>
            <w:vAlign w:val="bottom"/>
            <w:gridSpan w:val="2"/>
          </w:tcPr>
          <w:p>
            <w:pPr>
              <w:spacing w:after="0"/>
              <w:rPr>
                <w:sz w:val="20"/>
                <w:szCs w:val="20"/>
                <w:color w:val="auto"/>
              </w:rPr>
            </w:pPr>
            <w:r>
              <w:rPr>
                <w:rFonts w:ascii="Arial" w:cs="Arial" w:eastAsia="Arial" w:hAnsi="Arial"/>
                <w:sz w:val="18"/>
                <w:szCs w:val="18"/>
                <w:color w:val="auto"/>
              </w:rPr>
              <w:t>Balance at March 31, 2018</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dividends ($0.05 per share)</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88,329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Share conversion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($0.05 per share)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20" w:type="dxa"/>
            <w:vAlign w:val="bottom"/>
            <w:gridSpan w:val="11"/>
          </w:tcPr>
          <w:p>
            <w:pPr>
              <w:jc w:val="right"/>
              <w:ind w:right="660"/>
              <w:spacing w:after="0"/>
              <w:rPr>
                <w:sz w:val="20"/>
                <w:szCs w:val="20"/>
                <w:color w:val="auto"/>
              </w:rPr>
            </w:pPr>
            <w:r>
              <w:rPr>
                <w:rFonts w:ascii="Arial" w:cs="Arial" w:eastAsia="Arial" w:hAnsi="Arial"/>
                <w:sz w:val="18"/>
                <w:szCs w:val="18"/>
                <w:b w:val="1"/>
                <w:bCs w:val="1"/>
                <w:color w:val="auto"/>
                <w:w w:val="96"/>
              </w:rPr>
              <w:t>For the three and nine months ended September 30, 2019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3"/>
              </w:rPr>
              <w:t>Class A</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93"/>
              <w:spacing w:after="0" w:line="147"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common</w:t>
            </w:r>
          </w:p>
        </w:tc>
        <w:tc>
          <w:tcPr>
            <w:tcW w:w="1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paid-in</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stock</w:t>
            </w: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earnings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93,687</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149,562</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($0.07 per share)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gridSpan w:val="2"/>
          </w:tcPr>
          <w:p>
            <w:pPr>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96,803</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dividends ($0.07 per share)</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55,869</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100,826</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156,819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dividends ($0.07 per share)</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55,869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103,842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159,835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0"/>
              </w:rPr>
              <w:t>Nine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center"/>
              <w:ind w:left="393"/>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12,655</w:t>
            </w:r>
          </w:p>
        </w:tc>
        <w:tc>
          <w:tcPr>
            <w:tcW w:w="18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(1,308)</w:t>
            </w:r>
          </w:p>
        </w:tc>
        <w:tc>
          <w:tcPr>
            <w:tcW w:w="0" w:type="dxa"/>
            <w:vAlign w:val="bottom"/>
          </w:tcPr>
          <w:p>
            <w:pPr>
              <w:spacing w:after="0"/>
              <w:rPr>
                <w:sz w:val="1"/>
                <w:szCs w:val="1"/>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(1,888)</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(432)</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(2,453)</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fixed assets,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Note receivable from affiliate: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Collections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Advances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(28,100)</w:t>
            </w:r>
          </w:p>
        </w:tc>
        <w:tc>
          <w:tcPr>
            <w:tcW w:w="0" w:type="dxa"/>
            <w:vAlign w:val="bottom"/>
          </w:tcPr>
          <w:p>
            <w:pPr>
              <w:spacing w:after="0"/>
              <w:rPr>
                <w:sz w:val="1"/>
                <w:szCs w:val="1"/>
                <w:color w:val="auto"/>
              </w:rPr>
            </w:pPr>
          </w:p>
        </w:tc>
      </w:tr>
      <w:tr>
        <w:trPr>
          <w:trHeight w:val="223"/>
        </w:trPr>
        <w:tc>
          <w:tcPr>
            <w:tcW w:w="85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flows from financing activities -</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(2,613)</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and cash equivalents - net change from:</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43,743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50,224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Supplemental disclosures -</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i w:val="1"/>
          <w:iCs w:val="1"/>
          <w:color w:val="auto"/>
        </w:rPr>
        <w:t>Organization</w:t>
      </w:r>
      <w:r>
        <w:rPr>
          <w:rFonts w:ascii="Arial" w:cs="Arial" w:eastAsia="Arial" w:hAnsi="Arial"/>
          <w:sz w:val="16"/>
          <w:szCs w:val="16"/>
          <w:color w:val="auto"/>
        </w:rPr>
        <w:t>. We (NYSE American: CIX) are 86% owned by NL Industries, Inc. (NYSE: NL) at September 30, 2019. We manufacture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products (security products and recreational marine components). At September 30, 2019, Valhi, Inc. (NYSE: VHI) owns 83% of NL’s outstanding common stock and a wholly-owned subsidiary of Contran Corporation owns 92% of Valhi’s outstanding common stock. At September 30, 2019, a majority of Contran’s outstanding voting stock is held directly by Lisa K. Simmons and Serena Simmons Connelly and various family trusts established for the benefit of Ms. Simmons and Ms. Connelly and their children and for which Ms. Simmons or Ms. Connelly, as applicable, serves as trustee. In addition, each of Ms. Simmons and Ms. Connelly serves as co-chair of the Contran board of directors. The remainder of Contran’s outstanding voting stock is held by another trust (the “Family Trust”), which was established for the benefit of Ms. Simmons and Ms. Connelly and their children and for which a third-party financial institution serves as trustee. Consequently, at September 30, 2019, Ms. Simmons, Ms. Connelly and the Family Trust may be deemed to control Contran, and therefore may be deemed to indirectly control the wholly-owned subsidiary of Contran, Valhi, NL and us.</w:t>
      </w:r>
    </w:p>
    <w:p>
      <w:pPr>
        <w:spacing w:after="0" w:line="16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 subsidiaries. The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contained in this Quarterly Report have been prepared on the same basis as the audited Consolidated Financial Statements included in our Annual Report on Form 10-K for the year ended December 31, 2018 that we filed with the Securities and Exchange Commission (“SEC”) on February 27, 2019 (the “2018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2018 contained in this Quarterly Report as compared to our audited Consolidated Financial Statements at that date, and we have omitted certain information and footnote disclosures (including those related to the Consolidated Balance Sheet at December 31, 2018) normally included in financial statements prepared in accordance with accounting principles generally accepted in the United States of America (“GAAP”). Our results of operations for the interim periods ended September 30, 2019 may not be indicative of our operating results for the full year. The Condensed Consolidated Financial Statements contained in this Quarterly Report should be read in conjunction with our 2018 Consolidated Financial Statements contained in our 2018 Annual Report.</w:t>
      </w:r>
    </w:p>
    <w:p>
      <w:pPr>
        <w:spacing w:after="0" w:line="18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September 30, 2018, December 31, 2018 and September 30, 2019. The actual dates of our annual and quarterly periods are September 30, 2018, December 30, 2018 and September 29, 2019, respectively. Unless otherwise indicated, references in this report to “we”, “us” or “our” refer to CompX International Inc. and its subsidiaries, taken as a whole.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6"/>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24,541</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23,405</w:t>
            </w:r>
          </w:p>
        </w:tc>
        <w:tc>
          <w:tcPr>
            <w:tcW w:w="18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75,845</w:t>
            </w:r>
          </w:p>
        </w:tc>
        <w:tc>
          <w:tcPr>
            <w:tcW w:w="10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75,036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6,298</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14,982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19,574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2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30,029</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29,703</w:t>
            </w:r>
          </w:p>
        </w:tc>
        <w:tc>
          <w:tcPr>
            <w:tcW w:w="1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90,827</w:t>
            </w: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94,610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2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4,866</w:t>
            </w:r>
          </w:p>
        </w:tc>
        <w:tc>
          <w:tcPr>
            <w:tcW w:w="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17,761</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15,990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(1,627)</w:t>
            </w:r>
          </w:p>
        </w:tc>
        <w:tc>
          <w:tcPr>
            <w:tcW w:w="3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(1,642)</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(5,217)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4,266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14,879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848</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Income before taxes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5,217</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5,114</w:t>
            </w:r>
          </w:p>
        </w:tc>
        <w:tc>
          <w:tcPr>
            <w:tcW w:w="1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16,787</w:t>
            </w:r>
          </w:p>
        </w:tc>
        <w:tc>
          <w:tcPr>
            <w:tcW w:w="10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16,691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32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10,596</w:t>
            </w:r>
          </w:p>
        </w:tc>
        <w:tc>
          <w:tcPr>
            <w:tcW w:w="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11,239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59"/>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7"/>
          </w:tcPr>
          <w:p>
            <w:pPr>
              <w:jc w:val="right"/>
              <w:ind w:right="140"/>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2,694</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11,130</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11,952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18,826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160" w:type="dxa"/>
            <w:vAlign w:val="bottom"/>
            <w:vMerge w:val="restart"/>
          </w:tcPr>
          <w:p>
            <w:pPr>
              <w:jc w:val="right"/>
              <w:ind w:right="530"/>
              <w:spacing w:after="0"/>
              <w:rPr>
                <w:sz w:val="20"/>
                <w:szCs w:val="20"/>
                <w:color w:val="auto"/>
              </w:rPr>
            </w:pPr>
            <w:r>
              <w:rPr>
                <w:rFonts w:ascii="Arial" w:cs="Arial" w:eastAsia="Arial" w:hAnsi="Arial"/>
                <w:sz w:val="18"/>
                <w:szCs w:val="18"/>
                <w:color w:val="auto"/>
              </w:rPr>
              <w:t>- 8 -</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3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4"/>
          </w:tcPr>
          <w:p>
            <w:pPr>
              <w:jc w:val="center"/>
              <w:ind w:right="74"/>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2,708</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Customer tooling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Taxes other than on income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rate of 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440" w:type="dxa"/>
            <w:vAlign w:val="bottom"/>
            <w:gridSpan w:val="2"/>
            <w:vMerge w:val="continue"/>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State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FDII benefit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Under the 2017 Tax Act enacted into law on December 22, 2017, beginning in 2018, domestic corporations who are U.S. exporters with no foreign operations may be eligible for a deduction under the foreign derived intangible income provisions. We qualify for this deduction and recognized a current cash tax benefit of $170,000 in the first nine months of 2019 ($98,000 of such current cash tax benefit is related to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2018</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2019</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7"/>
              </w:rPr>
              <w:t>Carrying</w:t>
            </w:r>
          </w:p>
        </w:tc>
        <w:tc>
          <w:tcPr>
            <w:tcW w:w="660" w:type="dxa"/>
            <w:vAlign w:val="bottom"/>
          </w:tcPr>
          <w:p>
            <w:pPr>
              <w:spacing w:after="0"/>
              <w:rPr>
                <w:sz w:val="12"/>
                <w:szCs w:val="12"/>
                <w:color w:val="auto"/>
              </w:rPr>
            </w:pPr>
          </w:p>
        </w:tc>
        <w:tc>
          <w:tcPr>
            <w:tcW w:w="880" w:type="dxa"/>
            <w:vAlign w:val="bottom"/>
          </w:tcPr>
          <w:p>
            <w:pPr>
              <w:jc w:val="center"/>
              <w:ind w:right="29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3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50,224</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50,224</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12,140</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13,433</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13,433</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3,498</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3,498</w:t>
            </w:r>
          </w:p>
        </w:tc>
        <w:tc>
          <w:tcPr>
            <w:tcW w:w="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2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loan to Valhi, as amended, bears interest at prime plus 1.00%, (6.0% at September 30, 2019) payable quarterly, with all principal due on demand, but in any event no earlier than December 31, 2020. Loans made to Valhi at any time under the agreement are at our discretion. At September 30, 2019, the outstanding principal balance receivable from Valhi under the promissory note was $36.7 million. Interest income (including unused commitment fees) on our loan to Valhi was $0.5 million and $0.6 million for each of the three month periods ended September 30, 2018 and 2019, respectively, and $1.6 million and $1.9 million for the nine months ended September 30, 2018 and 2019, respectively. On September 30, 2019 (one day after our fiscal quarterly period, but on the last day of the fiscal period for Valhi), we loaned $3.3 million to Valhi, increasing the outstanding principal balance receivable from Valhi under the promissory note to $40.0 million.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 xml:space="preserve">On January 1, 2019, we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was a comprehensive rewriting of the lease accounting guidance which aimed to increase comparability and transparency with regard to lease transactions. The primary change for leases currently classified as operating leases is the balance sheet recognition of a lease asset for the right to use the underlying asset and a lease liability for the lessee’s obligation to make payments. Due to our minimal utilization of lease financing, the adoption of this standard did not have a material effect on our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8" w:lineRule="exact"/>
        <w:rPr>
          <w:sz w:val="20"/>
          <w:szCs w:val="20"/>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Operating income of $4.3 million in the third quarter of 2019 declined slightly from $4.5 million in the same period of 2018. Operating income for the first nine months of 2019 declined to $14.2 million compared to $14.9 million for the comparable period in 2018. The decrease in operating income in both periods of 2019 compared to the same periods in 2018 is primarily due to lower Security Products sales volumes and increased labor rates and associated payroll costs at our Security Products segment, partially offset by the effect of higher sales volumes at our Marine Components segment.</w:t>
      </w:r>
    </w:p>
    <w:p>
      <w:pPr>
        <w:spacing w:after="0" w:line="171"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30,029</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29,703</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20,435</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20,227</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68.1%</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9,594</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9,476</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31.9%</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5,074</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5,210</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17.5%</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4,266</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14.4%</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376"/>
        </w:trPr>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0"/>
              </w:rPr>
              <w:t>Nine months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80"/>
        </w:trPr>
        <w:tc>
          <w:tcPr>
            <w:tcW w:w="6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9"/>
        </w:trPr>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90,827</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94,610</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60,494</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64,571</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68.2%</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30,333</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30,039</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31.8%</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15,454</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15,860</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14,879</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14,179</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15.0%</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decreased $0.3 million in the third quarter of 2019 compared to the same period in 2018 as higher Marine Components sales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towboat market were more than offset by lower Security Products sales across a variety of markets. Net sales increased $3.8 million in the first nine months of 2019 compared to the same period in 2018 due to strong sales growth at Marine Components partially offset by lower Security Products sales predominantly in the third quarter. Relative changes in selling prices did not have a material impact on net sales comparisons.</w:t>
      </w:r>
    </w:p>
    <w:p>
      <w:pPr>
        <w:spacing w:after="0" w:line="17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 xml:space="preserve">Cost of sales and gross margin. </w:t>
      </w:r>
      <w:r>
        <w:rPr>
          <w:rFonts w:ascii="Arial" w:cs="Arial" w:eastAsia="Arial" w:hAnsi="Arial"/>
          <w:sz w:val="17"/>
          <w:szCs w:val="17"/>
          <w:color w:val="auto"/>
        </w:rPr>
        <w:t>As a percentage of net sales, cost of sales and gross margin for the third quarter of 2019 were comparable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2018 as the improvement in the Marine Components gross margin percentage in the third quarter of 2019 compared to the third quarter 2018 offset the decline in relative contribution of Security Products which generally has higher gross margin percentages than Marine Components. Cost of sales as a percentage of net sales increased in the first nine months of 2019 compared to the same period in 2018. As a result, gross margin as a percentage of sales decreased over the same period. The decrease in gross margin percentage is the result of the decline in Security Products gross margin percentage for the first nine months of 2019 as compared to the same period in 2018.</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Operating costs and expenses consist primarily of sales and administrative-related personnel costs, sales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advertising expenses, as well as gains and losses on plant, property and equipment. Operating costs and expenses for the third quarter and first nine months of 2019 increased compared to the same period in 2018 largely due to increased administration costs at Marine Components.</w:t>
      </w:r>
    </w:p>
    <w:p>
      <w:pPr>
        <w:spacing w:after="0" w:line="147"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As a percentage of net sales, operating income for the third quarter and first nine months of 2019 decreased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of 2018 and was primarily impacted by the factors impacting cost of sales, gross margin and operating costs discussed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Our operations are wholly within the U.S. and therefore our effective income tax rate is primarily reflective of the U.S. federal statutory rate and applicable state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0"/>
              </w:rPr>
              <w:t>Nine months ended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24,541</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23,405</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75,845</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75,036</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6,298</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19,574</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30,029</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29,703</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90,827</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94,610</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8,113</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7,668</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26,082</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24,566</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1,808</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5,473</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gross margin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9,594</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9,476</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30,333</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30,039</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5,335</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4,866</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17,761</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15,990</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1,042</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3,223</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Corporate operating expenses</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(1,642)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(5,034)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4,266</w:t>
            </w:r>
          </w:p>
        </w:tc>
        <w:tc>
          <w:tcPr>
            <w:tcW w:w="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14,879</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14,179</w:t>
            </w:r>
          </w:p>
        </w:tc>
        <w:tc>
          <w:tcPr>
            <w:tcW w:w="3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Gross margin:</w:t>
            </w:r>
          </w:p>
        </w:tc>
        <w:tc>
          <w:tcPr>
            <w:tcW w:w="2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3"/>
        </w:trPr>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33.1%</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32.8%</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34.4%</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32.7%</w:t>
            </w:r>
          </w:p>
        </w:tc>
      </w:tr>
      <w:tr>
        <w:trPr>
          <w:trHeight w:val="243"/>
        </w:trPr>
        <w:tc>
          <w:tcPr>
            <w:tcW w:w="38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27.0%</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28.7%</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28.4%</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28.0%</w:t>
            </w:r>
          </w:p>
        </w:tc>
      </w:tr>
      <w:tr>
        <w:trPr>
          <w:trHeight w:val="243"/>
        </w:trPr>
        <w:tc>
          <w:tcPr>
            <w:tcW w:w="3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gross margin</w:t>
            </w:r>
          </w:p>
        </w:tc>
        <w:tc>
          <w:tcPr>
            <w:tcW w:w="2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31.9%</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31.9%</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33.4%</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31.8%</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43"/>
        </w:trPr>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21.7%</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20.8%</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23.4%</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21.3%</w:t>
            </w:r>
          </w:p>
        </w:tc>
      </w:tr>
      <w:tr>
        <w:trPr>
          <w:trHeight w:val="243"/>
        </w:trPr>
        <w:tc>
          <w:tcPr>
            <w:tcW w:w="38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320" w:type="dxa"/>
            <w:vAlign w:val="bottom"/>
          </w:tcPr>
          <w:p>
            <w:pPr>
              <w:jc w:val="right"/>
              <w:ind w:right="290"/>
              <w:spacing w:after="0"/>
              <w:rPr>
                <w:sz w:val="20"/>
                <w:szCs w:val="20"/>
                <w:color w:val="auto"/>
              </w:rPr>
            </w:pPr>
            <w:r>
              <w:rPr>
                <w:rFonts w:ascii="Arial" w:cs="Arial" w:eastAsia="Arial" w:hAnsi="Arial"/>
                <w:sz w:val="18"/>
                <w:szCs w:val="18"/>
                <w:color w:val="auto"/>
              </w:rPr>
              <w:t>14.8%</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16.5%</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15.6%</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16.5%</w:t>
            </w:r>
          </w:p>
        </w:tc>
      </w:tr>
      <w:tr>
        <w:trPr>
          <w:trHeight w:val="243"/>
        </w:trPr>
        <w:tc>
          <w:tcPr>
            <w:tcW w:w="3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15.1%</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14.4%</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16.4%</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15.0%</w:t>
            </w:r>
          </w:p>
        </w:tc>
      </w:tr>
    </w:tbl>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Security Products</w:t>
      </w:r>
      <w:r>
        <w:rPr>
          <w:rFonts w:ascii="Arial" w:cs="Arial" w:eastAsia="Arial" w:hAnsi="Arial"/>
          <w:sz w:val="16"/>
          <w:szCs w:val="16"/>
          <w:color w:val="auto"/>
        </w:rPr>
        <w:t>. Security Products net sales decreased 5% in the third quarter of 2019 compared to the same period in 2018 due to lower sales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 variety of markets including a $0.5 million decrease in each of the transportation and government security markets. Security Products net sales for the first nine months of 2019 was comparable to the same period last year. Gross margin and operating income as a percentage of net sales for the third quarter and for the first nine months of 2019 declined as compared to the same periods last year primarily due to increased labor rates and associated payroll costs resulting from regional pressure on wages for certain skilled labor positions as well as reduced leverage of fixed costs on decreased production volumes.</w:t>
      </w:r>
    </w:p>
    <w:p>
      <w:pPr>
        <w:spacing w:after="0" w:line="15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Marine Components</w:t>
      </w:r>
      <w:r>
        <w:rPr>
          <w:rFonts w:ascii="Arial" w:cs="Arial" w:eastAsia="Arial" w:hAnsi="Arial"/>
          <w:sz w:val="17"/>
          <w:szCs w:val="17"/>
          <w:color w:val="auto"/>
        </w:rPr>
        <w:t>. Marine Components net sales increased 15% and 31% in the third quarter and first nine months of 2019, respectively,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periods last year. The increase in sales is primarily due to increased sales to the towboat market, primarily wake enhancement systems and surf pipes to an original equipment boat manufacturer. As a percentage of net sales, gross margin and operating income increased in the third quarter of 2019 compared to the same period in 2018 due to improved fixed cost leverage facilitated by higher production volumes. Gross margin percentage for the first nine months of 2019 is comparable to the same period last year as improved cost leverage on higher production volumes was offset by less favorable customer and product mix, predominantly in the first half of the year. Operating income as a percentage of net sales increased in the third quarter and first nine months of 2019 compared to the same periods in the prior year due to improved fixed cost leverage facilitated by higher production volumes somewhat offset in both periods by increased administrative costs to support higher sustained sales volumes.</w:t>
      </w:r>
    </w:p>
    <w:p>
      <w:pPr>
        <w:spacing w:after="0" w:line="17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As reflected in the operating results, our Security Products segment encountered generally weakening economic conditions among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markets during the latter half of the third quarter. As expected, the rate of sales growth for Marine Components began to moderate in the third quarter relative to the same period in 2018, the quarter in which we significantly increased our deliveries of wake enhancement systems. Nevertheless, absent further economic slowdown, we believe full year sales will exceed 2018. Operating income and operating margin for the Security Products segment decreased for the first nine months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2019 relative to prior year due to higher labor rates and associated payroll costs, the effect of which we were not able to offset through higher selling prices. Although we have experienced minimal direct impact from recently enacted tariffs, we believe that tariffs and related global trade concerns may be impacting our significant original equipment manufacturer customers. We will continue to monitor economic conditions and sales order rates and respond to fluctuations in customer demand through continuous evaluation of staffing levels and discretionary spending as well as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2019 decreased by $0.3 million as compared to the first nine months of 2018. The decrease is primarily due to the net effects of:</w:t>
      </w:r>
    </w:p>
    <w:p>
      <w:pPr>
        <w:spacing w:after="0" w:line="62" w:lineRule="exact"/>
        <w:rPr>
          <w:sz w:val="20"/>
          <w:szCs w:val="20"/>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$0.7 million decrease in operating income in 2019,</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$0.5 million increase in interest received in 2019 (net of accrued interest at December 31, 2018 and September 30, 2019, respectively),</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$0.8 million increase in cash paid for taxes in 2019 due to the relative timing of payments,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lower amount of net cash used by relative changes in inventories, receivables, payables and non-tax accruals of $0.4 million.</w:t>
      </w:r>
    </w:p>
    <w:p>
      <w:pPr>
        <w:spacing w:after="0" w:line="19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Relative changes in working capital can have a significant effect on cash flows from operating activities. As shown below, the change in our average days sales outstanding from December 31, 2018 to September 30, 2019 varied by segment, primarily as a result of relative changes in the timing of collections. For comparative purposes, we have provided December 31, 2017 and September 30, 2018 numbers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2018</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30, 2019</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44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31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42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32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38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40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41 Days</w:t>
            </w:r>
          </w:p>
        </w:tc>
      </w:tr>
    </w:tbl>
    <w:p>
      <w:pPr>
        <w:spacing w:after="0" w:line="16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total average number of days in inventory increased from December 31, 2018 to September 30, 2019 due to increased inventory at Security Products primarily due to the timing of raw material purchases and an intentional raw material inventory build related to product lines in which certain components require long lead-times. The variability in days in inventory among our segments relates to the differences in the average length of time it takes to produce and sell end-products. Generally, we expect Security Products inventory to turn faster than Marine Components. For comparative purposes, we have provided December 31, 2017 and September 30, 2018 numbers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2018</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30, 2019</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74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77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83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96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86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91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90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79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76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80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85 Days</w:t>
            </w:r>
          </w:p>
        </w:tc>
      </w:tr>
    </w:tbl>
    <w:p>
      <w:pPr>
        <w:spacing w:after="0" w:line="24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$2.5 million in the first nine months of 2019 compared to $2.0 million in the first nine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2018. During the first nine months of 2019, Valhi borrowed a net $2.7 million under the promissory note ($28.1 million of gross borrowings and $25.4 million of gross repayments). During the first nine months of 2018, Valhi repaid a net $5.2 million under the promissory note ($39.0 million of gross borrowings and $44.2 million of gross repayments). See Note 8 to the Condensed Consolidated Financial Statements.</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consisted only of quarterly cash dividends. In February 2019, our board of directors increased our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dividend from $.05 per share to $.07 per share beginning in the first quarter of 2019. The declaration and payment of future dividends and the amount thereof, if any, is discretionary and is dependent upon our results of operations, financial condition, cash requirements for our businesses, contractual requirements and restrictions and other factors deemed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by our board of directors. The amount and timing of past dividends is not necessarily indicative of the amount or timing of any future dividends which we might pay.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$50.2 million aggregate cash and cash equivalents at September 30, 2019 were held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September 30, 2019 totaled $0.6 million. Our 2019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limited to those expenditures required to meet our expected customer demand and those required to properly maintain our facilities and technology infrastructure.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2018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 other than the operating leases discussed in our 2018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the first nine months of 2019 with respect to our critical accounting policies presented in Management’s Discussion and Analysis of Financial Condition and Results of Operations in our 2018 Annual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2018 Annual Report, and we refer you to Part I, Item 7A – “Quantitative and Qualitative Disclosure About Market Risk” in our 2018 Annual Report. See also Note 7 to the Condensed Consolidated Financial Statements.</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spacing w:after="0" w:line="293" w:lineRule="auto"/>
        <w:rPr>
          <w:sz w:val="20"/>
          <w:szCs w:val="20"/>
          <w:color w:val="auto"/>
        </w:rPr>
      </w:pPr>
      <w:r>
        <w:rPr>
          <w:rFonts w:ascii="Arial" w:cs="Arial" w:eastAsia="Arial" w:hAnsi="Arial"/>
          <w:sz w:val="16"/>
          <w:szCs w:val="16"/>
          <w:color w:val="auto"/>
        </w:rPr>
        <w:t>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Vice President and Chief Financial Officer, has evaluated the design and operating effectiveness of our disclosure controls and procedures as of September 30, 2019. Based upon their evaluation, these executive officers have concluded that our disclosure controls and procedures are effective as of the date of such evaluation.</w:t>
      </w:r>
    </w:p>
    <w:p>
      <w:pPr>
        <w:spacing w:after="0" w:line="53"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66" w:lineRule="exact"/>
        <w:rPr>
          <w:sz w:val="20"/>
          <w:szCs w:val="20"/>
          <w:color w:val="auto"/>
        </w:rPr>
      </w:pPr>
    </w:p>
    <w:p>
      <w:pPr>
        <w:ind w:firstLine="518"/>
        <w:spacing w:after="0" w:line="313"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September 30, 2019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Reference is made to the 2018 Annual Report for a discussion of the risk factors related to our businesses. There have been no material changes in such risk factors during the first nine months of 2019.</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8"/>
              </w:rPr>
              <w:t>Exhibit Index</w:t>
            </w:r>
          </w:p>
        </w:tc>
        <w:tc>
          <w:tcPr>
            <w:tcW w:w="9220" w:type="dxa"/>
            <w:vAlign w:val="bottom"/>
            <w:tcBorders>
              <w:bottom w:val="single" w:sz="8" w:color="auto"/>
            </w:tcBorders>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2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(Registrant)</w:t>
            </w:r>
          </w:p>
        </w:tc>
        <w:tc>
          <w:tcPr>
            <w:tcW w:w="2440" w:type="dxa"/>
            <w:vAlign w:val="bottom"/>
          </w:tcPr>
          <w:p>
            <w:pPr>
              <w:spacing w:after="0"/>
              <w:rPr>
                <w:sz w:val="20"/>
                <w:szCs w:val="20"/>
                <w:color w:val="auto"/>
              </w:rPr>
            </w:pPr>
          </w:p>
        </w:tc>
      </w:tr>
      <w:tr>
        <w:trPr>
          <w:trHeight w:val="459"/>
        </w:trPr>
        <w:tc>
          <w:tcPr>
            <w:tcW w:w="3640" w:type="dxa"/>
            <w:vAlign w:val="bottom"/>
          </w:tcPr>
          <w:p>
            <w:pPr>
              <w:spacing w:after="0"/>
              <w:rPr>
                <w:sz w:val="20"/>
                <w:szCs w:val="20"/>
                <w:color w:val="auto"/>
              </w:rPr>
            </w:pPr>
            <w:r>
              <w:rPr>
                <w:rFonts w:ascii="Arial" w:cs="Arial" w:eastAsia="Arial" w:hAnsi="Arial"/>
                <w:sz w:val="18"/>
                <w:szCs w:val="18"/>
                <w:color w:val="auto"/>
              </w:rPr>
              <w:t>Date: October 30, 2019</w:t>
            </w:r>
          </w:p>
        </w:tc>
        <w:tc>
          <w:tcPr>
            <w:tcW w:w="268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By:  /s/ Amy A. Samford</w:t>
            </w:r>
          </w:p>
        </w:tc>
      </w:tr>
      <w:tr>
        <w:trPr>
          <w:trHeight w:val="195"/>
        </w:trPr>
        <w:tc>
          <w:tcPr>
            <w:tcW w:w="3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Amy A. Samford</w:t>
            </w:r>
          </w:p>
        </w:tc>
      </w:tr>
      <w:tr>
        <w:trPr>
          <w:trHeight w:val="230"/>
        </w:trPr>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648"/>
        </w:trPr>
        <w:tc>
          <w:tcPr>
            <w:tcW w:w="3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By:  /s/ Amy E. Ruf</w:t>
            </w:r>
          </w:p>
        </w:tc>
      </w:tr>
      <w:tr>
        <w:trPr>
          <w:trHeight w:val="195"/>
        </w:trPr>
        <w:tc>
          <w:tcPr>
            <w:tcW w:w="3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Amy E. Ruf</w:t>
            </w:r>
          </w:p>
        </w:tc>
      </w:tr>
      <w:tr>
        <w:trPr>
          <w:trHeight w:val="230"/>
        </w:trPr>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864"/>
        </w:trPr>
        <w:tc>
          <w:tcPr>
            <w:tcW w:w="3640" w:type="dxa"/>
            <w:vAlign w:val="bottom"/>
          </w:tcPr>
          <w:p>
            <w:pPr>
              <w:spacing w:after="0"/>
              <w:rPr>
                <w:sz w:val="24"/>
                <w:szCs w:val="24"/>
                <w:color w:val="auto"/>
              </w:rPr>
            </w:pPr>
          </w:p>
        </w:tc>
        <w:tc>
          <w:tcPr>
            <w:tcW w:w="2680" w:type="dxa"/>
            <w:vAlign w:val="bottom"/>
          </w:tcPr>
          <w:p>
            <w:pPr>
              <w:jc w:val="right"/>
              <w:ind w:right="330"/>
              <w:spacing w:after="0"/>
              <w:rPr>
                <w:sz w:val="20"/>
                <w:szCs w:val="20"/>
                <w:color w:val="auto"/>
              </w:rPr>
            </w:pPr>
            <w:r>
              <w:rPr>
                <w:rFonts w:ascii="Arial" w:cs="Arial" w:eastAsia="Arial" w:hAnsi="Arial"/>
                <w:sz w:val="18"/>
                <w:szCs w:val="18"/>
                <w:color w:val="auto"/>
              </w:rPr>
              <w:t>- 18 -</w:t>
            </w: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C. James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11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667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quarter ended September 30, 2019 as filed with the Securities and Exchange Commission on the date hereof (the Report), I, Scott C. James, President and Chief Executive Officer of the Company and I, Amy A. Samford, Vice President and Chief Financial Officer of the Company, certify, pursuant to 18 U.S.C. §1350, as adopted pursuant to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Amy A. Samford</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and 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2019-12-28T04:51:16Z</dcterms:created>
  <dcterms:modified xsi:type="dcterms:W3CDTF">2019-12-28T04:51:16Z</dcterms:modified>
</cp:coreProperties>
</file>