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October 26, 2023</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COMPX INTERNATIONAL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01" w:lineRule="exact"/>
        <w:rPr>
          <w:sz w:val="24"/>
          <w:szCs w:val="24"/>
          <w:color w:val="auto"/>
        </w:rPr>
      </w:pPr>
    </w:p>
    <w:tbl>
      <w:tblPr>
        <w:tblLayout w:type="fixed"/>
        <w:tblInd w:w="500" w:type="dxa"/>
        <w:tblCellMar>
          <w:top w:w="0" w:type="dxa"/>
          <w:left w:w="0" w:type="dxa"/>
          <w:bottom w:w="0" w:type="dxa"/>
          <w:right w:w="0" w:type="dxa"/>
        </w:tblCellMar>
      </w:tblPr>
      <w:tr>
        <w:trPr>
          <w:trHeight w:val="256"/>
        </w:trPr>
        <w:tc>
          <w:tcPr>
            <w:tcW w:w="2820" w:type="dxa"/>
            <w:vAlign w:val="bottom"/>
          </w:tcPr>
          <w:p>
            <w:pPr>
              <w:jc w:val="center"/>
              <w:ind w:right="643"/>
              <w:spacing w:after="0"/>
              <w:rPr>
                <w:sz w:val="20"/>
                <w:szCs w:val="20"/>
                <w:color w:val="auto"/>
              </w:rPr>
            </w:pPr>
            <w:r>
              <w:rPr>
                <w:rFonts w:ascii="Arial" w:cs="Arial" w:eastAsia="Arial" w:hAnsi="Arial"/>
                <w:sz w:val="22"/>
                <w:szCs w:val="22"/>
                <w:b w:val="1"/>
                <w:bCs w:val="1"/>
                <w:color w:val="auto"/>
                <w:w w:val="91"/>
              </w:rPr>
              <w:t>Delaware</w:t>
            </w:r>
          </w:p>
        </w:tc>
        <w:tc>
          <w:tcPr>
            <w:tcW w:w="2640" w:type="dxa"/>
            <w:vAlign w:val="bottom"/>
          </w:tcPr>
          <w:p>
            <w:pPr>
              <w:jc w:val="center"/>
              <w:ind w:right="144"/>
              <w:spacing w:after="0"/>
              <w:rPr>
                <w:sz w:val="20"/>
                <w:szCs w:val="20"/>
                <w:color w:val="auto"/>
              </w:rPr>
            </w:pPr>
            <w:r>
              <w:rPr>
                <w:rFonts w:ascii="Arial" w:cs="Arial" w:eastAsia="Arial" w:hAnsi="Arial"/>
                <w:sz w:val="22"/>
                <w:szCs w:val="22"/>
                <w:b w:val="1"/>
                <w:bCs w:val="1"/>
                <w:color w:val="auto"/>
                <w:w w:val="89"/>
              </w:rPr>
              <w:t>1-13905</w:t>
            </w:r>
          </w:p>
        </w:tc>
        <w:tc>
          <w:tcPr>
            <w:tcW w:w="2200" w:type="dxa"/>
            <w:vAlign w:val="bottom"/>
          </w:tcPr>
          <w:p>
            <w:pPr>
              <w:jc w:val="center"/>
              <w:ind w:left="743"/>
              <w:spacing w:after="0"/>
              <w:rPr>
                <w:sz w:val="20"/>
                <w:szCs w:val="20"/>
                <w:color w:val="auto"/>
              </w:rPr>
            </w:pPr>
            <w:r>
              <w:rPr>
                <w:rFonts w:ascii="Arial" w:cs="Arial" w:eastAsia="Arial" w:hAnsi="Arial"/>
                <w:sz w:val="22"/>
                <w:szCs w:val="22"/>
                <w:b w:val="1"/>
                <w:bCs w:val="1"/>
                <w:color w:val="auto"/>
                <w:w w:val="88"/>
              </w:rPr>
              <w:t>57-0981653</w:t>
            </w:r>
          </w:p>
        </w:tc>
      </w:tr>
      <w:tr>
        <w:trPr>
          <w:trHeight w:val="216"/>
        </w:trPr>
        <w:tc>
          <w:tcPr>
            <w:tcW w:w="2820" w:type="dxa"/>
            <w:vAlign w:val="bottom"/>
          </w:tcPr>
          <w:p>
            <w:pPr>
              <w:jc w:val="center"/>
              <w:ind w:right="643"/>
              <w:spacing w:after="0"/>
              <w:rPr>
                <w:sz w:val="20"/>
                <w:szCs w:val="20"/>
                <w:color w:val="auto"/>
              </w:rPr>
            </w:pPr>
            <w:r>
              <w:rPr>
                <w:rFonts w:ascii="Arial" w:cs="Arial" w:eastAsia="Arial" w:hAnsi="Arial"/>
                <w:sz w:val="18"/>
                <w:szCs w:val="18"/>
                <w:color w:val="auto"/>
                <w:w w:val="92"/>
              </w:rPr>
              <w:t>(State or other jurisdiction of</w:t>
            </w:r>
          </w:p>
        </w:tc>
        <w:tc>
          <w:tcPr>
            <w:tcW w:w="2640" w:type="dxa"/>
            <w:vAlign w:val="bottom"/>
          </w:tcPr>
          <w:p>
            <w:pPr>
              <w:jc w:val="center"/>
              <w:ind w:right="144"/>
              <w:spacing w:after="0"/>
              <w:rPr>
                <w:sz w:val="20"/>
                <w:szCs w:val="20"/>
                <w:color w:val="auto"/>
              </w:rPr>
            </w:pPr>
            <w:r>
              <w:rPr>
                <w:rFonts w:ascii="Arial" w:cs="Arial" w:eastAsia="Arial" w:hAnsi="Arial"/>
                <w:sz w:val="18"/>
                <w:szCs w:val="18"/>
                <w:color w:val="auto"/>
                <w:w w:val="91"/>
              </w:rPr>
              <w:t>(Commission</w:t>
            </w:r>
          </w:p>
        </w:tc>
        <w:tc>
          <w:tcPr>
            <w:tcW w:w="2200" w:type="dxa"/>
            <w:vAlign w:val="bottom"/>
          </w:tcPr>
          <w:p>
            <w:pPr>
              <w:jc w:val="center"/>
              <w:ind w:left="763"/>
              <w:spacing w:after="0"/>
              <w:rPr>
                <w:sz w:val="20"/>
                <w:szCs w:val="20"/>
                <w:color w:val="auto"/>
              </w:rPr>
            </w:pPr>
            <w:r>
              <w:rPr>
                <w:rFonts w:ascii="Arial" w:cs="Arial" w:eastAsia="Arial" w:hAnsi="Arial"/>
                <w:sz w:val="18"/>
                <w:szCs w:val="18"/>
                <w:color w:val="auto"/>
                <w:w w:val="93"/>
              </w:rPr>
              <w:t>(IRS Employer</w:t>
            </w:r>
          </w:p>
        </w:tc>
      </w:tr>
      <w:tr>
        <w:trPr>
          <w:trHeight w:val="230"/>
        </w:trPr>
        <w:tc>
          <w:tcPr>
            <w:tcW w:w="2820" w:type="dxa"/>
            <w:vAlign w:val="bottom"/>
          </w:tcPr>
          <w:p>
            <w:pPr>
              <w:jc w:val="center"/>
              <w:ind w:right="643"/>
              <w:spacing w:after="0"/>
              <w:rPr>
                <w:sz w:val="20"/>
                <w:szCs w:val="20"/>
                <w:color w:val="auto"/>
              </w:rPr>
            </w:pPr>
            <w:r>
              <w:rPr>
                <w:rFonts w:ascii="Arial" w:cs="Arial" w:eastAsia="Arial" w:hAnsi="Arial"/>
                <w:sz w:val="18"/>
                <w:szCs w:val="18"/>
                <w:color w:val="auto"/>
                <w:w w:val="94"/>
              </w:rPr>
              <w:t>incorporation)</w:t>
            </w:r>
          </w:p>
        </w:tc>
        <w:tc>
          <w:tcPr>
            <w:tcW w:w="2640" w:type="dxa"/>
            <w:vAlign w:val="bottom"/>
          </w:tcPr>
          <w:p>
            <w:pPr>
              <w:jc w:val="center"/>
              <w:ind w:right="124"/>
              <w:spacing w:after="0"/>
              <w:rPr>
                <w:sz w:val="20"/>
                <w:szCs w:val="20"/>
                <w:color w:val="auto"/>
              </w:rPr>
            </w:pPr>
            <w:r>
              <w:rPr>
                <w:rFonts w:ascii="Arial" w:cs="Arial" w:eastAsia="Arial" w:hAnsi="Arial"/>
                <w:sz w:val="18"/>
                <w:szCs w:val="18"/>
                <w:color w:val="auto"/>
                <w:w w:val="94"/>
              </w:rPr>
              <w:t>File Number)</w:t>
            </w:r>
          </w:p>
        </w:tc>
        <w:tc>
          <w:tcPr>
            <w:tcW w:w="2200" w:type="dxa"/>
            <w:vAlign w:val="bottom"/>
          </w:tcPr>
          <w:p>
            <w:pPr>
              <w:jc w:val="center"/>
              <w:ind w:left="763"/>
              <w:spacing w:after="0"/>
              <w:rPr>
                <w:sz w:val="20"/>
                <w:szCs w:val="20"/>
                <w:color w:val="auto"/>
              </w:rPr>
            </w:pPr>
            <w:r>
              <w:rPr>
                <w:rFonts w:ascii="Arial" w:cs="Arial" w:eastAsia="Arial" w:hAnsi="Arial"/>
                <w:sz w:val="18"/>
                <w:szCs w:val="18"/>
                <w:color w:val="auto"/>
                <w:w w:val="95"/>
              </w:rPr>
              <w:t>Identification No.)</w:t>
            </w:r>
          </w:p>
        </w:tc>
      </w:tr>
      <w:tr>
        <w:trPr>
          <w:trHeight w:val="661"/>
        </w:trPr>
        <w:tc>
          <w:tcPr>
            <w:tcW w:w="5460" w:type="dxa"/>
            <w:vAlign w:val="bottom"/>
            <w:gridSpan w:val="2"/>
          </w:tcPr>
          <w:p>
            <w:pPr>
              <w:jc w:val="center"/>
              <w:ind w:right="284"/>
              <w:spacing w:after="0"/>
              <w:rPr>
                <w:sz w:val="20"/>
                <w:szCs w:val="20"/>
                <w:color w:val="auto"/>
              </w:rPr>
            </w:pPr>
            <w:r>
              <w:rPr>
                <w:rFonts w:ascii="Arial" w:cs="Arial" w:eastAsia="Arial" w:hAnsi="Arial"/>
                <w:sz w:val="22"/>
                <w:szCs w:val="22"/>
                <w:b w:val="1"/>
                <w:bCs w:val="1"/>
                <w:color w:val="auto"/>
                <w:w w:val="88"/>
              </w:rPr>
              <w:t>5430 LBJ Freeway, Suite 1700, Dallas, Texas</w:t>
            </w:r>
          </w:p>
        </w:tc>
        <w:tc>
          <w:tcPr>
            <w:tcW w:w="2200" w:type="dxa"/>
            <w:vAlign w:val="bottom"/>
          </w:tcPr>
          <w:p>
            <w:pPr>
              <w:jc w:val="center"/>
              <w:ind w:left="743"/>
              <w:spacing w:after="0"/>
              <w:rPr>
                <w:sz w:val="20"/>
                <w:szCs w:val="20"/>
                <w:color w:val="auto"/>
              </w:rPr>
            </w:pPr>
            <w:r>
              <w:rPr>
                <w:rFonts w:ascii="Arial" w:cs="Arial" w:eastAsia="Arial" w:hAnsi="Arial"/>
                <w:sz w:val="22"/>
                <w:szCs w:val="22"/>
                <w:b w:val="1"/>
                <w:bCs w:val="1"/>
                <w:color w:val="auto"/>
                <w:w w:val="88"/>
              </w:rPr>
              <w:t>75240-2620</w:t>
            </w:r>
          </w:p>
        </w:tc>
      </w:tr>
      <w:tr>
        <w:trPr>
          <w:trHeight w:val="230"/>
        </w:trPr>
        <w:tc>
          <w:tcPr>
            <w:tcW w:w="5460" w:type="dxa"/>
            <w:vAlign w:val="bottom"/>
            <w:gridSpan w:val="2"/>
          </w:tcPr>
          <w:p>
            <w:pPr>
              <w:jc w:val="center"/>
              <w:ind w:right="284"/>
              <w:spacing w:after="0"/>
              <w:rPr>
                <w:sz w:val="20"/>
                <w:szCs w:val="20"/>
                <w:color w:val="auto"/>
              </w:rPr>
            </w:pPr>
            <w:r>
              <w:rPr>
                <w:rFonts w:ascii="Arial" w:cs="Arial" w:eastAsia="Arial" w:hAnsi="Arial"/>
                <w:sz w:val="18"/>
                <w:szCs w:val="18"/>
                <w:color w:val="auto"/>
                <w:w w:val="92"/>
              </w:rPr>
              <w:t>(Address of principal executive offices)</w:t>
            </w:r>
          </w:p>
        </w:tc>
        <w:tc>
          <w:tcPr>
            <w:tcW w:w="2200" w:type="dxa"/>
            <w:vAlign w:val="bottom"/>
          </w:tcPr>
          <w:p>
            <w:pPr>
              <w:jc w:val="center"/>
              <w:ind w:left="763"/>
              <w:spacing w:after="0"/>
              <w:rPr>
                <w:sz w:val="20"/>
                <w:szCs w:val="20"/>
                <w:color w:val="auto"/>
              </w:rPr>
            </w:pPr>
            <w:r>
              <w:rPr>
                <w:rFonts w:ascii="Arial" w:cs="Arial" w:eastAsia="Arial" w:hAnsi="Arial"/>
                <w:sz w:val="18"/>
                <w:szCs w:val="18"/>
                <w:color w:val="auto"/>
                <w:w w:val="91"/>
              </w:rPr>
              <w:t>(Zip Code)</w:t>
            </w:r>
          </w:p>
        </w:tc>
      </w:tr>
    </w:tbl>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(972) 448-1400</w:t>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1376680</wp:posOffset>
            </wp:positionH>
            <wp:positionV relativeFrom="paragraph">
              <wp:posOffset>-130175</wp:posOffset>
            </wp:positionV>
            <wp:extent cx="2974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11" w:lineRule="exact"/>
        <w:rPr>
          <w:sz w:val="24"/>
          <w:szCs w:val="24"/>
          <w:color w:val="auto"/>
        </w:rPr>
      </w:pPr>
    </w:p>
    <w:p>
      <w:pPr>
        <w:ind w:left="60" w:right="7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89" w:lineRule="exact"/>
        <w:rPr>
          <w:sz w:val="24"/>
          <w:szCs w:val="24"/>
          <w:color w:val="auto"/>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color w:val="auto"/>
        </w:rPr>
        <w:t>Written communications pursuant to Rule 425 under the Securities Act (17 CFR 230.425)</w:t>
      </w:r>
    </w:p>
    <w:p>
      <w:pPr>
        <w:spacing w:after="0" w:line="245"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color w:val="auto"/>
        </w:rPr>
        <w:t>Soliciting material pursuant to Rule 14a-12 under the Exchange Act (17 CFR 240.14a-12)</w:t>
      </w:r>
    </w:p>
    <w:p>
      <w:pPr>
        <w:spacing w:after="0" w:line="245"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17"/>
          <w:szCs w:val="17"/>
          <w:color w:val="auto"/>
        </w:rPr>
        <w:t>Pre-commencement communications pursuant to Rule 14d-2(b) under the Exchange Act (17 CFR 240.14d-2(b))</w:t>
      </w:r>
    </w:p>
    <w:p>
      <w:pPr>
        <w:spacing w:after="0" w:line="256" w:lineRule="exact"/>
        <w:rPr>
          <w:rFonts w:ascii="MS PGothic" w:cs="MS PGothic" w:eastAsia="MS PGothic" w:hAnsi="MS PGothic"/>
          <w:sz w:val="21"/>
          <w:szCs w:val="21"/>
          <w:color w:val="auto"/>
          <w:highlight w:val="black"/>
        </w:rPr>
      </w:pPr>
    </w:p>
    <w:p>
      <w:pPr>
        <w:ind w:left="540" w:hanging="336"/>
        <w:spacing w:after="0"/>
        <w:tabs>
          <w:tab w:leader="none" w:pos="54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17"/>
          <w:szCs w:val="17"/>
          <w:color w:val="auto"/>
        </w:rPr>
        <w:t>Pre-commencement communications pursuant to Rule 13e-4(c) under the Exchange Act (17 CFR 240.13e-4(c))</w:t>
      </w:r>
    </w:p>
    <w:p>
      <w:pPr>
        <w:spacing w:after="0" w:line="148"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0"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34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Title of each class</w:t>
            </w: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Trading</w:t>
            </w:r>
          </w:p>
        </w:tc>
        <w:tc>
          <w:tcPr>
            <w:tcW w:w="3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3480" w:type="dxa"/>
            <w:vAlign w:val="bottom"/>
            <w:gridSpan w:val="2"/>
            <w:vMerge w:val="continue"/>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Symbol(s)</w:t>
            </w:r>
          </w:p>
        </w:tc>
        <w:tc>
          <w:tcPr>
            <w:tcW w:w="3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3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Class A common stock</w:t>
            </w:r>
          </w:p>
        </w:tc>
        <w:tc>
          <w:tcPr>
            <w:tcW w:w="160" w:type="dxa"/>
            <w:vAlign w:val="bottom"/>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48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($.01 par value per share)</w:t>
            </w: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color w:val="auto"/>
              </w:rPr>
              <w:t>CIX</w:t>
            </w:r>
          </w:p>
        </w:tc>
        <w:tc>
          <w:tcPr>
            <w:tcW w:w="3880" w:type="dxa"/>
            <w:vAlign w:val="bottom"/>
          </w:tcPr>
          <w:p>
            <w:pPr>
              <w:jc w:val="center"/>
              <w:spacing w:after="0"/>
              <w:rPr>
                <w:sz w:val="20"/>
                <w:szCs w:val="20"/>
                <w:color w:val="auto"/>
              </w:rPr>
            </w:pPr>
            <w:r>
              <w:rPr>
                <w:rFonts w:ascii="Arial" w:cs="Arial" w:eastAsia="Arial" w:hAnsi="Arial"/>
                <w:sz w:val="14"/>
                <w:szCs w:val="14"/>
                <w:color w:val="auto"/>
                <w:w w:val="96"/>
              </w:rPr>
              <w:t>NYSE American</w:t>
            </w:r>
          </w:p>
        </w:tc>
        <w:tc>
          <w:tcPr>
            <w:tcW w:w="0" w:type="dxa"/>
            <w:vAlign w:val="bottom"/>
          </w:tcPr>
          <w:p>
            <w:pPr>
              <w:spacing w:after="0"/>
              <w:rPr>
                <w:sz w:val="1"/>
                <w:szCs w:val="1"/>
                <w:color w:val="auto"/>
              </w:rPr>
            </w:pPr>
          </w:p>
        </w:tc>
      </w:tr>
    </w:tbl>
    <w:p>
      <w:pPr>
        <w:spacing w:after="0" w:line="92" w:lineRule="exact"/>
        <w:rPr>
          <w:sz w:val="24"/>
          <w:szCs w:val="24"/>
          <w:color w:val="auto"/>
        </w:rPr>
      </w:pPr>
    </w:p>
    <w:p>
      <w:pPr>
        <w:jc w:val="both"/>
        <w:ind w:left="60" w:right="79"/>
        <w:spacing w:after="0" w:line="28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8" w:lineRule="exact"/>
        <w:rPr>
          <w:sz w:val="24"/>
          <w:szCs w:val="24"/>
          <w:color w:val="auto"/>
        </w:rPr>
      </w:pPr>
    </w:p>
    <w:p>
      <w:pPr>
        <w:jc w:val="both"/>
        <w:ind w:left="60" w:right="59"/>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463550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52070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86360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719"/>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79" w:lineRule="exact"/>
        <w:rPr>
          <w:sz w:val="20"/>
          <w:szCs w:val="20"/>
          <w:color w:val="auto"/>
        </w:rPr>
      </w:pPr>
    </w:p>
    <w:p>
      <w:pPr>
        <w:sectPr>
          <w:pgSz w:w="11900" w:h="16838" w:orient="portrait"/>
          <w:cols w:equalWidth="0" w:num="2">
            <w:col w:w="780" w:space="600"/>
            <w:col w:w="7639"/>
          </w:cols>
          <w:pgMar w:left="1440" w:top="999" w:right="1440" w:bottom="1440" w:gutter="0" w:footer="0" w:header="0"/>
        </w:sectPr>
      </w:pPr>
    </w:p>
    <w:p>
      <w:pPr>
        <w:ind w:left="60" w:right="79" w:firstLine="648"/>
        <w:spacing w:after="0" w:line="286" w:lineRule="auto"/>
        <w:rPr>
          <w:sz w:val="20"/>
          <w:szCs w:val="20"/>
          <w:color w:val="auto"/>
        </w:rPr>
      </w:pPr>
      <w:r>
        <w:rPr>
          <w:rFonts w:ascii="Arial" w:cs="Arial" w:eastAsia="Arial" w:hAnsi="Arial"/>
          <w:sz w:val="17"/>
          <w:szCs w:val="17"/>
          <w:color w:val="auto"/>
        </w:rPr>
        <w:t>On October 26, 2023, Kevin B. Kramer resigned as a member of the board of directors of the registrant. Mr. Kramer’s resignation did not result from any disagreement with the registrant and followed his appointment on October 26, 2023 as a director of NL Industries, Inc., one of the registrant’s publicly traded parent corporations.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0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COMPX INTERNATIONAL INC.</w:t>
            </w:r>
          </w:p>
        </w:tc>
      </w:tr>
      <w:tr>
        <w:trPr>
          <w:trHeight w:val="230"/>
        </w:trPr>
        <w:tc>
          <w:tcPr>
            <w:tcW w:w="3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(Registrant)</w:t>
            </w:r>
          </w:p>
        </w:tc>
      </w:tr>
      <w:tr>
        <w:trPr>
          <w:trHeight w:val="648"/>
        </w:trPr>
        <w:tc>
          <w:tcPr>
            <w:tcW w:w="3080" w:type="dxa"/>
            <w:vAlign w:val="bottom"/>
          </w:tcPr>
          <w:p>
            <w:pPr>
              <w:spacing w:after="0"/>
              <w:rPr>
                <w:sz w:val="24"/>
                <w:szCs w:val="24"/>
                <w:color w:val="auto"/>
              </w:rPr>
            </w:pPr>
          </w:p>
        </w:tc>
        <w:tc>
          <w:tcPr>
            <w:tcW w:w="5840" w:type="dxa"/>
            <w:vAlign w:val="bottom"/>
            <w:gridSpan w:val="2"/>
          </w:tcPr>
          <w:p>
            <w:pPr>
              <w:ind w:left="1400"/>
              <w:spacing w:after="0"/>
              <w:rPr>
                <w:sz w:val="20"/>
                <w:szCs w:val="20"/>
                <w:color w:val="auto"/>
              </w:rPr>
            </w:pPr>
            <w:r>
              <w:rPr>
                <w:rFonts w:ascii="Arial" w:cs="Arial" w:eastAsia="Arial" w:hAnsi="Arial"/>
                <w:sz w:val="18"/>
                <w:szCs w:val="18"/>
                <w:color w:val="auto"/>
              </w:rPr>
              <w:t>By:/s/ Amy A. Samford</w:t>
            </w:r>
          </w:p>
        </w:tc>
      </w:tr>
      <w:tr>
        <w:trPr>
          <w:trHeight w:val="195"/>
        </w:trPr>
        <w:tc>
          <w:tcPr>
            <w:tcW w:w="3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Amy A. Samford</w:t>
            </w:r>
          </w:p>
        </w:tc>
      </w:tr>
      <w:tr>
        <w:trPr>
          <w:trHeight w:val="216"/>
        </w:trPr>
        <w:tc>
          <w:tcPr>
            <w:tcW w:w="3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i w:val="1"/>
                <w:iCs w:val="1"/>
                <w:color w:val="auto"/>
              </w:rPr>
              <w:t>Executive Vice President and</w:t>
            </w: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Date: October 31, 2023</w:t>
            </w:r>
          </w:p>
        </w:tc>
        <w:tc>
          <w:tcPr>
            <w:tcW w:w="166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Arial" w:cs="Arial" w:eastAsia="Arial" w:hAnsi="Arial"/>
                <w:sz w:val="18"/>
                <w:szCs w:val="18"/>
                <w:i w:val="1"/>
                <w:iCs w:val="1"/>
                <w:color w:val="auto"/>
              </w:rPr>
              <w:t>Chief Financial Officer</w:t>
            </w:r>
          </w:p>
        </w:tc>
      </w:tr>
      <w:tr>
        <w:trPr>
          <w:trHeight w:val="2180"/>
        </w:trPr>
        <w:tc>
          <w:tcPr>
            <w:tcW w:w="30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99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2023-10-31T15:39:05Z</dcterms:created>
  <dcterms:modified xsi:type="dcterms:W3CDTF">2023-10-31T15:39:05Z</dcterms:modified>
</cp:coreProperties>
</file>