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945515</wp:posOffset>
            </wp:positionH>
            <wp:positionV relativeFrom="page">
              <wp:posOffset>431800</wp:posOffset>
            </wp:positionV>
            <wp:extent cx="565785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657850" cy="34290"/>
                    </a:xfrm>
                    <a:prstGeom prst="rect">
                      <a:avLst/>
                    </a:prstGeom>
                    <a:noFill/>
                  </pic:spPr>
                </pic:pic>
              </a:graphicData>
            </a:graphic>
          </wp:anchor>
        </w:drawing>
        <w:drawing>
          <wp:anchor simplePos="0" relativeHeight="251657728" behindDoc="1" locked="0" layoutInCell="0" allowOverlap="1">
            <wp:simplePos x="0" y="0"/>
            <wp:positionH relativeFrom="page">
              <wp:posOffset>945515</wp:posOffset>
            </wp:positionH>
            <wp:positionV relativeFrom="page">
              <wp:posOffset>500380</wp:posOffset>
            </wp:positionV>
            <wp:extent cx="565785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7850" cy="8255"/>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94"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8-K</w:t>
      </w:r>
    </w:p>
    <w:p>
      <w:pPr>
        <w:spacing w:after="0" w:line="11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9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w:t>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March 1, 2023</w:t>
      </w:r>
    </w:p>
    <w:p>
      <w:pPr>
        <w:spacing w:after="0" w:line="6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COMPX INTERNATIONAL INC.</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01" w:lineRule="exact"/>
        <w:rPr>
          <w:sz w:val="24"/>
          <w:szCs w:val="24"/>
          <w:color w:val="auto"/>
        </w:rPr>
      </w:pPr>
    </w:p>
    <w:tbl>
      <w:tblPr>
        <w:tblLayout w:type="fixed"/>
        <w:tblInd w:w="500" w:type="dxa"/>
        <w:tblCellMar>
          <w:top w:w="0" w:type="dxa"/>
          <w:left w:w="0" w:type="dxa"/>
          <w:bottom w:w="0" w:type="dxa"/>
          <w:right w:w="0" w:type="dxa"/>
        </w:tblCellMar>
      </w:tblPr>
      <w:tr>
        <w:trPr>
          <w:trHeight w:val="256"/>
        </w:trPr>
        <w:tc>
          <w:tcPr>
            <w:tcW w:w="2820" w:type="dxa"/>
            <w:vAlign w:val="bottom"/>
          </w:tcPr>
          <w:p>
            <w:pPr>
              <w:jc w:val="center"/>
              <w:ind w:right="643"/>
              <w:spacing w:after="0"/>
              <w:rPr>
                <w:sz w:val="20"/>
                <w:szCs w:val="20"/>
                <w:color w:val="auto"/>
              </w:rPr>
            </w:pPr>
            <w:r>
              <w:rPr>
                <w:rFonts w:ascii="Arial" w:cs="Arial" w:eastAsia="Arial" w:hAnsi="Arial"/>
                <w:sz w:val="22"/>
                <w:szCs w:val="22"/>
                <w:b w:val="1"/>
                <w:bCs w:val="1"/>
                <w:color w:val="auto"/>
                <w:w w:val="91"/>
              </w:rPr>
              <w:t>Delaware</w:t>
            </w:r>
          </w:p>
        </w:tc>
        <w:tc>
          <w:tcPr>
            <w:tcW w:w="2640" w:type="dxa"/>
            <w:vAlign w:val="bottom"/>
          </w:tcPr>
          <w:p>
            <w:pPr>
              <w:jc w:val="center"/>
              <w:ind w:right="144"/>
              <w:spacing w:after="0"/>
              <w:rPr>
                <w:sz w:val="20"/>
                <w:szCs w:val="20"/>
                <w:color w:val="auto"/>
              </w:rPr>
            </w:pPr>
            <w:r>
              <w:rPr>
                <w:rFonts w:ascii="Arial" w:cs="Arial" w:eastAsia="Arial" w:hAnsi="Arial"/>
                <w:sz w:val="22"/>
                <w:szCs w:val="22"/>
                <w:b w:val="1"/>
                <w:bCs w:val="1"/>
                <w:color w:val="auto"/>
                <w:w w:val="89"/>
              </w:rPr>
              <w:t>1-13905</w:t>
            </w:r>
          </w:p>
        </w:tc>
        <w:tc>
          <w:tcPr>
            <w:tcW w:w="2200" w:type="dxa"/>
            <w:vAlign w:val="bottom"/>
          </w:tcPr>
          <w:p>
            <w:pPr>
              <w:jc w:val="center"/>
              <w:ind w:left="743"/>
              <w:spacing w:after="0"/>
              <w:rPr>
                <w:sz w:val="20"/>
                <w:szCs w:val="20"/>
                <w:color w:val="auto"/>
              </w:rPr>
            </w:pPr>
            <w:r>
              <w:rPr>
                <w:rFonts w:ascii="Arial" w:cs="Arial" w:eastAsia="Arial" w:hAnsi="Arial"/>
                <w:sz w:val="22"/>
                <w:szCs w:val="22"/>
                <w:b w:val="1"/>
                <w:bCs w:val="1"/>
                <w:color w:val="auto"/>
                <w:w w:val="88"/>
              </w:rPr>
              <w:t>57-0981653</w:t>
            </w:r>
          </w:p>
        </w:tc>
      </w:tr>
      <w:tr>
        <w:trPr>
          <w:trHeight w:val="216"/>
        </w:trPr>
        <w:tc>
          <w:tcPr>
            <w:tcW w:w="2820" w:type="dxa"/>
            <w:vAlign w:val="bottom"/>
          </w:tcPr>
          <w:p>
            <w:pPr>
              <w:jc w:val="center"/>
              <w:ind w:right="643"/>
              <w:spacing w:after="0"/>
              <w:rPr>
                <w:sz w:val="20"/>
                <w:szCs w:val="20"/>
                <w:color w:val="auto"/>
              </w:rPr>
            </w:pPr>
            <w:r>
              <w:rPr>
                <w:rFonts w:ascii="Arial" w:cs="Arial" w:eastAsia="Arial" w:hAnsi="Arial"/>
                <w:sz w:val="18"/>
                <w:szCs w:val="18"/>
                <w:color w:val="auto"/>
                <w:w w:val="92"/>
              </w:rPr>
              <w:t>(State or other jurisdiction of</w:t>
            </w:r>
          </w:p>
        </w:tc>
        <w:tc>
          <w:tcPr>
            <w:tcW w:w="2640" w:type="dxa"/>
            <w:vAlign w:val="bottom"/>
          </w:tcPr>
          <w:p>
            <w:pPr>
              <w:jc w:val="center"/>
              <w:ind w:right="144"/>
              <w:spacing w:after="0"/>
              <w:rPr>
                <w:sz w:val="20"/>
                <w:szCs w:val="20"/>
                <w:color w:val="auto"/>
              </w:rPr>
            </w:pPr>
            <w:r>
              <w:rPr>
                <w:rFonts w:ascii="Arial" w:cs="Arial" w:eastAsia="Arial" w:hAnsi="Arial"/>
                <w:sz w:val="18"/>
                <w:szCs w:val="18"/>
                <w:color w:val="auto"/>
                <w:w w:val="91"/>
              </w:rPr>
              <w:t>(Commission</w:t>
            </w:r>
          </w:p>
        </w:tc>
        <w:tc>
          <w:tcPr>
            <w:tcW w:w="2200" w:type="dxa"/>
            <w:vAlign w:val="bottom"/>
          </w:tcPr>
          <w:p>
            <w:pPr>
              <w:jc w:val="center"/>
              <w:ind w:left="763"/>
              <w:spacing w:after="0"/>
              <w:rPr>
                <w:sz w:val="20"/>
                <w:szCs w:val="20"/>
                <w:color w:val="auto"/>
              </w:rPr>
            </w:pPr>
            <w:r>
              <w:rPr>
                <w:rFonts w:ascii="Arial" w:cs="Arial" w:eastAsia="Arial" w:hAnsi="Arial"/>
                <w:sz w:val="18"/>
                <w:szCs w:val="18"/>
                <w:color w:val="auto"/>
                <w:w w:val="93"/>
              </w:rPr>
              <w:t>(IRS Employer</w:t>
            </w:r>
          </w:p>
        </w:tc>
      </w:tr>
      <w:tr>
        <w:trPr>
          <w:trHeight w:val="230"/>
        </w:trPr>
        <w:tc>
          <w:tcPr>
            <w:tcW w:w="2820" w:type="dxa"/>
            <w:vAlign w:val="bottom"/>
          </w:tcPr>
          <w:p>
            <w:pPr>
              <w:jc w:val="center"/>
              <w:ind w:right="643"/>
              <w:spacing w:after="0"/>
              <w:rPr>
                <w:sz w:val="20"/>
                <w:szCs w:val="20"/>
                <w:color w:val="auto"/>
              </w:rPr>
            </w:pPr>
            <w:r>
              <w:rPr>
                <w:rFonts w:ascii="Arial" w:cs="Arial" w:eastAsia="Arial" w:hAnsi="Arial"/>
                <w:sz w:val="18"/>
                <w:szCs w:val="18"/>
                <w:color w:val="auto"/>
                <w:w w:val="94"/>
              </w:rPr>
              <w:t>incorporation)</w:t>
            </w:r>
          </w:p>
        </w:tc>
        <w:tc>
          <w:tcPr>
            <w:tcW w:w="2640" w:type="dxa"/>
            <w:vAlign w:val="bottom"/>
          </w:tcPr>
          <w:p>
            <w:pPr>
              <w:jc w:val="center"/>
              <w:ind w:right="124"/>
              <w:spacing w:after="0"/>
              <w:rPr>
                <w:sz w:val="20"/>
                <w:szCs w:val="20"/>
                <w:color w:val="auto"/>
              </w:rPr>
            </w:pPr>
            <w:r>
              <w:rPr>
                <w:rFonts w:ascii="Arial" w:cs="Arial" w:eastAsia="Arial" w:hAnsi="Arial"/>
                <w:sz w:val="18"/>
                <w:szCs w:val="18"/>
                <w:color w:val="auto"/>
                <w:w w:val="94"/>
              </w:rPr>
              <w:t>File Number)</w:t>
            </w:r>
          </w:p>
        </w:tc>
        <w:tc>
          <w:tcPr>
            <w:tcW w:w="2200" w:type="dxa"/>
            <w:vAlign w:val="bottom"/>
          </w:tcPr>
          <w:p>
            <w:pPr>
              <w:jc w:val="center"/>
              <w:ind w:left="763"/>
              <w:spacing w:after="0"/>
              <w:rPr>
                <w:sz w:val="20"/>
                <w:szCs w:val="20"/>
                <w:color w:val="auto"/>
              </w:rPr>
            </w:pPr>
            <w:r>
              <w:rPr>
                <w:rFonts w:ascii="Arial" w:cs="Arial" w:eastAsia="Arial" w:hAnsi="Arial"/>
                <w:sz w:val="18"/>
                <w:szCs w:val="18"/>
                <w:color w:val="auto"/>
                <w:w w:val="95"/>
              </w:rPr>
              <w:t>Identification No.)</w:t>
            </w:r>
          </w:p>
        </w:tc>
      </w:tr>
      <w:tr>
        <w:trPr>
          <w:trHeight w:val="661"/>
        </w:trPr>
        <w:tc>
          <w:tcPr>
            <w:tcW w:w="5460" w:type="dxa"/>
            <w:vAlign w:val="bottom"/>
            <w:gridSpan w:val="2"/>
          </w:tcPr>
          <w:p>
            <w:pPr>
              <w:jc w:val="center"/>
              <w:ind w:right="284"/>
              <w:spacing w:after="0"/>
              <w:rPr>
                <w:sz w:val="20"/>
                <w:szCs w:val="20"/>
                <w:color w:val="auto"/>
              </w:rPr>
            </w:pPr>
            <w:r>
              <w:rPr>
                <w:rFonts w:ascii="Arial" w:cs="Arial" w:eastAsia="Arial" w:hAnsi="Arial"/>
                <w:sz w:val="22"/>
                <w:szCs w:val="22"/>
                <w:b w:val="1"/>
                <w:bCs w:val="1"/>
                <w:color w:val="auto"/>
                <w:w w:val="88"/>
              </w:rPr>
              <w:t>5430 LBJ Freeway, Suite 1700, Dallas, Texas</w:t>
            </w:r>
          </w:p>
        </w:tc>
        <w:tc>
          <w:tcPr>
            <w:tcW w:w="2200" w:type="dxa"/>
            <w:vAlign w:val="bottom"/>
          </w:tcPr>
          <w:p>
            <w:pPr>
              <w:jc w:val="center"/>
              <w:ind w:left="743"/>
              <w:spacing w:after="0"/>
              <w:rPr>
                <w:sz w:val="20"/>
                <w:szCs w:val="20"/>
                <w:color w:val="auto"/>
              </w:rPr>
            </w:pPr>
            <w:r>
              <w:rPr>
                <w:rFonts w:ascii="Arial" w:cs="Arial" w:eastAsia="Arial" w:hAnsi="Arial"/>
                <w:sz w:val="22"/>
                <w:szCs w:val="22"/>
                <w:b w:val="1"/>
                <w:bCs w:val="1"/>
                <w:color w:val="auto"/>
                <w:w w:val="88"/>
              </w:rPr>
              <w:t>75240-2620</w:t>
            </w:r>
          </w:p>
        </w:tc>
      </w:tr>
      <w:tr>
        <w:trPr>
          <w:trHeight w:val="230"/>
        </w:trPr>
        <w:tc>
          <w:tcPr>
            <w:tcW w:w="5460" w:type="dxa"/>
            <w:vAlign w:val="bottom"/>
            <w:gridSpan w:val="2"/>
          </w:tcPr>
          <w:p>
            <w:pPr>
              <w:jc w:val="center"/>
              <w:ind w:right="284"/>
              <w:spacing w:after="0"/>
              <w:rPr>
                <w:sz w:val="20"/>
                <w:szCs w:val="20"/>
                <w:color w:val="auto"/>
              </w:rPr>
            </w:pPr>
            <w:r>
              <w:rPr>
                <w:rFonts w:ascii="Arial" w:cs="Arial" w:eastAsia="Arial" w:hAnsi="Arial"/>
                <w:sz w:val="18"/>
                <w:szCs w:val="18"/>
                <w:color w:val="auto"/>
                <w:w w:val="92"/>
              </w:rPr>
              <w:t>(Address of principal executive offices)</w:t>
            </w:r>
          </w:p>
        </w:tc>
        <w:tc>
          <w:tcPr>
            <w:tcW w:w="2200" w:type="dxa"/>
            <w:vAlign w:val="bottom"/>
          </w:tcPr>
          <w:p>
            <w:pPr>
              <w:jc w:val="center"/>
              <w:ind w:left="763"/>
              <w:spacing w:after="0"/>
              <w:rPr>
                <w:sz w:val="20"/>
                <w:szCs w:val="20"/>
                <w:color w:val="auto"/>
              </w:rPr>
            </w:pPr>
            <w:r>
              <w:rPr>
                <w:rFonts w:ascii="Arial" w:cs="Arial" w:eastAsia="Arial" w:hAnsi="Arial"/>
                <w:sz w:val="18"/>
                <w:szCs w:val="18"/>
                <w:color w:val="auto"/>
                <w:w w:val="91"/>
              </w:rPr>
              <w:t>(Zip Code)</w:t>
            </w:r>
          </w:p>
        </w:tc>
      </w:tr>
    </w:tbl>
    <w:p>
      <w:pPr>
        <w:spacing w:after="0" w:line="10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(972) 448-1400</w:t>
      </w:r>
    </w:p>
    <w:p>
      <w:pPr>
        <w:spacing w:after="0" w:line="35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1376680</wp:posOffset>
            </wp:positionH>
            <wp:positionV relativeFrom="paragraph">
              <wp:posOffset>-130175</wp:posOffset>
            </wp:positionV>
            <wp:extent cx="29743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974340" cy="8255"/>
                    </a:xfrm>
                    <a:prstGeom prst="rect">
                      <a:avLst/>
                    </a:prstGeom>
                    <a:noFill/>
                  </pic:spPr>
                </pic:pic>
              </a:graphicData>
            </a:graphic>
          </wp:anchor>
        </w:drawing>
      </w:r>
    </w:p>
    <w:p>
      <w:pPr>
        <w:spacing w:after="0" w:line="111" w:lineRule="exact"/>
        <w:rPr>
          <w:sz w:val="24"/>
          <w:szCs w:val="24"/>
          <w:color w:val="auto"/>
        </w:rPr>
      </w:pPr>
    </w:p>
    <w:p>
      <w:pPr>
        <w:ind w:left="60" w:right="79"/>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w:t>
      </w:r>
    </w:p>
    <w:p>
      <w:pPr>
        <w:spacing w:after="0" w:line="89" w:lineRule="exact"/>
        <w:rPr>
          <w:sz w:val="24"/>
          <w:szCs w:val="24"/>
          <w:color w:val="auto"/>
        </w:rPr>
      </w:pPr>
    </w:p>
    <w:p>
      <w:pPr>
        <w:ind w:left="540" w:hanging="336"/>
        <w:spacing w:after="0"/>
        <w:tabs>
          <w:tab w:leader="none" w:pos="54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18"/>
          <w:szCs w:val="18"/>
          <w:color w:val="auto"/>
        </w:rPr>
        <w:t>Written communications pursuant to Rule 425 under the Securities Act (17 CFR 230.425)</w:t>
      </w:r>
    </w:p>
    <w:p>
      <w:pPr>
        <w:spacing w:after="0" w:line="245" w:lineRule="exact"/>
        <w:rPr>
          <w:rFonts w:ascii="MS PGothic" w:cs="MS PGothic" w:eastAsia="MS PGothic" w:hAnsi="MS PGothic"/>
          <w:sz w:val="22"/>
          <w:szCs w:val="22"/>
          <w:color w:val="auto"/>
          <w:highlight w:val="black"/>
        </w:rPr>
      </w:pPr>
    </w:p>
    <w:p>
      <w:pPr>
        <w:ind w:left="540" w:hanging="336"/>
        <w:spacing w:after="0"/>
        <w:tabs>
          <w:tab w:leader="none" w:pos="54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18"/>
          <w:szCs w:val="18"/>
          <w:color w:val="auto"/>
        </w:rPr>
        <w:t>Soliciting material pursuant to Rule 14a-12 under the Exchange Act (17 CFR 240.14a-12)</w:t>
      </w:r>
    </w:p>
    <w:p>
      <w:pPr>
        <w:spacing w:after="0" w:line="245" w:lineRule="exact"/>
        <w:rPr>
          <w:rFonts w:ascii="MS PGothic" w:cs="MS PGothic" w:eastAsia="MS PGothic" w:hAnsi="MS PGothic"/>
          <w:sz w:val="22"/>
          <w:szCs w:val="22"/>
          <w:color w:val="auto"/>
          <w:highlight w:val="black"/>
        </w:rPr>
      </w:pPr>
    </w:p>
    <w:p>
      <w:pPr>
        <w:ind w:left="540" w:hanging="336"/>
        <w:spacing w:after="0"/>
        <w:tabs>
          <w:tab w:leader="none" w:pos="540" w:val="left"/>
        </w:tabs>
        <w:numPr>
          <w:ilvl w:val="0"/>
          <w:numId w:val="1"/>
        </w:numPr>
        <w:rPr>
          <w:rFonts w:ascii="MS PGothic" w:cs="MS PGothic" w:eastAsia="MS PGothic" w:hAnsi="MS PGothic"/>
          <w:sz w:val="21"/>
          <w:szCs w:val="21"/>
          <w:color w:val="auto"/>
          <w:highlight w:val="black"/>
        </w:rPr>
      </w:pPr>
      <w:r>
        <w:rPr>
          <w:rFonts w:ascii="Arial" w:cs="Arial" w:eastAsia="Arial" w:hAnsi="Arial"/>
          <w:sz w:val="17"/>
          <w:szCs w:val="17"/>
          <w:color w:val="auto"/>
        </w:rPr>
        <w:t>Pre-commencement communications pursuant to Rule 14d-2(b) under the Exchange Act (17 CFR 240.14d-2(b))</w:t>
      </w:r>
    </w:p>
    <w:p>
      <w:pPr>
        <w:spacing w:after="0" w:line="256" w:lineRule="exact"/>
        <w:rPr>
          <w:rFonts w:ascii="MS PGothic" w:cs="MS PGothic" w:eastAsia="MS PGothic" w:hAnsi="MS PGothic"/>
          <w:sz w:val="21"/>
          <w:szCs w:val="21"/>
          <w:color w:val="auto"/>
          <w:highlight w:val="black"/>
        </w:rPr>
      </w:pPr>
    </w:p>
    <w:p>
      <w:pPr>
        <w:ind w:left="540" w:hanging="336"/>
        <w:spacing w:after="0"/>
        <w:tabs>
          <w:tab w:leader="none" w:pos="540" w:val="left"/>
        </w:tabs>
        <w:numPr>
          <w:ilvl w:val="0"/>
          <w:numId w:val="1"/>
        </w:numPr>
        <w:rPr>
          <w:rFonts w:ascii="MS PGothic" w:cs="MS PGothic" w:eastAsia="MS PGothic" w:hAnsi="MS PGothic"/>
          <w:sz w:val="21"/>
          <w:szCs w:val="21"/>
          <w:color w:val="auto"/>
          <w:highlight w:val="black"/>
        </w:rPr>
      </w:pPr>
      <w:r>
        <w:rPr>
          <w:rFonts w:ascii="Arial" w:cs="Arial" w:eastAsia="Arial" w:hAnsi="Arial"/>
          <w:sz w:val="17"/>
          <w:szCs w:val="17"/>
          <w:color w:val="auto"/>
        </w:rPr>
        <w:t>Pre-commencement communications pursuant to Rule 13e-4(c) under the Exchange Act (17 CFR 240.13e-4(c))</w:t>
      </w:r>
    </w:p>
    <w:p>
      <w:pPr>
        <w:spacing w:after="0" w:line="148" w:lineRule="exact"/>
        <w:rPr>
          <w:sz w:val="24"/>
          <w:szCs w:val="24"/>
          <w:color w:val="auto"/>
        </w:rPr>
      </w:pPr>
    </w:p>
    <w:p>
      <w:pPr>
        <w:ind w:left="60"/>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10" w:lineRule="exact"/>
        <w:rPr>
          <w:sz w:val="24"/>
          <w:szCs w:val="24"/>
          <w:color w:val="auto"/>
        </w:rPr>
      </w:pPr>
    </w:p>
    <w:tbl>
      <w:tblPr>
        <w:tblLayout w:type="fixed"/>
        <w:tblInd w:w="60" w:type="dxa"/>
        <w:tblCellMar>
          <w:top w:w="0" w:type="dxa"/>
          <w:left w:w="0" w:type="dxa"/>
          <w:bottom w:w="0" w:type="dxa"/>
          <w:right w:w="0" w:type="dxa"/>
        </w:tblCellMar>
      </w:tblPr>
      <w:tr>
        <w:trPr>
          <w:trHeight w:val="161"/>
        </w:trPr>
        <w:tc>
          <w:tcPr>
            <w:tcW w:w="348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89"/>
              </w:rPr>
              <w:t>Title of each class</w:t>
            </w:r>
          </w:p>
        </w:tc>
        <w:tc>
          <w:tcPr>
            <w:tcW w:w="15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Trading</w:t>
            </w:r>
          </w:p>
        </w:tc>
        <w:tc>
          <w:tcPr>
            <w:tcW w:w="38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c>
          <w:tcPr>
            <w:tcW w:w="0" w:type="dxa"/>
            <w:vAlign w:val="bottom"/>
          </w:tcPr>
          <w:p>
            <w:pPr>
              <w:spacing w:after="0"/>
              <w:rPr>
                <w:sz w:val="1"/>
                <w:szCs w:val="1"/>
                <w:color w:val="auto"/>
              </w:rPr>
            </w:pPr>
          </w:p>
        </w:tc>
      </w:tr>
      <w:tr>
        <w:trPr>
          <w:trHeight w:val="171"/>
        </w:trPr>
        <w:tc>
          <w:tcPr>
            <w:tcW w:w="3480" w:type="dxa"/>
            <w:vAlign w:val="bottom"/>
            <w:gridSpan w:val="2"/>
            <w:vMerge w:val="continue"/>
          </w:tcPr>
          <w:p>
            <w:pPr>
              <w:spacing w:after="0"/>
              <w:rPr>
                <w:sz w:val="14"/>
                <w:szCs w:val="14"/>
                <w:color w:val="auto"/>
              </w:rPr>
            </w:pPr>
          </w:p>
        </w:tc>
        <w:tc>
          <w:tcPr>
            <w:tcW w:w="15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Symbol(s)</w:t>
            </w:r>
          </w:p>
        </w:tc>
        <w:tc>
          <w:tcPr>
            <w:tcW w:w="38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332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4"/>
                <w:szCs w:val="14"/>
                <w:color w:val="auto"/>
                <w:w w:val="92"/>
              </w:rPr>
              <w:t>Class A common stock</w:t>
            </w:r>
          </w:p>
        </w:tc>
        <w:tc>
          <w:tcPr>
            <w:tcW w:w="160" w:type="dxa"/>
            <w:vAlign w:val="bottom"/>
          </w:tcPr>
          <w:p>
            <w:pPr>
              <w:spacing w:after="0"/>
              <w:rPr>
                <w:sz w:val="10"/>
                <w:szCs w:val="10"/>
                <w:color w:val="auto"/>
              </w:rPr>
            </w:pPr>
          </w:p>
        </w:tc>
        <w:tc>
          <w:tcPr>
            <w:tcW w:w="132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388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3480" w:type="dxa"/>
            <w:vAlign w:val="bottom"/>
            <w:gridSpan w:val="2"/>
          </w:tcPr>
          <w:p>
            <w:pPr>
              <w:jc w:val="center"/>
              <w:ind w:right="160"/>
              <w:spacing w:after="0"/>
              <w:rPr>
                <w:sz w:val="20"/>
                <w:szCs w:val="20"/>
                <w:color w:val="auto"/>
              </w:rPr>
            </w:pPr>
            <w:r>
              <w:rPr>
                <w:rFonts w:ascii="Arial" w:cs="Arial" w:eastAsia="Arial" w:hAnsi="Arial"/>
                <w:sz w:val="14"/>
                <w:szCs w:val="14"/>
                <w:color w:val="auto"/>
                <w:w w:val="91"/>
              </w:rPr>
              <w:t>($.01 par value per share)</w:t>
            </w:r>
          </w:p>
        </w:tc>
        <w:tc>
          <w:tcPr>
            <w:tcW w:w="1540" w:type="dxa"/>
            <w:vAlign w:val="bottom"/>
            <w:gridSpan w:val="2"/>
          </w:tcPr>
          <w:p>
            <w:pPr>
              <w:jc w:val="center"/>
              <w:ind w:right="220"/>
              <w:spacing w:after="0"/>
              <w:rPr>
                <w:sz w:val="20"/>
                <w:szCs w:val="20"/>
                <w:color w:val="auto"/>
              </w:rPr>
            </w:pPr>
            <w:r>
              <w:rPr>
                <w:rFonts w:ascii="Arial" w:cs="Arial" w:eastAsia="Arial" w:hAnsi="Arial"/>
                <w:sz w:val="14"/>
                <w:szCs w:val="14"/>
                <w:color w:val="auto"/>
              </w:rPr>
              <w:t>CIX</w:t>
            </w:r>
          </w:p>
        </w:tc>
        <w:tc>
          <w:tcPr>
            <w:tcW w:w="3880" w:type="dxa"/>
            <w:vAlign w:val="bottom"/>
          </w:tcPr>
          <w:p>
            <w:pPr>
              <w:jc w:val="center"/>
              <w:spacing w:after="0"/>
              <w:rPr>
                <w:sz w:val="20"/>
                <w:szCs w:val="20"/>
                <w:color w:val="auto"/>
              </w:rPr>
            </w:pPr>
            <w:r>
              <w:rPr>
                <w:rFonts w:ascii="Arial" w:cs="Arial" w:eastAsia="Arial" w:hAnsi="Arial"/>
                <w:sz w:val="14"/>
                <w:szCs w:val="14"/>
                <w:color w:val="auto"/>
                <w:w w:val="96"/>
              </w:rPr>
              <w:t>NYSE American</w:t>
            </w: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60" w:right="119"/>
        <w:spacing w:after="0" w:line="287"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(17 CFR §230.405) or Rule 12b-2 of the Securities Exchange Act of 1934 (17 CFR §240.12b-2).</w:t>
      </w:r>
    </w:p>
    <w:p>
      <w:pPr>
        <w:spacing w:after="0" w:line="1" w:lineRule="exact"/>
        <w:rPr>
          <w:sz w:val="24"/>
          <w:szCs w:val="24"/>
          <w:color w:val="auto"/>
        </w:rPr>
      </w:pPr>
    </w:p>
    <w:p>
      <w:pPr>
        <w:ind w:left="674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131" w:lineRule="exact"/>
        <w:rPr>
          <w:sz w:val="24"/>
          <w:szCs w:val="24"/>
          <w:color w:val="auto"/>
        </w:rPr>
      </w:pPr>
    </w:p>
    <w:p>
      <w:pPr>
        <w:jc w:val="both"/>
        <w:ind w:left="60" w:right="439"/>
        <w:spacing w:after="0" w:line="227"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468630</wp:posOffset>
            </wp:positionV>
            <wp:extent cx="565785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57850" cy="2540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57150</wp:posOffset>
            </wp:positionV>
            <wp:extent cx="56578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57850" cy="889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91440</wp:posOffset>
            </wp:positionV>
            <wp:extent cx="565785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34290"/>
                    </a:xfrm>
                    <a:prstGeom prst="rect">
                      <a:avLst/>
                    </a:prstGeom>
                    <a:noFill/>
                  </pic:spPr>
                </pic:pic>
              </a:graphicData>
            </a:graphic>
          </wp:anchor>
        </w:drawing>
      </w:r>
    </w:p>
    <w:p>
      <w:pPr>
        <w:sectPr>
          <w:pgSz w:w="11900" w:h="16838" w:orient="portrait"/>
          <w:cols w:equalWidth="0" w:num="1">
            <w:col w:w="9019"/>
          </w:cols>
          <w:pgMar w:left="1440" w:top="1336" w:right="1440" w:bottom="1440" w:gutter="0" w:footer="0" w:header="0"/>
        </w:sectPr>
      </w:pPr>
    </w:p>
    <w:bookmarkStart w:id="1" w:name="page2"/>
    <w:bookmarkEnd w:id="1"/>
    <w:p>
      <w:pPr>
        <w:ind w:left="60"/>
        <w:spacing w:after="0"/>
        <w:tabs>
          <w:tab w:leader="none" w:pos="148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5"/>
          <w:szCs w:val="15"/>
          <w:b w:val="1"/>
          <w:bCs w:val="1"/>
          <w:color w:val="auto"/>
        </w:rPr>
        <w:t>Results of Operations and Financial Condition.</w:t>
      </w:r>
    </w:p>
    <w:p>
      <w:pPr>
        <w:spacing w:after="0" w:line="229"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The registrant hereby furnishes the information set forth in its press release entitled “CompX Reports Fourth Quarter 2022 Results” that the registrant issued on March 1, 2023, a copy of which is attached hereto as Exhibit 99.1 and incorporated herein by reference.</w:t>
      </w:r>
    </w:p>
    <w:p>
      <w:pPr>
        <w:spacing w:after="0" w:line="184" w:lineRule="exact"/>
        <w:rPr>
          <w:sz w:val="20"/>
          <w:szCs w:val="20"/>
          <w:color w:val="auto"/>
        </w:rPr>
      </w:pPr>
    </w:p>
    <w:p>
      <w:pPr>
        <w:jc w:val="both"/>
        <w:ind w:left="60" w:right="59" w:firstLine="648"/>
        <w:spacing w:after="0" w:line="279" w:lineRule="auto"/>
        <w:rPr>
          <w:sz w:val="20"/>
          <w:szCs w:val="20"/>
          <w:color w:val="auto"/>
        </w:rPr>
      </w:pPr>
      <w:r>
        <w:rPr>
          <w:rFonts w:ascii="Arial" w:cs="Arial" w:eastAsia="Arial" w:hAnsi="Arial"/>
          <w:sz w:val="17"/>
          <w:szCs w:val="17"/>
          <w:color w:val="auto"/>
        </w:rPr>
        <w:t>The press release the registrant furnishes as Exhibit 99.1 to this current report is not deemed “filed” for purposes of section 18 of the Securities Exchange Act of 1934, as amended, or otherwise subject to the liabilities of that section. Registration statements or other documents filed with the U.S. Securities and Exchange Commission shall not incorporate this information by reference, except as otherwise expressly stated in such filing.</w:t>
      </w:r>
    </w:p>
    <w:p>
      <w:pPr>
        <w:spacing w:after="0" w:line="181" w:lineRule="exact"/>
        <w:rPr>
          <w:sz w:val="20"/>
          <w:szCs w:val="20"/>
          <w:color w:val="auto"/>
        </w:rPr>
      </w:pPr>
    </w:p>
    <w:p>
      <w:pPr>
        <w:ind w:left="60"/>
        <w:spacing w:after="0"/>
        <w:tabs>
          <w:tab w:leader="none" w:pos="132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5"/>
          <w:szCs w:val="15"/>
          <w:b w:val="1"/>
          <w:bCs w:val="1"/>
          <w:color w:val="auto"/>
        </w:rPr>
        <w:t>Regulation FD Disclosures.</w:t>
      </w:r>
    </w:p>
    <w:p>
      <w:pPr>
        <w:spacing w:after="0" w:line="229"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The registrant hereby furnishes the information set forth in its press release entitled “CompX Declares Regular Quarterly Dividend” that the registrant also issued on March 1, 2023, a copy of which is attached hereto as Exhibit 99.2 and incorporated herein by reference.</w:t>
      </w:r>
    </w:p>
    <w:p>
      <w:pPr>
        <w:spacing w:after="0" w:line="184" w:lineRule="exact"/>
        <w:rPr>
          <w:sz w:val="20"/>
          <w:szCs w:val="20"/>
          <w:color w:val="auto"/>
        </w:rPr>
      </w:pPr>
    </w:p>
    <w:p>
      <w:pPr>
        <w:jc w:val="both"/>
        <w:ind w:left="60" w:right="79" w:firstLine="648"/>
        <w:spacing w:after="0" w:line="279" w:lineRule="auto"/>
        <w:rPr>
          <w:sz w:val="20"/>
          <w:szCs w:val="20"/>
          <w:color w:val="auto"/>
        </w:rPr>
      </w:pPr>
      <w:r>
        <w:rPr>
          <w:rFonts w:ascii="Arial" w:cs="Arial" w:eastAsia="Arial" w:hAnsi="Arial"/>
          <w:sz w:val="17"/>
          <w:szCs w:val="17"/>
          <w:color w:val="auto"/>
        </w:rPr>
        <w:t>The press release the registrant furnishes as Exhibit 99.2 to this current report is not deemed “filed” for purposes of section 18 of the Securities Exchange Act of 1934, as amended, or otherwise subject to the liabilities of that section. Registration statements or other documents filed with the U.S. Securities and Exchange Commission shall not incorporate this information by reference, except as otherwise expressly stated in such filing.</w:t>
      </w:r>
    </w:p>
    <w:p>
      <w:pPr>
        <w:spacing w:after="0" w:line="181" w:lineRule="exact"/>
        <w:rPr>
          <w:sz w:val="20"/>
          <w:szCs w:val="20"/>
          <w:color w:val="auto"/>
        </w:rPr>
      </w:pPr>
    </w:p>
    <w:p>
      <w:pPr>
        <w:ind w:left="60"/>
        <w:spacing w:after="0"/>
        <w:tabs>
          <w:tab w:leader="none" w:pos="13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5"/>
          <w:szCs w:val="15"/>
          <w:b w:val="1"/>
          <w:bCs w:val="1"/>
          <w:color w:val="auto"/>
        </w:rPr>
        <w:t>Financial Statements and Exhibits.</w:t>
      </w:r>
    </w:p>
    <w:p>
      <w:pPr>
        <w:spacing w:after="0" w:line="243"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600" w:type="dxa"/>
            <w:vAlign w:val="bottom"/>
          </w:tcPr>
          <w:p>
            <w:pPr>
              <w:ind w:left="100"/>
              <w:spacing w:after="0"/>
              <w:rPr>
                <w:sz w:val="20"/>
                <w:szCs w:val="20"/>
                <w:color w:val="auto"/>
              </w:rPr>
            </w:pPr>
            <w:r>
              <w:rPr>
                <w:rFonts w:ascii="Arial" w:cs="Arial" w:eastAsia="Arial" w:hAnsi="Arial"/>
                <w:sz w:val="18"/>
                <w:szCs w:val="18"/>
                <w:color w:val="auto"/>
              </w:rPr>
              <w:t>(d)</w:t>
            </w:r>
          </w:p>
        </w:tc>
        <w:tc>
          <w:tcPr>
            <w:tcW w:w="1380" w:type="dxa"/>
            <w:vAlign w:val="bottom"/>
          </w:tcPr>
          <w:p>
            <w:pPr>
              <w:jc w:val="right"/>
              <w:ind w:right="710"/>
              <w:spacing w:after="0"/>
              <w:rPr>
                <w:sz w:val="20"/>
                <w:szCs w:val="20"/>
                <w:color w:val="auto"/>
              </w:rPr>
            </w:pPr>
            <w:r>
              <w:rPr>
                <w:rFonts w:ascii="Arial" w:cs="Arial" w:eastAsia="Arial" w:hAnsi="Arial"/>
                <w:sz w:val="18"/>
                <w:szCs w:val="18"/>
                <w:color w:val="auto"/>
                <w:w w:val="88"/>
              </w:rPr>
              <w:t>Exhibits</w:t>
            </w:r>
          </w:p>
        </w:tc>
        <w:tc>
          <w:tcPr>
            <w:tcW w:w="60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r>
      <w:tr>
        <w:trPr>
          <w:trHeight w:val="439"/>
        </w:trPr>
        <w:tc>
          <w:tcPr>
            <w:tcW w:w="600" w:type="dxa"/>
            <w:vAlign w:val="bottom"/>
          </w:tcPr>
          <w:p>
            <w:pPr>
              <w:spacing w:after="0"/>
              <w:rPr>
                <w:sz w:val="24"/>
                <w:szCs w:val="24"/>
                <w:color w:val="auto"/>
              </w:rPr>
            </w:pPr>
          </w:p>
        </w:tc>
        <w:tc>
          <w:tcPr>
            <w:tcW w:w="13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Item No.</w:t>
            </w:r>
          </w:p>
        </w:tc>
        <w:tc>
          <w:tcPr>
            <w:tcW w:w="600" w:type="dxa"/>
            <w:vAlign w:val="bottom"/>
          </w:tcPr>
          <w:p>
            <w:pPr>
              <w:spacing w:after="0"/>
              <w:rPr>
                <w:sz w:val="24"/>
                <w:szCs w:val="24"/>
                <w:color w:val="auto"/>
              </w:rPr>
            </w:pPr>
          </w:p>
        </w:tc>
        <w:tc>
          <w:tcPr>
            <w:tcW w:w="2580" w:type="dxa"/>
            <w:vAlign w:val="bottom"/>
            <w:tcBorders>
              <w:bottom w:val="single" w:sz="8" w:color="auto"/>
            </w:tcBorders>
          </w:tcPr>
          <w:p>
            <w:pPr>
              <w:spacing w:after="0"/>
              <w:rPr>
                <w:sz w:val="24"/>
                <w:szCs w:val="24"/>
                <w:color w:val="auto"/>
              </w:rPr>
            </w:pPr>
          </w:p>
        </w:tc>
        <w:tc>
          <w:tcPr>
            <w:tcW w:w="3520" w:type="dxa"/>
            <w:vAlign w:val="bottom"/>
            <w:tcBorders>
              <w:bottom w:val="single" w:sz="8" w:color="auto"/>
            </w:tcBorders>
            <w:gridSpan w:val="4"/>
          </w:tcPr>
          <w:p>
            <w:pPr>
              <w:ind w:left="40"/>
              <w:spacing w:after="0"/>
              <w:rPr>
                <w:sz w:val="20"/>
                <w:szCs w:val="20"/>
                <w:color w:val="auto"/>
              </w:rPr>
            </w:pPr>
            <w:r>
              <w:rPr>
                <w:rFonts w:ascii="Arial" w:cs="Arial" w:eastAsia="Arial" w:hAnsi="Arial"/>
                <w:sz w:val="18"/>
                <w:szCs w:val="18"/>
                <w:b w:val="1"/>
                <w:bCs w:val="1"/>
                <w:color w:val="auto"/>
              </w:rPr>
              <w:t>Description</w:t>
            </w:r>
          </w:p>
        </w:tc>
        <w:tc>
          <w:tcPr>
            <w:tcW w:w="240" w:type="dxa"/>
            <w:vAlign w:val="bottom"/>
          </w:tcPr>
          <w:p>
            <w:pPr>
              <w:spacing w:after="0"/>
              <w:rPr>
                <w:sz w:val="24"/>
                <w:szCs w:val="24"/>
                <w:color w:val="auto"/>
              </w:rPr>
            </w:pPr>
          </w:p>
        </w:tc>
      </w:tr>
      <w:tr>
        <w:trPr>
          <w:trHeight w:val="392"/>
        </w:trPr>
        <w:tc>
          <w:tcPr>
            <w:tcW w:w="600" w:type="dxa"/>
            <w:vAlign w:val="bottom"/>
          </w:tcPr>
          <w:p>
            <w:pPr>
              <w:spacing w:after="0"/>
              <w:rPr>
                <w:sz w:val="24"/>
                <w:szCs w:val="24"/>
                <w:color w:val="auto"/>
              </w:rPr>
            </w:pPr>
          </w:p>
        </w:tc>
        <w:tc>
          <w:tcPr>
            <w:tcW w:w="1380" w:type="dxa"/>
            <w:vAlign w:val="bottom"/>
          </w:tcPr>
          <w:p>
            <w:pPr>
              <w:jc w:val="right"/>
              <w:ind w:right="410"/>
              <w:spacing w:after="0"/>
              <w:rPr>
                <w:sz w:val="20"/>
                <w:szCs w:val="20"/>
                <w:color w:val="auto"/>
              </w:rPr>
            </w:pPr>
            <w:r>
              <w:rPr>
                <w:rFonts w:ascii="Arial" w:cs="Arial" w:eastAsia="Arial" w:hAnsi="Arial"/>
                <w:sz w:val="18"/>
                <w:szCs w:val="18"/>
                <w:color w:val="auto"/>
              </w:rPr>
              <w:t>99.1</w:t>
            </w:r>
          </w:p>
        </w:tc>
        <w:tc>
          <w:tcPr>
            <w:tcW w:w="600" w:type="dxa"/>
            <w:vAlign w:val="bottom"/>
          </w:tcPr>
          <w:p>
            <w:pPr>
              <w:spacing w:after="0"/>
              <w:rPr>
                <w:sz w:val="24"/>
                <w:szCs w:val="24"/>
                <w:color w:val="auto"/>
              </w:rPr>
            </w:pPr>
          </w:p>
        </w:tc>
        <w:tc>
          <w:tcPr>
            <w:tcW w:w="5760" w:type="dxa"/>
            <w:vAlign w:val="bottom"/>
            <w:tcBorders>
              <w:bottom w:val="single" w:sz="8" w:color="0000EE"/>
            </w:tcBorders>
            <w:gridSpan w:val="4"/>
          </w:tcPr>
          <w:p>
            <w:pPr>
              <w:spacing w:after="0"/>
              <w:rPr>
                <w:sz w:val="20"/>
                <w:szCs w:val="20"/>
                <w:color w:val="auto"/>
              </w:rPr>
            </w:pPr>
            <w:r>
              <w:rPr>
                <w:rFonts w:ascii="Arial" w:cs="Arial" w:eastAsia="Arial" w:hAnsi="Arial"/>
                <w:sz w:val="18"/>
                <w:szCs w:val="18"/>
                <w:color w:val="0000EE"/>
                <w:w w:val="88"/>
              </w:rPr>
              <w:t>Press release dated March 1, 2023 entitled “CompX Reports Fourth Quarter 2022</w:t>
            </w:r>
          </w:p>
        </w:tc>
        <w:tc>
          <w:tcPr>
            <w:tcW w:w="580" w:type="dxa"/>
            <w:vAlign w:val="bottom"/>
            <w:gridSpan w:val="2"/>
          </w:tcPr>
          <w:p>
            <w:pPr>
              <w:spacing w:after="0"/>
              <w:rPr>
                <w:sz w:val="24"/>
                <w:szCs w:val="24"/>
                <w:color w:val="auto"/>
              </w:rPr>
            </w:pPr>
          </w:p>
        </w:tc>
      </w:tr>
      <w:tr>
        <w:trPr>
          <w:trHeight w:val="196"/>
        </w:trPr>
        <w:tc>
          <w:tcPr>
            <w:tcW w:w="6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340" w:type="dxa"/>
            <w:vAlign w:val="bottom"/>
            <w:gridSpan w:val="6"/>
          </w:tcPr>
          <w:p>
            <w:pPr>
              <w:spacing w:after="0" w:line="196" w:lineRule="exact"/>
              <w:rPr>
                <w:sz w:val="20"/>
                <w:szCs w:val="20"/>
                <w:color w:val="auto"/>
              </w:rPr>
            </w:pPr>
            <w:r>
              <w:rPr>
                <w:rFonts w:ascii="Arial" w:cs="Arial" w:eastAsia="Arial" w:hAnsi="Arial"/>
                <w:sz w:val="18"/>
                <w:szCs w:val="18"/>
                <w:color w:val="0000EE"/>
              </w:rPr>
              <w:t>Results” and issued by the registrant</w:t>
            </w:r>
            <w:r>
              <w:rPr>
                <w:rFonts w:ascii="Arial" w:cs="Arial" w:eastAsia="Arial" w:hAnsi="Arial"/>
                <w:sz w:val="18"/>
                <w:szCs w:val="18"/>
                <w:color w:val="000000"/>
              </w:rPr>
              <w:t>.</w:t>
            </w:r>
          </w:p>
        </w:tc>
      </w:tr>
      <w:tr>
        <w:trPr>
          <w:trHeight w:val="20"/>
        </w:trPr>
        <w:tc>
          <w:tcPr>
            <w:tcW w:w="6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5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r>
      <w:tr>
        <w:trPr>
          <w:trHeight w:val="412"/>
        </w:trPr>
        <w:tc>
          <w:tcPr>
            <w:tcW w:w="600" w:type="dxa"/>
            <w:vAlign w:val="bottom"/>
          </w:tcPr>
          <w:p>
            <w:pPr>
              <w:spacing w:after="0"/>
              <w:rPr>
                <w:sz w:val="24"/>
                <w:szCs w:val="24"/>
                <w:color w:val="auto"/>
              </w:rPr>
            </w:pPr>
          </w:p>
        </w:tc>
        <w:tc>
          <w:tcPr>
            <w:tcW w:w="1380" w:type="dxa"/>
            <w:vAlign w:val="bottom"/>
          </w:tcPr>
          <w:p>
            <w:pPr>
              <w:jc w:val="right"/>
              <w:ind w:right="410"/>
              <w:spacing w:after="0"/>
              <w:rPr>
                <w:sz w:val="20"/>
                <w:szCs w:val="20"/>
                <w:color w:val="auto"/>
              </w:rPr>
            </w:pPr>
            <w:r>
              <w:rPr>
                <w:rFonts w:ascii="Arial" w:cs="Arial" w:eastAsia="Arial" w:hAnsi="Arial"/>
                <w:sz w:val="18"/>
                <w:szCs w:val="18"/>
                <w:color w:val="auto"/>
              </w:rPr>
              <w:t>99.2</w:t>
            </w:r>
          </w:p>
        </w:tc>
        <w:tc>
          <w:tcPr>
            <w:tcW w:w="600" w:type="dxa"/>
            <w:vAlign w:val="bottom"/>
          </w:tcPr>
          <w:p>
            <w:pPr>
              <w:spacing w:after="0"/>
              <w:rPr>
                <w:sz w:val="24"/>
                <w:szCs w:val="24"/>
                <w:color w:val="auto"/>
              </w:rPr>
            </w:pPr>
          </w:p>
        </w:tc>
        <w:tc>
          <w:tcPr>
            <w:tcW w:w="5740" w:type="dxa"/>
            <w:vAlign w:val="bottom"/>
            <w:tcBorders>
              <w:bottom w:val="single" w:sz="8" w:color="0000EE"/>
            </w:tcBorders>
            <w:gridSpan w:val="3"/>
          </w:tcPr>
          <w:p>
            <w:pPr>
              <w:spacing w:after="0"/>
              <w:rPr>
                <w:sz w:val="20"/>
                <w:szCs w:val="20"/>
                <w:color w:val="auto"/>
              </w:rPr>
            </w:pPr>
            <w:r>
              <w:rPr>
                <w:rFonts w:ascii="Arial" w:cs="Arial" w:eastAsia="Arial" w:hAnsi="Arial"/>
                <w:sz w:val="18"/>
                <w:szCs w:val="18"/>
                <w:color w:val="0000EE"/>
                <w:w w:val="89"/>
              </w:rPr>
              <w:t>Press release dated March 1, 2023 entitled “CompX Declares Regular Quarterly</w:t>
            </w:r>
          </w:p>
        </w:tc>
        <w:tc>
          <w:tcPr>
            <w:tcW w:w="600" w:type="dxa"/>
            <w:vAlign w:val="bottom"/>
            <w:gridSpan w:val="3"/>
          </w:tcPr>
          <w:p>
            <w:pPr>
              <w:spacing w:after="0"/>
              <w:rPr>
                <w:sz w:val="24"/>
                <w:szCs w:val="24"/>
                <w:color w:val="auto"/>
              </w:rPr>
            </w:pPr>
          </w:p>
        </w:tc>
      </w:tr>
      <w:tr>
        <w:trPr>
          <w:trHeight w:val="196"/>
        </w:trPr>
        <w:tc>
          <w:tcPr>
            <w:tcW w:w="6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340" w:type="dxa"/>
            <w:vAlign w:val="bottom"/>
            <w:gridSpan w:val="6"/>
          </w:tcPr>
          <w:p>
            <w:pPr>
              <w:spacing w:after="0" w:line="196" w:lineRule="exact"/>
              <w:rPr>
                <w:sz w:val="20"/>
                <w:szCs w:val="20"/>
                <w:color w:val="auto"/>
              </w:rPr>
            </w:pPr>
            <w:r>
              <w:rPr>
                <w:rFonts w:ascii="Arial" w:cs="Arial" w:eastAsia="Arial" w:hAnsi="Arial"/>
                <w:sz w:val="18"/>
                <w:szCs w:val="18"/>
                <w:color w:val="0000EE"/>
              </w:rPr>
              <w:t>Dividend” and issued by the registrant</w:t>
            </w:r>
            <w:r>
              <w:rPr>
                <w:rFonts w:ascii="Arial" w:cs="Arial" w:eastAsia="Arial" w:hAnsi="Arial"/>
                <w:sz w:val="18"/>
                <w:szCs w:val="18"/>
                <w:color w:val="000000"/>
              </w:rPr>
              <w:t>.</w:t>
            </w:r>
          </w:p>
        </w:tc>
      </w:tr>
      <w:tr>
        <w:trPr>
          <w:trHeight w:val="20"/>
        </w:trPr>
        <w:tc>
          <w:tcPr>
            <w:tcW w:w="6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740" w:type="dxa"/>
            <w:vAlign w:val="bottom"/>
            <w:gridSpan w:val="2"/>
            <w:shd w:val="clear" w:color="auto" w:fill="0000EE"/>
          </w:tcPr>
          <w:p>
            <w:pPr>
              <w:spacing w:after="0" w:line="20" w:lineRule="exact"/>
              <w:rPr>
                <w:sz w:val="1"/>
                <w:szCs w:val="1"/>
                <w:color w:val="auto"/>
              </w:rPr>
            </w:pPr>
          </w:p>
        </w:tc>
        <w:tc>
          <w:tcPr>
            <w:tcW w:w="3600" w:type="dxa"/>
            <w:vAlign w:val="bottom"/>
            <w:gridSpan w:val="4"/>
          </w:tcPr>
          <w:p>
            <w:pPr>
              <w:spacing w:after="0" w:line="20" w:lineRule="exact"/>
              <w:rPr>
                <w:sz w:val="1"/>
                <w:szCs w:val="1"/>
                <w:color w:val="auto"/>
              </w:rPr>
            </w:pPr>
          </w:p>
        </w:tc>
      </w:tr>
      <w:tr>
        <w:trPr>
          <w:trHeight w:val="453"/>
        </w:trPr>
        <w:tc>
          <w:tcPr>
            <w:tcW w:w="600" w:type="dxa"/>
            <w:vAlign w:val="bottom"/>
          </w:tcPr>
          <w:p>
            <w:pPr>
              <w:spacing w:after="0"/>
              <w:rPr>
                <w:sz w:val="24"/>
                <w:szCs w:val="24"/>
                <w:color w:val="auto"/>
              </w:rPr>
            </w:pPr>
          </w:p>
        </w:tc>
        <w:tc>
          <w:tcPr>
            <w:tcW w:w="1380" w:type="dxa"/>
            <w:vAlign w:val="bottom"/>
          </w:tcPr>
          <w:p>
            <w:pPr>
              <w:jc w:val="right"/>
              <w:ind w:right="550"/>
              <w:spacing w:after="0"/>
              <w:rPr>
                <w:sz w:val="20"/>
                <w:szCs w:val="20"/>
                <w:color w:val="auto"/>
              </w:rPr>
            </w:pPr>
            <w:r>
              <w:rPr>
                <w:rFonts w:ascii="Arial" w:cs="Arial" w:eastAsia="Arial" w:hAnsi="Arial"/>
                <w:sz w:val="18"/>
                <w:szCs w:val="18"/>
                <w:color w:val="auto"/>
              </w:rPr>
              <w:t>104</w:t>
            </w:r>
          </w:p>
        </w:tc>
        <w:tc>
          <w:tcPr>
            <w:tcW w:w="600" w:type="dxa"/>
            <w:vAlign w:val="bottom"/>
          </w:tcPr>
          <w:p>
            <w:pPr>
              <w:spacing w:after="0"/>
              <w:rPr>
                <w:sz w:val="24"/>
                <w:szCs w:val="24"/>
                <w:color w:val="auto"/>
              </w:rPr>
            </w:pPr>
          </w:p>
        </w:tc>
        <w:tc>
          <w:tcPr>
            <w:tcW w:w="6340" w:type="dxa"/>
            <w:vAlign w:val="bottom"/>
            <w:gridSpan w:val="6"/>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r>
      <w:tr>
        <w:trPr>
          <w:trHeight w:val="1222"/>
        </w:trPr>
        <w:tc>
          <w:tcPr>
            <w:tcW w:w="60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21" w:right="1440"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left="60" w:right="59"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40" w:type="dxa"/>
        <w:tblCellMar>
          <w:top w:w="0" w:type="dxa"/>
          <w:left w:w="0" w:type="dxa"/>
          <w:bottom w:w="0" w:type="dxa"/>
          <w:right w:w="0" w:type="dxa"/>
        </w:tblCellMar>
      </w:tblPr>
      <w:tr>
        <w:trPr>
          <w:trHeight w:val="220"/>
        </w:trPr>
        <w:tc>
          <w:tcPr>
            <w:tcW w:w="298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4180" w:type="dxa"/>
            <w:vAlign w:val="bottom"/>
          </w:tcPr>
          <w:p>
            <w:pPr>
              <w:spacing w:after="0"/>
              <w:rPr>
                <w:sz w:val="20"/>
                <w:szCs w:val="20"/>
                <w:color w:val="auto"/>
              </w:rPr>
            </w:pPr>
            <w:r>
              <w:rPr>
                <w:rFonts w:ascii="Arial" w:cs="Arial" w:eastAsia="Arial" w:hAnsi="Arial"/>
                <w:sz w:val="18"/>
                <w:szCs w:val="18"/>
                <w:b w:val="1"/>
                <w:bCs w:val="1"/>
                <w:color w:val="auto"/>
              </w:rPr>
              <w:t>COMPX INTERNATIONAL INC.</w:t>
            </w:r>
          </w:p>
        </w:tc>
      </w:tr>
      <w:tr>
        <w:trPr>
          <w:trHeight w:val="230"/>
        </w:trPr>
        <w:tc>
          <w:tcPr>
            <w:tcW w:w="298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(Registrant)</w:t>
            </w:r>
          </w:p>
        </w:tc>
      </w:tr>
      <w:tr>
        <w:trPr>
          <w:trHeight w:val="648"/>
        </w:trPr>
        <w:tc>
          <w:tcPr>
            <w:tcW w:w="2980" w:type="dxa"/>
            <w:vAlign w:val="bottom"/>
          </w:tcPr>
          <w:p>
            <w:pPr>
              <w:spacing w:after="0"/>
              <w:rPr>
                <w:sz w:val="24"/>
                <w:szCs w:val="24"/>
                <w:color w:val="auto"/>
              </w:rPr>
            </w:pPr>
          </w:p>
        </w:tc>
        <w:tc>
          <w:tcPr>
            <w:tcW w:w="5940" w:type="dxa"/>
            <w:vAlign w:val="bottom"/>
            <w:gridSpan w:val="2"/>
          </w:tcPr>
          <w:p>
            <w:pPr>
              <w:ind w:left="1500"/>
              <w:spacing w:after="0"/>
              <w:rPr>
                <w:sz w:val="20"/>
                <w:szCs w:val="20"/>
                <w:color w:val="auto"/>
              </w:rPr>
            </w:pPr>
            <w:r>
              <w:rPr>
                <w:rFonts w:ascii="Arial" w:cs="Arial" w:eastAsia="Arial" w:hAnsi="Arial"/>
                <w:sz w:val="18"/>
                <w:szCs w:val="18"/>
                <w:color w:val="auto"/>
              </w:rPr>
              <w:t>By:/s/ Amy A. Samford</w:t>
            </w:r>
          </w:p>
        </w:tc>
      </w:tr>
      <w:tr>
        <w:trPr>
          <w:trHeight w:val="195"/>
        </w:trPr>
        <w:tc>
          <w:tcPr>
            <w:tcW w:w="298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41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i w:val="1"/>
                <w:iCs w:val="1"/>
                <w:color w:val="auto"/>
              </w:rPr>
              <w:t>Amy A. Samford</w:t>
            </w:r>
          </w:p>
        </w:tc>
      </w:tr>
      <w:tr>
        <w:trPr>
          <w:trHeight w:val="216"/>
        </w:trPr>
        <w:tc>
          <w:tcPr>
            <w:tcW w:w="29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i w:val="1"/>
                <w:iCs w:val="1"/>
                <w:color w:val="auto"/>
              </w:rPr>
              <w:t>Executive Vice President and</w:t>
            </w:r>
          </w:p>
        </w:tc>
      </w:tr>
      <w:tr>
        <w:trPr>
          <w:trHeight w:val="230"/>
        </w:trPr>
        <w:tc>
          <w:tcPr>
            <w:tcW w:w="2980" w:type="dxa"/>
            <w:vAlign w:val="bottom"/>
          </w:tcPr>
          <w:p>
            <w:pPr>
              <w:ind w:left="20"/>
              <w:spacing w:after="0"/>
              <w:rPr>
                <w:sz w:val="20"/>
                <w:szCs w:val="20"/>
                <w:color w:val="auto"/>
              </w:rPr>
            </w:pPr>
            <w:r>
              <w:rPr>
                <w:rFonts w:ascii="Arial" w:cs="Arial" w:eastAsia="Arial" w:hAnsi="Arial"/>
                <w:sz w:val="18"/>
                <w:szCs w:val="18"/>
                <w:color w:val="auto"/>
              </w:rPr>
              <w:t>Date: March 1, 2023</w:t>
            </w:r>
          </w:p>
        </w:tc>
        <w:tc>
          <w:tcPr>
            <w:tcW w:w="1760" w:type="dxa"/>
            <w:vAlign w:val="bottom"/>
          </w:tcPr>
          <w:p>
            <w:pPr>
              <w:spacing w:after="0"/>
              <w:rPr>
                <w:sz w:val="20"/>
                <w:szCs w:val="20"/>
                <w:color w:val="auto"/>
              </w:rPr>
            </w:pPr>
          </w:p>
        </w:tc>
        <w:tc>
          <w:tcPr>
            <w:tcW w:w="4180" w:type="dxa"/>
            <w:vAlign w:val="bottom"/>
          </w:tcPr>
          <w:p>
            <w:pPr>
              <w:ind w:left="100"/>
              <w:spacing w:after="0"/>
              <w:rPr>
                <w:sz w:val="20"/>
                <w:szCs w:val="20"/>
                <w:color w:val="auto"/>
              </w:rPr>
            </w:pPr>
            <w:r>
              <w:rPr>
                <w:rFonts w:ascii="Arial" w:cs="Arial" w:eastAsia="Arial" w:hAnsi="Arial"/>
                <w:sz w:val="18"/>
                <w:szCs w:val="18"/>
                <w:i w:val="1"/>
                <w:iCs w:val="1"/>
                <w:color w:val="auto"/>
              </w:rPr>
              <w:t>Chief Financial Officer</w:t>
            </w:r>
          </w:p>
        </w:tc>
      </w:tr>
      <w:tr>
        <w:trPr>
          <w:trHeight w:val="1964"/>
        </w:trPr>
        <w:tc>
          <w:tcPr>
            <w:tcW w:w="298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418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21" w:right="1440"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2565400</wp:posOffset>
            </wp:positionH>
            <wp:positionV relativeFrom="page">
              <wp:posOffset>380365</wp:posOffset>
            </wp:positionV>
            <wp:extent cx="2442845" cy="8147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2442845" cy="81470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27"/>
          <w:szCs w:val="27"/>
          <w:b w:val="1"/>
          <w:bCs w:val="1"/>
          <w:color w:val="auto"/>
        </w:rPr>
        <w:t>COMPX REPORTS FOURTH QUARTER 2022 RESULTS</w:t>
      </w:r>
    </w:p>
    <w:p>
      <w:pPr>
        <w:spacing w:after="0" w:line="114" w:lineRule="exact"/>
        <w:rPr>
          <w:sz w:val="20"/>
          <w:szCs w:val="20"/>
          <w:color w:val="auto"/>
        </w:rPr>
      </w:pPr>
    </w:p>
    <w:p>
      <w:pPr>
        <w:jc w:val="both"/>
        <w:ind w:left="200" w:right="219"/>
        <w:spacing w:after="0" w:line="248" w:lineRule="auto"/>
        <w:rPr>
          <w:sz w:val="20"/>
          <w:szCs w:val="20"/>
          <w:color w:val="auto"/>
        </w:rPr>
      </w:pPr>
      <w:r>
        <w:rPr>
          <w:rFonts w:ascii="Arial" w:cs="Arial" w:eastAsia="Arial" w:hAnsi="Arial"/>
          <w:sz w:val="21"/>
          <w:szCs w:val="21"/>
          <w:color w:val="auto"/>
        </w:rPr>
        <w:t>DALLAS, TEXAS … March 1, 2023 … CompX International Inc. (NYSE American: CIX) announced today sales of $40.0 million for the fourth quarter of 2022 compared to $34.1 million in the same period of 2021. Operating income was $5.4 million in the fourth quarter of 2022 compared to $3.8 million in the same period of 2021. Net income was $4.8 million, or $.39 per basic and diluted common share, for the fourth quarter of 2022 compared to $3.2 million, or $.25 per basic and diluted common share, in the same period of 2021.</w:t>
      </w:r>
    </w:p>
    <w:p>
      <w:pPr>
        <w:spacing w:after="0" w:line="204" w:lineRule="exact"/>
        <w:rPr>
          <w:sz w:val="20"/>
          <w:szCs w:val="20"/>
          <w:color w:val="auto"/>
        </w:rPr>
      </w:pPr>
    </w:p>
    <w:p>
      <w:pPr>
        <w:jc w:val="both"/>
        <w:ind w:left="200" w:right="219"/>
        <w:spacing w:after="0" w:line="282" w:lineRule="auto"/>
        <w:rPr>
          <w:sz w:val="20"/>
          <w:szCs w:val="20"/>
          <w:color w:val="auto"/>
        </w:rPr>
      </w:pPr>
      <w:r>
        <w:rPr>
          <w:rFonts w:ascii="Arial" w:cs="Arial" w:eastAsia="Arial" w:hAnsi="Arial"/>
          <w:sz w:val="19"/>
          <w:szCs w:val="19"/>
          <w:color w:val="auto"/>
        </w:rPr>
        <w:t>Net sales for the year ended December 31, 2022 were $166.6 million compared to $140.8 million in the previous year. Operating income was $25.4 million for year ended December 31, 2022 compared to $20.5 million for the same period in 2021. Net income for the year ended December 31, 2022, was $20.9 million or $1.69 per basic and diluted common share, compared to $16.6 million, or $1.34 per basic and diluted common share, for the same period in 2021.</w:t>
      </w:r>
    </w:p>
    <w:p>
      <w:pPr>
        <w:spacing w:after="0" w:line="174" w:lineRule="exact"/>
        <w:rPr>
          <w:sz w:val="20"/>
          <w:szCs w:val="20"/>
          <w:color w:val="auto"/>
        </w:rPr>
      </w:pPr>
    </w:p>
    <w:p>
      <w:pPr>
        <w:jc w:val="both"/>
        <w:ind w:left="200" w:right="219"/>
        <w:spacing w:after="0" w:line="234" w:lineRule="auto"/>
        <w:rPr>
          <w:sz w:val="20"/>
          <w:szCs w:val="20"/>
          <w:color w:val="auto"/>
        </w:rPr>
      </w:pPr>
      <w:r>
        <w:rPr>
          <w:rFonts w:ascii="Arial" w:cs="Arial" w:eastAsia="Arial" w:hAnsi="Arial"/>
          <w:sz w:val="22"/>
          <w:szCs w:val="22"/>
          <w:color w:val="auto"/>
        </w:rPr>
        <w:t>Net sales increased in the fourth quarter and for the full year of 2022 compared to the same periods in 2021 primarily due to higher Marine Component sales, predominantly to the towboat market, and to a lesser extent higher Security Products sales across a variety of markets. Operating income increased for both comparative periods largely due to the strong performance of the Marine Component Segment, partially offset by increased production costs, particularly at Security Products as price increases and surcharges did not fully offset higher cost inventory sold in the latter half of the year.</w:t>
      </w:r>
    </w:p>
    <w:p>
      <w:pPr>
        <w:spacing w:after="0" w:line="218" w:lineRule="exact"/>
        <w:rPr>
          <w:sz w:val="20"/>
          <w:szCs w:val="20"/>
          <w:color w:val="auto"/>
        </w:rPr>
      </w:pPr>
    </w:p>
    <w:p>
      <w:pPr>
        <w:jc w:val="both"/>
        <w:ind w:left="200" w:right="219"/>
        <w:spacing w:after="0" w:line="250" w:lineRule="auto"/>
        <w:rPr>
          <w:sz w:val="20"/>
          <w:szCs w:val="20"/>
          <w:color w:val="auto"/>
        </w:rPr>
      </w:pPr>
      <w:r>
        <w:rPr>
          <w:rFonts w:ascii="Arial" w:cs="Arial" w:eastAsia="Arial" w:hAnsi="Arial"/>
          <w:sz w:val="22"/>
          <w:szCs w:val="22"/>
          <w:color w:val="auto"/>
        </w:rPr>
        <w:t>CompX is a leading manufacturer of security products and recreational marine components. It operates from three locations in the U.S. and employs 609 people.</w:t>
      </w:r>
    </w:p>
    <w:p>
      <w:pPr>
        <w:spacing w:after="0" w:line="200" w:lineRule="exact"/>
        <w:rPr>
          <w:sz w:val="20"/>
          <w:szCs w:val="20"/>
          <w:color w:val="auto"/>
        </w:rPr>
      </w:pPr>
    </w:p>
    <w:p>
      <w:pPr>
        <w:spacing w:after="0" w:line="212"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Forward-Looking Statements</w:t>
      </w:r>
    </w:p>
    <w:p>
      <w:pPr>
        <w:spacing w:after="0" w:line="104" w:lineRule="exact"/>
        <w:rPr>
          <w:sz w:val="20"/>
          <w:szCs w:val="20"/>
          <w:color w:val="auto"/>
        </w:rPr>
      </w:pPr>
    </w:p>
    <w:p>
      <w:pPr>
        <w:jc w:val="both"/>
        <w:ind w:left="200" w:right="219"/>
        <w:spacing w:after="0" w:line="277" w:lineRule="auto"/>
        <w:rPr>
          <w:sz w:val="20"/>
          <w:szCs w:val="20"/>
          <w:color w:val="auto"/>
        </w:rPr>
      </w:pPr>
      <w:r>
        <w:rPr>
          <w:rFonts w:ascii="Arial" w:cs="Arial" w:eastAsia="Arial" w:hAnsi="Arial"/>
          <w:sz w:val="19"/>
          <w:szCs w:val="19"/>
          <w:color w:val="auto"/>
        </w:rPr>
        <w:t>The statements in this press release relating to matters that are not historical facts are forward-looking statements that represent management’s belief and assumptions based on currently available information. Although we believe the expectations reflected in such forward-looking statements are reasonable, we cannot give any assurances that these expectations will be correct. Such statements, by their nature, involve substantial risks and uncertainties that could significantly impact expected results, and actual future results could differ materially from those predicted. While it is not possible to identify all factors, we continue to face many risks and uncertainties.</w:t>
      </w:r>
    </w:p>
    <w:p>
      <w:pPr>
        <w:spacing w:after="0" w:line="111" w:lineRule="exact"/>
        <w:rPr>
          <w:sz w:val="20"/>
          <w:szCs w:val="20"/>
          <w:color w:val="auto"/>
        </w:rPr>
      </w:pPr>
    </w:p>
    <w:p>
      <w:pPr>
        <w:jc w:val="both"/>
        <w:ind w:left="200" w:right="219"/>
        <w:spacing w:after="0" w:line="250" w:lineRule="auto"/>
        <w:rPr>
          <w:sz w:val="20"/>
          <w:szCs w:val="20"/>
          <w:color w:val="auto"/>
        </w:rPr>
      </w:pPr>
      <w:r>
        <w:rPr>
          <w:rFonts w:ascii="Arial" w:cs="Arial" w:eastAsia="Arial" w:hAnsi="Arial"/>
          <w:sz w:val="22"/>
          <w:szCs w:val="22"/>
          <w:color w:val="auto"/>
        </w:rPr>
        <w:t>The factors that could cause our actual future results to differ materially include, but are not limited to, the following:</w:t>
      </w:r>
    </w:p>
    <w:p>
      <w:pPr>
        <w:spacing w:after="0" w:line="148" w:lineRule="exact"/>
        <w:rPr>
          <w:sz w:val="20"/>
          <w:szCs w:val="20"/>
          <w:color w:val="auto"/>
        </w:rPr>
      </w:pPr>
    </w:p>
    <w:p>
      <w:pPr>
        <w:ind w:left="1080" w:hanging="439"/>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22"/>
          <w:szCs w:val="22"/>
          <w:color w:val="auto"/>
        </w:rPr>
        <w:t>Future demand for our products,</w:t>
      </w:r>
    </w:p>
    <w:p>
      <w:pPr>
        <w:spacing w:after="0" w:line="98" w:lineRule="exact"/>
        <w:rPr>
          <w:rFonts w:ascii="Arial" w:cs="Arial" w:eastAsia="Arial" w:hAnsi="Arial"/>
          <w:sz w:val="18"/>
          <w:szCs w:val="18"/>
          <w:color w:val="auto"/>
        </w:rPr>
      </w:pPr>
    </w:p>
    <w:p>
      <w:pPr>
        <w:jc w:val="both"/>
        <w:ind w:left="1080" w:right="239" w:hanging="439"/>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22"/>
          <w:szCs w:val="22"/>
          <w:color w:val="auto"/>
        </w:rPr>
        <w:t>Changes in our raw material and other operating costs (such as zinc, brass, aluminum, steel and energy costs) and our ability to pass those costs on to our customers or offset them with reductions in other operating costs,</w:t>
      </w: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349885</wp:posOffset>
            </wp:positionV>
            <wp:extent cx="545211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4" w:name="page5"/>
    <w:bookmarkEnd w:id="4"/>
    <w:p>
      <w:pPr>
        <w:ind w:left="1080" w:hanging="439"/>
        <w:spacing w:after="0"/>
        <w:tabs>
          <w:tab w:leader="none" w:pos="1080" w:val="left"/>
        </w:tabs>
        <w:numPr>
          <w:ilvl w:val="0"/>
          <w:numId w:val="3"/>
        </w:numPr>
        <w:rPr>
          <w:rFonts w:ascii="Arial" w:cs="Arial" w:eastAsia="Arial" w:hAnsi="Arial"/>
          <w:sz w:val="16"/>
          <w:szCs w:val="16"/>
          <w:color w:val="auto"/>
        </w:rPr>
      </w:pPr>
      <w:r>
        <w:rPr>
          <w:rFonts w:ascii="Arial" w:cs="Arial" w:eastAsia="Arial" w:hAnsi="Arial"/>
          <w:sz w:val="19"/>
          <w:szCs w:val="19"/>
          <w:color w:val="auto"/>
        </w:rPr>
        <w:t>Price and product competition from low-cost manufacturing sources (such as China),</w:t>
      </w:r>
    </w:p>
    <w:p>
      <w:pPr>
        <w:spacing w:after="0" w:line="133" w:lineRule="exact"/>
        <w:rPr>
          <w:rFonts w:ascii="Arial" w:cs="Arial" w:eastAsia="Arial" w:hAnsi="Arial"/>
          <w:sz w:val="16"/>
          <w:szCs w:val="16"/>
          <w:color w:val="auto"/>
        </w:rPr>
      </w:pPr>
    </w:p>
    <w:p>
      <w:pPr>
        <w:ind w:left="1080" w:hanging="439"/>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22"/>
          <w:szCs w:val="22"/>
          <w:color w:val="auto"/>
        </w:rPr>
        <w:t>The impact of pricing and production decisions,</w:t>
      </w:r>
    </w:p>
    <w:p>
      <w:pPr>
        <w:spacing w:after="0" w:line="98" w:lineRule="exact"/>
        <w:rPr>
          <w:rFonts w:ascii="Arial" w:cs="Arial" w:eastAsia="Arial" w:hAnsi="Arial"/>
          <w:sz w:val="18"/>
          <w:szCs w:val="18"/>
          <w:color w:val="auto"/>
        </w:rPr>
      </w:pPr>
    </w:p>
    <w:p>
      <w:pPr>
        <w:ind w:left="1080" w:hanging="439"/>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22"/>
          <w:szCs w:val="22"/>
          <w:color w:val="auto"/>
        </w:rPr>
        <w:t>Customer and competitor strategies including substitute products,</w:t>
      </w:r>
    </w:p>
    <w:p>
      <w:pPr>
        <w:spacing w:after="0" w:line="98" w:lineRule="exact"/>
        <w:rPr>
          <w:rFonts w:ascii="Arial" w:cs="Arial" w:eastAsia="Arial" w:hAnsi="Arial"/>
          <w:sz w:val="18"/>
          <w:szCs w:val="18"/>
          <w:color w:val="auto"/>
        </w:rPr>
      </w:pPr>
    </w:p>
    <w:p>
      <w:pPr>
        <w:ind w:left="1080" w:hanging="439"/>
        <w:spacing w:after="0"/>
        <w:tabs>
          <w:tab w:leader="none" w:pos="1080" w:val="left"/>
        </w:tabs>
        <w:numPr>
          <w:ilvl w:val="0"/>
          <w:numId w:val="3"/>
        </w:numPr>
        <w:rPr>
          <w:rFonts w:ascii="Arial" w:cs="Arial" w:eastAsia="Arial" w:hAnsi="Arial"/>
          <w:sz w:val="16"/>
          <w:szCs w:val="16"/>
          <w:color w:val="auto"/>
        </w:rPr>
      </w:pPr>
      <w:r>
        <w:rPr>
          <w:rFonts w:ascii="Arial" w:cs="Arial" w:eastAsia="Arial" w:hAnsi="Arial"/>
          <w:sz w:val="19"/>
          <w:szCs w:val="19"/>
          <w:color w:val="auto"/>
        </w:rPr>
        <w:t>Uncertainties associated with the development of new products and product features,</w:t>
      </w:r>
    </w:p>
    <w:p>
      <w:pPr>
        <w:spacing w:after="0" w:line="132" w:lineRule="exact"/>
        <w:rPr>
          <w:rFonts w:ascii="Arial" w:cs="Arial" w:eastAsia="Arial" w:hAnsi="Arial"/>
          <w:sz w:val="16"/>
          <w:szCs w:val="16"/>
          <w:color w:val="auto"/>
        </w:rPr>
      </w:pPr>
    </w:p>
    <w:p>
      <w:pPr>
        <w:ind w:left="1080" w:hanging="439"/>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22"/>
          <w:szCs w:val="22"/>
          <w:color w:val="auto"/>
        </w:rPr>
        <w:t>Future litigation,</w:t>
      </w:r>
    </w:p>
    <w:p>
      <w:pPr>
        <w:spacing w:after="0" w:line="98" w:lineRule="exact"/>
        <w:rPr>
          <w:rFonts w:ascii="Arial" w:cs="Arial" w:eastAsia="Arial" w:hAnsi="Arial"/>
          <w:sz w:val="18"/>
          <w:szCs w:val="18"/>
          <w:color w:val="auto"/>
        </w:rPr>
      </w:pPr>
    </w:p>
    <w:p>
      <w:pPr>
        <w:ind w:left="1080" w:hanging="439"/>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22"/>
          <w:szCs w:val="22"/>
          <w:color w:val="auto"/>
        </w:rPr>
        <w:t>Our ability to protect or defend our intellectual property rights,</w:t>
      </w:r>
    </w:p>
    <w:p>
      <w:pPr>
        <w:spacing w:after="0" w:line="98" w:lineRule="exact"/>
        <w:rPr>
          <w:rFonts w:ascii="Arial" w:cs="Arial" w:eastAsia="Arial" w:hAnsi="Arial"/>
          <w:sz w:val="18"/>
          <w:szCs w:val="18"/>
          <w:color w:val="auto"/>
        </w:rPr>
      </w:pPr>
    </w:p>
    <w:p>
      <w:pPr>
        <w:ind w:left="1080" w:hanging="439"/>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22"/>
          <w:szCs w:val="22"/>
          <w:color w:val="auto"/>
        </w:rPr>
        <w:t>Potential difficulties in integrating future acquisitions,</w:t>
      </w:r>
    </w:p>
    <w:p>
      <w:pPr>
        <w:spacing w:after="0" w:line="98" w:lineRule="exact"/>
        <w:rPr>
          <w:rFonts w:ascii="Arial" w:cs="Arial" w:eastAsia="Arial" w:hAnsi="Arial"/>
          <w:sz w:val="18"/>
          <w:szCs w:val="18"/>
          <w:color w:val="auto"/>
        </w:rPr>
      </w:pPr>
    </w:p>
    <w:p>
      <w:pPr>
        <w:ind w:left="1080" w:hanging="439"/>
        <w:spacing w:after="0"/>
        <w:tabs>
          <w:tab w:leader="none" w:pos="1080" w:val="left"/>
        </w:tabs>
        <w:numPr>
          <w:ilvl w:val="0"/>
          <w:numId w:val="3"/>
        </w:numPr>
        <w:rPr>
          <w:rFonts w:ascii="Arial" w:cs="Arial" w:eastAsia="Arial" w:hAnsi="Arial"/>
          <w:sz w:val="17"/>
          <w:szCs w:val="17"/>
          <w:color w:val="auto"/>
        </w:rPr>
      </w:pPr>
      <w:r>
        <w:rPr>
          <w:rFonts w:ascii="Arial" w:cs="Arial" w:eastAsia="Arial" w:hAnsi="Arial"/>
          <w:sz w:val="21"/>
          <w:szCs w:val="21"/>
          <w:color w:val="auto"/>
        </w:rPr>
        <w:t>Decisions to sell operating assets other than in the ordinary course of business,</w:t>
      </w:r>
    </w:p>
    <w:p>
      <w:pPr>
        <w:spacing w:after="0" w:line="109" w:lineRule="exact"/>
        <w:rPr>
          <w:rFonts w:ascii="Arial" w:cs="Arial" w:eastAsia="Arial" w:hAnsi="Arial"/>
          <w:sz w:val="17"/>
          <w:szCs w:val="17"/>
          <w:color w:val="auto"/>
        </w:rPr>
      </w:pPr>
    </w:p>
    <w:p>
      <w:pPr>
        <w:ind w:left="1080" w:right="219" w:hanging="439"/>
        <w:spacing w:after="0" w:line="250"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22"/>
          <w:szCs w:val="22"/>
          <w:color w:val="auto"/>
        </w:rPr>
        <w:t>Environmental matters (such as those requiring emission and discharge standards for existing and new facilities),</w:t>
      </w:r>
    </w:p>
    <w:p>
      <w:pPr>
        <w:spacing w:after="0" w:line="66" w:lineRule="exact"/>
        <w:rPr>
          <w:rFonts w:ascii="Arial" w:cs="Arial" w:eastAsia="Arial" w:hAnsi="Arial"/>
          <w:sz w:val="18"/>
          <w:szCs w:val="18"/>
          <w:color w:val="auto"/>
        </w:rPr>
      </w:pPr>
    </w:p>
    <w:p>
      <w:pPr>
        <w:ind w:left="1080" w:right="219" w:hanging="439"/>
        <w:spacing w:after="0" w:line="250"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22"/>
          <w:szCs w:val="22"/>
          <w:color w:val="auto"/>
        </w:rPr>
        <w:t>The ultimate outcome of income tax audits, tax settlement initiatives or other tax matters, including future tax reform,</w:t>
      </w:r>
    </w:p>
    <w:p>
      <w:pPr>
        <w:spacing w:after="0" w:line="66" w:lineRule="exact"/>
        <w:rPr>
          <w:rFonts w:ascii="Arial" w:cs="Arial" w:eastAsia="Arial" w:hAnsi="Arial"/>
          <w:sz w:val="18"/>
          <w:szCs w:val="18"/>
          <w:color w:val="auto"/>
        </w:rPr>
      </w:pPr>
    </w:p>
    <w:p>
      <w:pPr>
        <w:ind w:left="1080" w:right="239" w:hanging="439"/>
        <w:spacing w:after="0" w:line="250"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22"/>
          <w:szCs w:val="22"/>
          <w:color w:val="auto"/>
        </w:rPr>
        <w:t>Government laws and regulations and possible changes therein including new environmental health and safety or other regulations,</w:t>
      </w:r>
    </w:p>
    <w:p>
      <w:pPr>
        <w:spacing w:after="0" w:line="66" w:lineRule="exact"/>
        <w:rPr>
          <w:rFonts w:ascii="Arial" w:cs="Arial" w:eastAsia="Arial" w:hAnsi="Arial"/>
          <w:sz w:val="18"/>
          <w:szCs w:val="18"/>
          <w:color w:val="auto"/>
        </w:rPr>
      </w:pPr>
    </w:p>
    <w:p>
      <w:pPr>
        <w:jc w:val="both"/>
        <w:ind w:left="1080" w:right="219" w:hanging="439"/>
        <w:spacing w:after="0" w:line="282" w:lineRule="auto"/>
        <w:tabs>
          <w:tab w:leader="none" w:pos="1080" w:val="left"/>
        </w:tabs>
        <w:numPr>
          <w:ilvl w:val="0"/>
          <w:numId w:val="3"/>
        </w:numPr>
        <w:rPr>
          <w:rFonts w:ascii="Arial" w:cs="Arial" w:eastAsia="Arial" w:hAnsi="Arial"/>
          <w:sz w:val="16"/>
          <w:szCs w:val="16"/>
          <w:color w:val="auto"/>
        </w:rPr>
      </w:pPr>
      <w:r>
        <w:rPr>
          <w:rFonts w:ascii="Arial" w:cs="Arial" w:eastAsia="Arial" w:hAnsi="Arial"/>
          <w:sz w:val="19"/>
          <w:szCs w:val="19"/>
          <w:color w:val="auto"/>
        </w:rPr>
        <w:t>General global economic and political conditions that introduce instability into our supply chain, impact our customers’ level of demand or our customers’ perception regarding demand or impair our ability to operate our facilities (including changes in the level of gross domestic product in various regions of the world, natural disasters, terrorist acts, global conflicts and public health crises such as COVID-19),</w:t>
      </w:r>
    </w:p>
    <w:p>
      <w:pPr>
        <w:spacing w:after="0" w:line="39" w:lineRule="exact"/>
        <w:rPr>
          <w:rFonts w:ascii="Arial" w:cs="Arial" w:eastAsia="Arial" w:hAnsi="Arial"/>
          <w:sz w:val="16"/>
          <w:szCs w:val="16"/>
          <w:color w:val="auto"/>
        </w:rPr>
      </w:pPr>
    </w:p>
    <w:p>
      <w:pPr>
        <w:jc w:val="both"/>
        <w:ind w:left="1080" w:right="239" w:hanging="439"/>
        <w:spacing w:after="0" w:line="238"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22"/>
          <w:szCs w:val="22"/>
          <w:color w:val="auto"/>
        </w:rPr>
        <w:t>Operating interruptions (including, but not limited to labor disputes, hazardous chemical leaks, natural disasters, fires, explosions, unscheduled or unplanned downtime, transportation interruptions, cyber-attacks and public health crises such as COVID-19); and</w:t>
      </w:r>
    </w:p>
    <w:p>
      <w:pPr>
        <w:spacing w:after="0" w:line="76" w:lineRule="exact"/>
        <w:rPr>
          <w:rFonts w:ascii="Arial" w:cs="Arial" w:eastAsia="Arial" w:hAnsi="Arial"/>
          <w:sz w:val="18"/>
          <w:szCs w:val="18"/>
          <w:color w:val="auto"/>
        </w:rPr>
      </w:pPr>
    </w:p>
    <w:p>
      <w:pPr>
        <w:ind w:left="1080" w:right="219" w:hanging="439"/>
        <w:spacing w:after="0" w:line="250"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22"/>
          <w:szCs w:val="22"/>
          <w:color w:val="auto"/>
        </w:rPr>
        <w:t>Possible disruption of our business or increases in the cost of doing business resulting from terrorist activities or global conflicts.</w:t>
      </w:r>
    </w:p>
    <w:p>
      <w:pPr>
        <w:spacing w:after="0" w:line="67" w:lineRule="exact"/>
        <w:rPr>
          <w:sz w:val="20"/>
          <w:szCs w:val="20"/>
          <w:color w:val="auto"/>
        </w:rPr>
      </w:pPr>
    </w:p>
    <w:p>
      <w:pPr>
        <w:jc w:val="both"/>
        <w:ind w:left="200" w:right="219"/>
        <w:spacing w:after="0" w:line="287" w:lineRule="auto"/>
        <w:rPr>
          <w:sz w:val="20"/>
          <w:szCs w:val="20"/>
          <w:color w:val="auto"/>
        </w:rPr>
      </w:pPr>
      <w:r>
        <w:rPr>
          <w:rFonts w:ascii="Arial" w:cs="Arial" w:eastAsia="Arial" w:hAnsi="Arial"/>
          <w:sz w:val="19"/>
          <w:szCs w:val="19"/>
          <w:color w:val="auto"/>
        </w:rPr>
        <w:t>Should one or more of these risks materialize or if the consequences worsen, or if the underlying assumptions prove incorrect, actual results could differ materially from those currently forecasted or expected. CompX disclaims any intention or obligation to update or revise any forward-looking statement whether as a result of changes in information, future events or otherwise.</w:t>
      </w:r>
    </w:p>
    <w:p>
      <w:pPr>
        <w:spacing w:after="0" w:line="164"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Investor Relations Contact</w:t>
      </w:r>
    </w:p>
    <w:p>
      <w:pPr>
        <w:spacing w:after="0" w:line="239" w:lineRule="exact"/>
        <w:rPr>
          <w:sz w:val="20"/>
          <w:szCs w:val="20"/>
          <w:color w:val="auto"/>
        </w:rPr>
      </w:pPr>
    </w:p>
    <w:p>
      <w:pPr>
        <w:ind w:left="200"/>
        <w:spacing w:after="0"/>
        <w:rPr>
          <w:sz w:val="20"/>
          <w:szCs w:val="20"/>
          <w:color w:val="auto"/>
        </w:rPr>
      </w:pPr>
      <w:r>
        <w:rPr>
          <w:rFonts w:ascii="Arial" w:cs="Arial" w:eastAsia="Arial" w:hAnsi="Arial"/>
          <w:sz w:val="22"/>
          <w:szCs w:val="22"/>
          <w:color w:val="auto"/>
        </w:rPr>
        <w:t>Bryan A. Hanley</w:t>
      </w:r>
    </w:p>
    <w:p>
      <w:pPr>
        <w:ind w:left="200"/>
        <w:spacing w:after="0" w:line="238" w:lineRule="auto"/>
        <w:rPr>
          <w:sz w:val="20"/>
          <w:szCs w:val="20"/>
          <w:color w:val="auto"/>
        </w:rPr>
      </w:pPr>
      <w:r>
        <w:rPr>
          <w:rFonts w:ascii="Arial" w:cs="Arial" w:eastAsia="Arial" w:hAnsi="Arial"/>
          <w:sz w:val="22"/>
          <w:szCs w:val="22"/>
          <w:color w:val="auto"/>
        </w:rPr>
        <w:t>Senior Vice President and Treasurer</w:t>
      </w:r>
    </w:p>
    <w:p>
      <w:pPr>
        <w:ind w:left="200"/>
        <w:spacing w:after="0"/>
        <w:rPr>
          <w:sz w:val="20"/>
          <w:szCs w:val="20"/>
          <w:color w:val="auto"/>
        </w:rPr>
      </w:pPr>
      <w:r>
        <w:rPr>
          <w:rFonts w:ascii="Arial" w:cs="Arial" w:eastAsia="Arial" w:hAnsi="Arial"/>
          <w:sz w:val="22"/>
          <w:szCs w:val="22"/>
          <w:color w:val="auto"/>
        </w:rPr>
        <w:t>Tel. 972-233-1700</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 * * *</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349885</wp:posOffset>
            </wp:positionV>
            <wp:extent cx="5452110"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5" w:name="page6"/>
    <w:bookmarkEnd w:id="5"/>
    <w:p>
      <w:pPr>
        <w:jc w:val="center"/>
        <w:ind w:right="19"/>
        <w:spacing w:after="0"/>
        <w:rPr>
          <w:sz w:val="20"/>
          <w:szCs w:val="20"/>
          <w:color w:val="auto"/>
        </w:rPr>
      </w:pPr>
      <w:r>
        <w:rPr>
          <w:rFonts w:ascii="Arial" w:cs="Arial" w:eastAsia="Arial" w:hAnsi="Arial"/>
          <w:sz w:val="29"/>
          <w:szCs w:val="29"/>
          <w:b w:val="1"/>
          <w:bCs w:val="1"/>
          <w:color w:val="auto"/>
        </w:rPr>
        <w:t>COMPX INTERNATIONAL INC.</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SUMMARY OF CONSOLIDATED OPERATIONS</w:t>
      </w:r>
    </w:p>
    <w:p>
      <w:pPr>
        <w:jc w:val="center"/>
        <w:ind w:right="19"/>
        <w:spacing w:after="0"/>
        <w:rPr>
          <w:sz w:val="20"/>
          <w:szCs w:val="20"/>
          <w:color w:val="auto"/>
        </w:rPr>
      </w:pPr>
      <w:r>
        <w:rPr>
          <w:rFonts w:ascii="Arial" w:cs="Arial" w:eastAsia="Arial" w:hAnsi="Arial"/>
          <w:sz w:val="22"/>
          <w:szCs w:val="22"/>
          <w:b w:val="1"/>
          <w:bCs w:val="1"/>
          <w:color w:val="auto"/>
        </w:rPr>
        <w:t>(In millions, except per share amounts)</w:t>
      </w:r>
    </w:p>
    <w:p>
      <w:pPr>
        <w:spacing w:after="0" w:line="200" w:lineRule="exact"/>
        <w:rPr>
          <w:sz w:val="20"/>
          <w:szCs w:val="20"/>
          <w:color w:val="auto"/>
        </w:rPr>
      </w:pPr>
    </w:p>
    <w:p>
      <w:pPr>
        <w:spacing w:after="0" w:line="275" w:lineRule="exact"/>
        <w:rPr>
          <w:sz w:val="20"/>
          <w:szCs w:val="20"/>
          <w:color w:val="auto"/>
        </w:rPr>
      </w:pPr>
    </w:p>
    <w:tbl>
      <w:tblPr>
        <w:tblLayout w:type="fixed"/>
        <w:tblInd w:w="20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gridSpan w:val="4"/>
          </w:tcPr>
          <w:p>
            <w:pPr>
              <w:jc w:val="center"/>
              <w:ind w:right="30"/>
              <w:spacing w:after="0"/>
              <w:rPr>
                <w:sz w:val="20"/>
                <w:szCs w:val="20"/>
                <w:color w:val="auto"/>
              </w:rPr>
            </w:pPr>
            <w:r>
              <w:rPr>
                <w:rFonts w:ascii="Arial" w:cs="Arial" w:eastAsia="Arial" w:hAnsi="Arial"/>
                <w:sz w:val="18"/>
                <w:szCs w:val="18"/>
                <w:b w:val="1"/>
                <w:bCs w:val="1"/>
                <w:color w:val="auto"/>
                <w:w w:val="89"/>
              </w:rPr>
              <w:t>Three months ended</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0" w:type="dxa"/>
            <w:vAlign w:val="bottom"/>
            <w:gridSpan w:val="4"/>
          </w:tcPr>
          <w:p>
            <w:pPr>
              <w:jc w:val="right"/>
              <w:ind w:right="470"/>
              <w:spacing w:after="0"/>
              <w:rPr>
                <w:sz w:val="20"/>
                <w:szCs w:val="20"/>
                <w:color w:val="auto"/>
              </w:rPr>
            </w:pPr>
            <w:r>
              <w:rPr>
                <w:rFonts w:ascii="Arial" w:cs="Arial" w:eastAsia="Arial" w:hAnsi="Arial"/>
                <w:sz w:val="18"/>
                <w:szCs w:val="18"/>
                <w:b w:val="1"/>
                <w:bCs w:val="1"/>
                <w:color w:val="auto"/>
              </w:rPr>
              <w:t>Year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gridSpan w:val="4"/>
          </w:tcPr>
          <w:p>
            <w:pPr>
              <w:jc w:val="center"/>
              <w:ind w:right="50"/>
              <w:spacing w:after="0"/>
              <w:rPr>
                <w:sz w:val="20"/>
                <w:szCs w:val="20"/>
                <w:color w:val="auto"/>
              </w:rPr>
            </w:pPr>
            <w:r>
              <w:rPr>
                <w:rFonts w:ascii="Arial" w:cs="Arial" w:eastAsia="Arial" w:hAnsi="Arial"/>
                <w:sz w:val="18"/>
                <w:szCs w:val="18"/>
                <w:b w:val="1"/>
                <w:bCs w:val="1"/>
                <w:color w:val="auto"/>
                <w:w w:val="88"/>
              </w:rPr>
              <w:t>December 31,</w:t>
            </w:r>
          </w:p>
        </w:tc>
        <w:tc>
          <w:tcPr>
            <w:tcW w:w="1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4"/>
          </w:tcPr>
          <w:p>
            <w:pPr>
              <w:jc w:val="right"/>
              <w:ind w:right="37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2021</w:t>
            </w:r>
          </w:p>
        </w:tc>
        <w:tc>
          <w:tcPr>
            <w:tcW w:w="1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2022</w:t>
            </w:r>
          </w:p>
        </w:tc>
        <w:tc>
          <w:tcPr>
            <w:tcW w:w="1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2021</w:t>
            </w:r>
          </w:p>
        </w:tc>
        <w:tc>
          <w:tcPr>
            <w:tcW w:w="2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2022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20" w:type="dxa"/>
            <w:vAlign w:val="bottom"/>
            <w:gridSpan w:val="4"/>
          </w:tcPr>
          <w:p>
            <w:pPr>
              <w:jc w:val="center"/>
              <w:ind w:right="50"/>
              <w:spacing w:after="0" w:line="196" w:lineRule="exact"/>
              <w:rPr>
                <w:sz w:val="20"/>
                <w:szCs w:val="20"/>
                <w:color w:val="auto"/>
              </w:rPr>
            </w:pPr>
            <w:r>
              <w:rPr>
                <w:rFonts w:ascii="Arial" w:cs="Arial" w:eastAsia="Arial" w:hAnsi="Arial"/>
                <w:sz w:val="18"/>
                <w:szCs w:val="18"/>
                <w:b w:val="1"/>
                <w:bCs w:val="1"/>
                <w:color w:val="auto"/>
                <w:w w:val="91"/>
              </w:rPr>
              <w:t>(Unaudited)</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16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Net sales</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w:t>
            </w:r>
          </w:p>
        </w:tc>
        <w:tc>
          <w:tcPr>
            <w:tcW w:w="36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b w:val="1"/>
                <w:bCs w:val="1"/>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40.0</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140.8</w:t>
            </w:r>
          </w:p>
        </w:tc>
        <w:tc>
          <w:tcPr>
            <w:tcW w:w="38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b w:val="1"/>
                <w:bCs w:val="1"/>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166.6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160" w:type="dxa"/>
            <w:vAlign w:val="bottom"/>
            <w:tcBorders>
              <w:bottom w:val="single" w:sz="8" w:color="CCEEFF"/>
            </w:tcBorders>
          </w:tcPr>
          <w:p>
            <w:pPr>
              <w:spacing w:after="0" w:line="243" w:lineRule="exact"/>
              <w:rPr>
                <w:sz w:val="20"/>
                <w:szCs w:val="20"/>
                <w:color w:val="auto"/>
              </w:rPr>
            </w:pPr>
            <w:r>
              <w:rPr>
                <w:rFonts w:ascii="Arial" w:cs="Arial" w:eastAsia="Arial" w:hAnsi="Arial"/>
                <w:sz w:val="22"/>
                <w:szCs w:val="22"/>
                <w:color w:val="auto"/>
              </w:rPr>
              <w:t>Cost of sales</w:t>
            </w:r>
          </w:p>
        </w:tc>
        <w:tc>
          <w:tcPr>
            <w:tcW w:w="3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w:t>
            </w:r>
          </w:p>
        </w:tc>
        <w:tc>
          <w:tcPr>
            <w:tcW w:w="18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28.9</w:t>
            </w:r>
          </w:p>
        </w:tc>
        <w:tc>
          <w:tcPr>
            <w:tcW w:w="18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98.1</w:t>
            </w:r>
          </w:p>
        </w:tc>
        <w:tc>
          <w:tcPr>
            <w:tcW w:w="2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117.8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60" w:type="dxa"/>
            <w:vAlign w:val="bottom"/>
            <w:shd w:val="clear" w:color="auto" w:fill="CCEEFF"/>
          </w:tcPr>
          <w:p>
            <w:pPr>
              <w:spacing w:after="0" w:line="223" w:lineRule="exact"/>
              <w:rPr>
                <w:sz w:val="20"/>
                <w:szCs w:val="20"/>
                <w:color w:val="auto"/>
              </w:rPr>
            </w:pPr>
            <w:r>
              <w:rPr>
                <w:rFonts w:ascii="Arial" w:cs="Arial" w:eastAsia="Arial" w:hAnsi="Arial"/>
                <w:sz w:val="22"/>
                <w:szCs w:val="22"/>
                <w:color w:val="auto"/>
              </w:rPr>
              <w:t>Gross margin</w:t>
            </w: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11.1</w:t>
            </w: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w:t>
            </w: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48.8</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160" w:type="dxa"/>
            <w:vAlign w:val="bottom"/>
            <w:tcBorders>
              <w:bottom w:val="single" w:sz="8" w:color="CCEEFF"/>
            </w:tcBorders>
          </w:tcPr>
          <w:p>
            <w:pPr>
              <w:spacing w:after="0" w:line="243" w:lineRule="exact"/>
              <w:rPr>
                <w:sz w:val="20"/>
                <w:szCs w:val="20"/>
                <w:color w:val="auto"/>
              </w:rPr>
            </w:pPr>
            <w:r>
              <w:rPr>
                <w:rFonts w:ascii="Arial" w:cs="Arial" w:eastAsia="Arial" w:hAnsi="Arial"/>
                <w:sz w:val="22"/>
                <w:szCs w:val="22"/>
                <w:color w:val="auto"/>
                <w:w w:val="97"/>
              </w:rPr>
              <w:t>Selling, general and administrative expense</w:t>
            </w:r>
          </w:p>
        </w:tc>
        <w:tc>
          <w:tcPr>
            <w:tcW w:w="3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18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5.7</w:t>
            </w:r>
          </w:p>
        </w:tc>
        <w:tc>
          <w:tcPr>
            <w:tcW w:w="18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w:t>
            </w:r>
          </w:p>
        </w:tc>
        <w:tc>
          <w:tcPr>
            <w:tcW w:w="2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60" w:type="dxa"/>
            <w:vAlign w:val="bottom"/>
            <w:shd w:val="clear" w:color="auto" w:fill="CCEEFF"/>
          </w:tcPr>
          <w:p>
            <w:pPr>
              <w:spacing w:after="0" w:line="223" w:lineRule="exact"/>
              <w:rPr>
                <w:sz w:val="20"/>
                <w:szCs w:val="20"/>
                <w:color w:val="auto"/>
              </w:rPr>
            </w:pPr>
            <w:r>
              <w:rPr>
                <w:rFonts w:ascii="Arial" w:cs="Arial" w:eastAsia="Arial" w:hAnsi="Arial"/>
                <w:sz w:val="22"/>
                <w:szCs w:val="22"/>
                <w:color w:val="auto"/>
              </w:rPr>
              <w:t>Operating income</w:t>
            </w: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5.4</w:t>
            </w: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25.4</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160" w:type="dxa"/>
            <w:vAlign w:val="bottom"/>
            <w:tcBorders>
              <w:bottom w:val="single" w:sz="8" w:color="CCEEFF"/>
            </w:tcBorders>
          </w:tcPr>
          <w:p>
            <w:pPr>
              <w:spacing w:after="0" w:line="243" w:lineRule="exact"/>
              <w:rPr>
                <w:sz w:val="20"/>
                <w:szCs w:val="20"/>
                <w:color w:val="auto"/>
              </w:rPr>
            </w:pPr>
            <w:r>
              <w:rPr>
                <w:rFonts w:ascii="Arial" w:cs="Arial" w:eastAsia="Arial" w:hAnsi="Arial"/>
                <w:sz w:val="22"/>
                <w:szCs w:val="22"/>
                <w:color w:val="auto"/>
              </w:rPr>
              <w:t>Interest income</w:t>
            </w:r>
          </w:p>
        </w:tc>
        <w:tc>
          <w:tcPr>
            <w:tcW w:w="3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8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w:t>
            </w:r>
          </w:p>
        </w:tc>
        <w:tc>
          <w:tcPr>
            <w:tcW w:w="18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2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60" w:type="dxa"/>
            <w:vAlign w:val="bottom"/>
            <w:shd w:val="clear" w:color="auto" w:fill="CCEEFF"/>
          </w:tcPr>
          <w:p>
            <w:pPr>
              <w:spacing w:after="0" w:line="223" w:lineRule="exact"/>
              <w:rPr>
                <w:sz w:val="20"/>
                <w:szCs w:val="20"/>
                <w:color w:val="auto"/>
              </w:rPr>
            </w:pPr>
            <w:r>
              <w:rPr>
                <w:rFonts w:ascii="Arial" w:cs="Arial" w:eastAsia="Arial" w:hAnsi="Arial"/>
                <w:sz w:val="22"/>
                <w:szCs w:val="22"/>
                <w:color w:val="auto"/>
              </w:rPr>
              <w:t>Income before taxes</w:t>
            </w: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6.2</w:t>
            </w: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27.3</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160" w:type="dxa"/>
            <w:vAlign w:val="bottom"/>
            <w:tcBorders>
              <w:bottom w:val="single" w:sz="8" w:color="CCEEFF"/>
            </w:tcBorders>
          </w:tcPr>
          <w:p>
            <w:pPr>
              <w:spacing w:after="0" w:line="243" w:lineRule="exact"/>
              <w:rPr>
                <w:sz w:val="20"/>
                <w:szCs w:val="20"/>
                <w:color w:val="auto"/>
              </w:rPr>
            </w:pPr>
            <w:r>
              <w:rPr>
                <w:rFonts w:ascii="Arial" w:cs="Arial" w:eastAsia="Arial" w:hAnsi="Arial"/>
                <w:sz w:val="22"/>
                <w:szCs w:val="22"/>
                <w:color w:val="auto"/>
              </w:rPr>
              <w:t>Provision for income taxes</w:t>
            </w:r>
          </w:p>
        </w:tc>
        <w:tc>
          <w:tcPr>
            <w:tcW w:w="3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8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w:t>
            </w:r>
          </w:p>
        </w:tc>
        <w:tc>
          <w:tcPr>
            <w:tcW w:w="18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2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60" w:type="dxa"/>
            <w:vAlign w:val="bottom"/>
            <w:tcBorders>
              <w:bottom w:val="single" w:sz="8" w:color="CCEEFF"/>
            </w:tcBorders>
            <w:shd w:val="clear" w:color="auto" w:fill="CCEEFF"/>
          </w:tcPr>
          <w:p>
            <w:pPr>
              <w:spacing w:after="0" w:line="209" w:lineRule="exact"/>
              <w:rPr>
                <w:sz w:val="20"/>
                <w:szCs w:val="20"/>
                <w:color w:val="auto"/>
              </w:rPr>
            </w:pPr>
            <w:r>
              <w:rPr>
                <w:rFonts w:ascii="Arial" w:cs="Arial" w:eastAsia="Arial" w:hAnsi="Arial"/>
                <w:sz w:val="22"/>
                <w:szCs w:val="22"/>
                <w:color w:val="auto"/>
              </w:rPr>
              <w:t>Net income</w:t>
            </w:r>
          </w:p>
        </w:tc>
        <w:tc>
          <w:tcPr>
            <w:tcW w:w="3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b w:val="1"/>
                <w:bCs w:val="1"/>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4.8</w:t>
            </w:r>
          </w:p>
        </w:tc>
        <w:tc>
          <w:tcPr>
            <w:tcW w:w="1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2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b w:val="1"/>
                <w:bCs w:val="1"/>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vMerge w:val="continue"/>
          </w:tcPr>
          <w:p>
            <w:pPr>
              <w:spacing w:after="0"/>
              <w:rPr>
                <w:sz w:val="19"/>
                <w:szCs w:val="19"/>
                <w:color w:val="auto"/>
              </w:rPr>
            </w:pPr>
          </w:p>
        </w:tc>
        <w:tc>
          <w:tcPr>
            <w:tcW w:w="4160" w:type="dxa"/>
            <w:vAlign w:val="bottom"/>
            <w:shd w:val="clear" w:color="auto" w:fill="CCEEFF"/>
          </w:tcPr>
          <w:p>
            <w:pPr>
              <w:spacing w:after="0" w:line="229" w:lineRule="exact"/>
              <w:rPr>
                <w:sz w:val="20"/>
                <w:szCs w:val="20"/>
                <w:color w:val="auto"/>
              </w:rPr>
            </w:pPr>
            <w:r>
              <w:rPr>
                <w:rFonts w:ascii="Arial" w:cs="Arial" w:eastAsia="Arial" w:hAnsi="Arial"/>
                <w:sz w:val="22"/>
                <w:szCs w:val="22"/>
                <w:color w:val="auto"/>
                <w:w w:val="87"/>
              </w:rPr>
              <w:t>Basic and diluted net income per common share</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36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b w:val="1"/>
                <w:bCs w:val="1"/>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.39</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38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b w:val="1"/>
                <w:bCs w:val="1"/>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60" w:type="dxa"/>
            <w:vAlign w:val="bottom"/>
            <w:tcBorders>
              <w:top w:val="single" w:sz="8" w:color="CCEEFF"/>
              <w:bottom w:val="single" w:sz="8" w:color="CCEEFF"/>
            </w:tcBorders>
            <w:vMerge w:val="restart"/>
          </w:tcPr>
          <w:p>
            <w:pPr>
              <w:spacing w:after="0" w:line="216" w:lineRule="exact"/>
              <w:rPr>
                <w:sz w:val="20"/>
                <w:szCs w:val="20"/>
                <w:color w:val="auto"/>
              </w:rPr>
            </w:pPr>
            <w:r>
              <w:rPr>
                <w:rFonts w:ascii="Arial" w:cs="Arial" w:eastAsia="Arial" w:hAnsi="Arial"/>
                <w:sz w:val="22"/>
                <w:szCs w:val="22"/>
                <w:color w:val="auto"/>
              </w:rPr>
              <w:t>Weighted average diluted common shares</w:t>
            </w:r>
          </w:p>
        </w:tc>
        <w:tc>
          <w:tcPr>
            <w:tcW w:w="3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416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4160" w:type="dxa"/>
            <w:vAlign w:val="bottom"/>
          </w:tcPr>
          <w:p>
            <w:pPr>
              <w:ind w:left="100"/>
              <w:spacing w:after="0" w:line="251" w:lineRule="exact"/>
              <w:rPr>
                <w:sz w:val="20"/>
                <w:szCs w:val="20"/>
                <w:color w:val="auto"/>
              </w:rPr>
            </w:pPr>
            <w:r>
              <w:rPr>
                <w:rFonts w:ascii="Arial" w:cs="Arial" w:eastAsia="Arial" w:hAnsi="Arial"/>
                <w:sz w:val="22"/>
                <w:szCs w:val="22"/>
                <w:color w:val="auto"/>
              </w:rPr>
              <w:t>outstanding</w:t>
            </w:r>
          </w:p>
        </w:tc>
        <w:tc>
          <w:tcPr>
            <w:tcW w:w="3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w:t>
            </w:r>
          </w:p>
        </w:tc>
        <w:tc>
          <w:tcPr>
            <w:tcW w:w="1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12.3</w:t>
            </w:r>
          </w:p>
        </w:tc>
        <w:tc>
          <w:tcPr>
            <w:tcW w:w="1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w:t>
            </w:r>
          </w:p>
        </w:tc>
        <w:tc>
          <w:tcPr>
            <w:tcW w:w="2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320" w:type="dxa"/>
            <w:vAlign w:val="bottom"/>
            <w:vMerge w:val="restart"/>
          </w:tcPr>
          <w:p>
            <w:pPr>
              <w:jc w:val="right"/>
              <w:spacing w:after="0"/>
              <w:rPr>
                <w:sz w:val="20"/>
                <w:szCs w:val="20"/>
                <w:color w:val="auto"/>
              </w:rPr>
            </w:pPr>
            <w:r>
              <w:rPr>
                <w:rFonts w:ascii="Arial" w:cs="Arial" w:eastAsia="Arial" w:hAnsi="Arial"/>
                <w:sz w:val="22"/>
                <w:szCs w:val="22"/>
                <w:color w:val="auto"/>
                <w:w w:val="81"/>
              </w:rPr>
              <w:t>-3-</w:t>
            </w: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2"/>
        </w:trPr>
        <w:tc>
          <w:tcPr>
            <w:tcW w:w="2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3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0"/>
        </w:trPr>
        <w:tc>
          <w:tcPr>
            <w:tcW w:w="20" w:type="dxa"/>
            <w:vAlign w:val="bottom"/>
          </w:tcPr>
          <w:p>
            <w:pPr>
              <w:spacing w:after="0"/>
              <w:rPr>
                <w:sz w:val="24"/>
                <w:szCs w:val="24"/>
                <w:color w:val="auto"/>
              </w:rPr>
            </w:pPr>
          </w:p>
        </w:tc>
        <w:tc>
          <w:tcPr>
            <w:tcW w:w="41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108" w:right="1440" w:bottom="1440" w:gutter="0" w:footer="0" w:header="0"/>
        </w:sectPr>
      </w:pPr>
    </w:p>
    <w:bookmarkStart w:id="6" w:name="page7"/>
    <w:bookmarkEnd w:id="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2565400</wp:posOffset>
            </wp:positionH>
            <wp:positionV relativeFrom="page">
              <wp:posOffset>688975</wp:posOffset>
            </wp:positionV>
            <wp:extent cx="2442845" cy="8147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2442845" cy="814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COMPX DECLARES REGULAR QUARTERLY DIVIDEND</w:t>
      </w:r>
    </w:p>
    <w:p>
      <w:pPr>
        <w:spacing w:after="0" w:line="200" w:lineRule="exact"/>
        <w:rPr>
          <w:sz w:val="20"/>
          <w:szCs w:val="20"/>
          <w:color w:val="auto"/>
        </w:rPr>
      </w:pPr>
    </w:p>
    <w:p>
      <w:pPr>
        <w:spacing w:after="0" w:line="282" w:lineRule="exact"/>
        <w:rPr>
          <w:sz w:val="20"/>
          <w:szCs w:val="20"/>
          <w:color w:val="auto"/>
        </w:rPr>
      </w:pPr>
    </w:p>
    <w:p>
      <w:pPr>
        <w:jc w:val="both"/>
        <w:ind w:left="200" w:right="219" w:firstLine="648"/>
        <w:spacing w:after="0" w:line="252" w:lineRule="auto"/>
        <w:rPr>
          <w:sz w:val="20"/>
          <w:szCs w:val="20"/>
          <w:color w:val="auto"/>
        </w:rPr>
      </w:pPr>
      <w:r>
        <w:rPr>
          <w:rFonts w:ascii="Arial" w:cs="Arial" w:eastAsia="Arial" w:hAnsi="Arial"/>
          <w:sz w:val="21"/>
          <w:szCs w:val="21"/>
          <w:color w:val="auto"/>
        </w:rPr>
        <w:t>DALLAS, TEXAS . . . March 1, 2023 . . . CompX International Inc. (NYSE American: CIX) announced today that its board of directors has declared CompX’s regular quarterly dividend of twenty-five cents ($0.25) per share on its class A common stock, payable on March 21, 2023 to stockholders of record at the close of business on March 13, 2023.</w:t>
      </w:r>
    </w:p>
    <w:p>
      <w:pPr>
        <w:spacing w:after="0" w:line="201" w:lineRule="exact"/>
        <w:rPr>
          <w:sz w:val="20"/>
          <w:szCs w:val="20"/>
          <w:color w:val="auto"/>
        </w:rPr>
      </w:pPr>
    </w:p>
    <w:p>
      <w:pPr>
        <w:ind w:left="860"/>
        <w:spacing w:after="0"/>
        <w:rPr>
          <w:sz w:val="20"/>
          <w:szCs w:val="20"/>
          <w:color w:val="auto"/>
        </w:rPr>
      </w:pPr>
      <w:r>
        <w:rPr>
          <w:rFonts w:ascii="Arial" w:cs="Arial" w:eastAsia="Arial" w:hAnsi="Arial"/>
          <w:sz w:val="19"/>
          <w:szCs w:val="19"/>
          <w:color w:val="auto"/>
        </w:rPr>
        <w:t>CompX is a leading manufacturer of security products and recreational marine components.</w:t>
      </w:r>
    </w:p>
    <w:p>
      <w:pPr>
        <w:spacing w:after="0" w:line="26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 * *</w:t>
      </w:r>
    </w:p>
    <w:p>
      <w:pPr>
        <w:spacing w:after="0" w:line="227"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Investor Relations Contact</w:t>
      </w:r>
    </w:p>
    <w:p>
      <w:pPr>
        <w:spacing w:after="0" w:line="239" w:lineRule="exact"/>
        <w:rPr>
          <w:sz w:val="20"/>
          <w:szCs w:val="20"/>
          <w:color w:val="auto"/>
        </w:rPr>
      </w:pPr>
    </w:p>
    <w:p>
      <w:pPr>
        <w:ind w:left="200"/>
        <w:spacing w:after="0"/>
        <w:rPr>
          <w:sz w:val="20"/>
          <w:szCs w:val="20"/>
          <w:color w:val="auto"/>
        </w:rPr>
      </w:pPr>
      <w:r>
        <w:rPr>
          <w:rFonts w:ascii="Arial" w:cs="Arial" w:eastAsia="Arial" w:hAnsi="Arial"/>
          <w:sz w:val="22"/>
          <w:szCs w:val="22"/>
          <w:color w:val="auto"/>
        </w:rPr>
        <w:t>Bryan A. Hanley</w:t>
      </w:r>
    </w:p>
    <w:p>
      <w:pPr>
        <w:ind w:left="200"/>
        <w:spacing w:after="0" w:line="238" w:lineRule="auto"/>
        <w:rPr>
          <w:sz w:val="20"/>
          <w:szCs w:val="20"/>
          <w:color w:val="auto"/>
        </w:rPr>
      </w:pPr>
      <w:r>
        <w:rPr>
          <w:rFonts w:ascii="Arial" w:cs="Arial" w:eastAsia="Arial" w:hAnsi="Arial"/>
          <w:sz w:val="22"/>
          <w:szCs w:val="22"/>
          <w:color w:val="auto"/>
        </w:rPr>
        <w:t>Senior Vice President and Treasurer</w:t>
      </w:r>
    </w:p>
    <w:p>
      <w:pPr>
        <w:ind w:left="200"/>
        <w:spacing w:after="0"/>
        <w:rPr>
          <w:sz w:val="20"/>
          <w:szCs w:val="20"/>
          <w:color w:val="auto"/>
        </w:rPr>
      </w:pPr>
      <w:r>
        <w:rPr>
          <w:rFonts w:ascii="Arial" w:cs="Arial" w:eastAsia="Arial" w:hAnsi="Arial"/>
          <w:sz w:val="22"/>
          <w:szCs w:val="22"/>
          <w:color w:val="auto"/>
        </w:rPr>
        <w:t>Tel. 972-233-1700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398780</wp:posOffset>
            </wp:positionV>
            <wp:extent cx="5452110"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sectPr>
      <w:pgSz w:w="11900" w:h="16838" w:orient="portrait"/>
      <w:cols w:equalWidth="0" w:num="1">
        <w:col w:w="9019"/>
      </w:cols>
      <w:pgMar w:left="144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2023-03-01T21:37:29Z</dcterms:created>
  <dcterms:modified xsi:type="dcterms:W3CDTF">2023-03-01T21:37:29Z</dcterms:modified>
</cp:coreProperties>
</file>