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ix-20250331x10q.htm"/>
        <w:bookmarkStart w:id="1" w:name="kscix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c61efffa_d386_49f6_a2a0_8dd495480df3"/>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bookmarkStart w:id="3" w:name="Narr__corfTR1wkOSoZSChzUGYg"/>
      <w:bookmarkEnd w:id="3"/>
      <w:r>
        <w:rPr>
          <w:caps w:val="false"/>
          <w:smallCaps w:val="false"/>
        </w:rPr>
        <w:t>☒</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 ended March 31, 2025</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 xml:space="preserve">TRANSITION REPORT PURSUANT TO SECTION 13 OR 15(d) OF </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 to _________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80"/>
        <w:ind w:left="0" w:right="0" w:hanging="0"/>
        <w:jc w:val="center"/>
        <w:rPr>
          <w:rFonts w:ascii="Times New Roman;Times;serif" w:hAnsi="Times New Roman;Times;serif"/>
          <w:sz w:val="40"/>
        </w:rPr>
      </w:pPr>
      <w:r>
        <w:rPr>
          <w:rFonts w:ascii="Times New Roman;Times;serif" w:hAnsi="Times New Roman;Times;serif"/>
          <w:b/>
          <w:sz w:val="40"/>
        </w:rPr>
        <w:t>COMPX INTERNATIONAL INC.</w:t>
      </w:r>
      <w:r>
        <w:rPr>
          <w:rFonts w:ascii="Times New Roman;Times;serif" w:hAnsi="Times New Roman;Times;serif"/>
          <w:sz w:val="4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 w:name="Tc_NgvvdBgLlkmR3dmH_Wu5kw_2_2"/>
      <w:bookmarkStart w:id="5" w:name="Tc_wcwmzin6YE2eUzxv1i1ojA_2_0"/>
      <w:bookmarkStart w:id="6" w:name="_a40d4d57_0eb2_4f36_a2f1_bba16ad752a1"/>
      <w:bookmarkStart w:id="7" w:name="Tc_NgvvdBgLlkmR3dmH_Wu5kw_2_2"/>
      <w:bookmarkStart w:id="8" w:name="Tc_wcwmzin6YE2eUzxv1i1ojA_2_0"/>
      <w:bookmarkStart w:id="9" w:name="_a40d4d57_0eb2_4f36_a2f1_bba16ad752a1"/>
      <w:bookmarkEnd w:id="7"/>
      <w:bookmarkEnd w:id="8"/>
      <w:bookmarkEnd w:id="9"/>
    </w:p>
    <w:tbl>
      <w:tblPr>
        <w:tblW w:w="4753" w:type="dxa"/>
        <w:jc w:val="left"/>
        <w:tblInd w:w="0" w:type="dxa"/>
        <w:tblLayout w:type="fixed"/>
        <w:tblCellMar>
          <w:top w:w="0" w:type="dxa"/>
          <w:left w:w="0" w:type="dxa"/>
          <w:bottom w:w="0" w:type="dxa"/>
          <w:right w:w="0" w:type="dxa"/>
        </w:tblCellMar>
      </w:tblPr>
      <w:tblGrid>
        <w:gridCol w:w="2746"/>
        <w:gridCol w:w="326"/>
        <w:gridCol w:w="1681"/>
      </w:tblGrid>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57-0981653</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448-1400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 w:name="Tc_YIzGvtF8r0-IYpEDVisRxw_1_4"/>
      <w:bookmarkStart w:id="11" w:name="Tc_jQFh4Ev-b0efcY0QAp_ylQ_1_2"/>
      <w:bookmarkStart w:id="12" w:name="Tc_NOAVFoOul0mykacW8p9bJQ_1_0"/>
      <w:bookmarkStart w:id="13" w:name="_ddacf02a_c048_46db_91e7_8b7b902951e5"/>
      <w:bookmarkStart w:id="14" w:name="Tc_YIzGvtF8r0-IYpEDVisRxw_1_4"/>
      <w:bookmarkStart w:id="15" w:name="Tc_jQFh4Ev-b0efcY0QAp_ylQ_1_2"/>
      <w:bookmarkStart w:id="16" w:name="Tc_NOAVFoOul0mykacW8p9bJQ_1_0"/>
      <w:bookmarkStart w:id="17" w:name="_ddacf02a_c048_46db_91e7_8b7b902951e5"/>
      <w:bookmarkEnd w:id="14"/>
      <w:bookmarkEnd w:id="15"/>
      <w:bookmarkEnd w:id="16"/>
      <w:bookmarkEnd w:id="17"/>
    </w:p>
    <w:tbl>
      <w:tblPr>
        <w:tblW w:w="7465" w:type="dxa"/>
        <w:jc w:val="left"/>
        <w:tblInd w:w="0" w:type="dxa"/>
        <w:tblLayout w:type="fixed"/>
        <w:tblCellMar>
          <w:top w:w="0" w:type="dxa"/>
          <w:left w:w="0" w:type="dxa"/>
          <w:bottom w:w="0" w:type="dxa"/>
          <w:right w:w="0" w:type="dxa"/>
        </w:tblCellMar>
      </w:tblPr>
      <w:tblGrid>
        <w:gridCol w:w="1771"/>
        <w:gridCol w:w="326"/>
        <w:gridCol w:w="1561"/>
        <w:gridCol w:w="326"/>
        <w:gridCol w:w="348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w:t>
            </w:r>
          </w:p>
        </w:tc>
        <w:tc>
          <w:tcPr>
            <w:tcW w:w="32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CIX</w:t>
            </w:r>
          </w:p>
        </w:tc>
        <w:tc>
          <w:tcPr>
            <w:tcW w:w="32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 American</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8" w:name="Tc_sOArGSEx7EOkm9ufNwbKBg_3_0"/>
      <w:bookmarkStart w:id="19" w:name="Tc_Q8R9-dVA70aGRVOyIetu-g_2_2"/>
      <w:bookmarkStart w:id="20" w:name="Tc_bgqcLQcMZUCM2Vsa4-QVoA_2_1"/>
      <w:bookmarkStart w:id="21" w:name="Tc_rlv1MTJLuUePsLX2NcJFkw_2_0"/>
      <w:bookmarkStart w:id="22" w:name="Tc_eMCKhDQevE-GdQaNVaAcMQ_1_3"/>
      <w:bookmarkStart w:id="23" w:name="Tc_arYZxIyS6kezCHvmP1TRaQ_1_2"/>
      <w:bookmarkStart w:id="24" w:name="Tc_Mk2lJtb9gkqDaNo_3D-GgQ_1_1"/>
      <w:bookmarkStart w:id="25" w:name="Tc_2ihIQwDXJUGbbRL0X_3DUg_1_0"/>
      <w:bookmarkStart w:id="26" w:name="_7b004ce5_21ad_4ec9_aae1_43d24f130c2c"/>
      <w:bookmarkStart w:id="27" w:name="Tc_sOArGSEx7EOkm9ufNwbKBg_3_0"/>
      <w:bookmarkStart w:id="28" w:name="Tc_Q8R9-dVA70aGRVOyIetu-g_2_2"/>
      <w:bookmarkStart w:id="29" w:name="Tc_bgqcLQcMZUCM2Vsa4-QVoA_2_1"/>
      <w:bookmarkStart w:id="30" w:name="Tc_rlv1MTJLuUePsLX2NcJFkw_2_0"/>
      <w:bookmarkStart w:id="31" w:name="Tc_eMCKhDQevE-GdQaNVaAcMQ_1_3"/>
      <w:bookmarkStart w:id="32" w:name="Tc_arYZxIyS6kezCHvmP1TRaQ_1_2"/>
      <w:bookmarkStart w:id="33" w:name="Tc_Mk2lJtb9gkqDaNo_3D-GgQ_1_1"/>
      <w:bookmarkStart w:id="34" w:name="Tc_2ihIQwDXJUGbbRL0X_3DUg_1_0"/>
      <w:bookmarkStart w:id="35" w:name="_7b004ce5_21ad_4ec9_aae1_43d24f130c2c"/>
      <w:bookmarkEnd w:id="27"/>
      <w:bookmarkEnd w:id="28"/>
      <w:bookmarkEnd w:id="29"/>
      <w:bookmarkEnd w:id="30"/>
      <w:bookmarkEnd w:id="31"/>
      <w:bookmarkEnd w:id="32"/>
      <w:bookmarkEnd w:id="33"/>
      <w:bookmarkEnd w:id="34"/>
      <w:bookmarkEnd w:id="35"/>
    </w:p>
    <w:tbl>
      <w:tblPr>
        <w:tblW w:w="5839" w:type="dxa"/>
        <w:jc w:val="left"/>
        <w:tblInd w:w="0" w:type="dxa"/>
        <w:tblLayout w:type="fixed"/>
        <w:tblCellMar>
          <w:top w:w="0" w:type="dxa"/>
          <w:left w:w="0" w:type="dxa"/>
          <w:bottom w:w="0" w:type="dxa"/>
          <w:right w:w="0" w:type="dxa"/>
        </w:tblCellMar>
      </w:tblPr>
      <w:tblGrid>
        <w:gridCol w:w="2536"/>
        <w:gridCol w:w="316"/>
        <w:gridCol w:w="2626"/>
        <w:gridCol w:w="36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67510" cy="175260"/>
                      <wp:effectExtent l="0" t="0" r="0" b="0"/>
                      <wp:wrapNone/>
                      <wp:docPr id="3" name="Frame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pPr>
            <w:r>
              <w:rP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240"/>
              <w:ind w:left="0" w:right="0" w:hanging="0"/>
              <w:jc w:val="right"/>
              <w:rPr/>
            </w:pPr>
            <w:r>
              <w:rPr/>
              <w:t>​</w:t>
            </w:r>
          </w:p>
        </w:tc>
        <w:tc>
          <w:tcPr>
            <w:tcW w:w="361" w:type="dxa"/>
            <w:tcBorders/>
            <w:vAlign w:val="center"/>
          </w:tcPr>
          <w:p>
            <w:pPr>
              <w:pStyle w:val="TableContents"/>
              <w:bidi w:val="0"/>
              <w:spacing w:before="0" w:after="24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80"/>
        <w:ind w:left="0" w:right="0" w:firstLine="720"/>
        <w:jc w:val="both"/>
        <w:rPr>
          <w:rFonts w:ascii="Times New Roman;Times;serif" w:hAnsi="Times New Roman;Times;serif"/>
          <w:sz w:val="18"/>
        </w:rPr>
      </w:pPr>
      <w:r>
        <w:rPr>
          <w:rFonts w:ascii="Times New Roman;Times;serif" w:hAnsi="Times New Roman;Times;serif"/>
          <w:b/>
          <w:sz w:val="18"/>
        </w:rPr>
        <w:t>As of May 1, 2025, the registrant had 12,318,557</w:t>
      </w:r>
      <w:r>
        <w:rPr>
          <w:rFonts w:ascii="Times New Roman;Times;serif" w:hAnsi="Times New Roman;Times;serif"/>
          <w:sz w:val="18"/>
        </w:rPr>
        <w:t xml:space="preserve"> </w:t>
      </w:r>
      <w:r>
        <w:rPr>
          <w:rFonts w:ascii="Times New Roman;Times;serif" w:hAnsi="Times New Roman;Times;serif"/>
          <w:b/>
          <w:sz w:val="18"/>
        </w:rPr>
        <w:t>shares of Class A common stock, $.01 par value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6" w:name="_93207cbe_5c9b_4ff4_a045_8bb3bef4a547"/>
      <w:bookmarkEnd w:id="36"/>
      <w:r>
        <w:rPr>
          <w:rFonts w:ascii="Times New Roman;Times;serif" w:hAnsi="Times New Roman;Times;serif"/>
          <w:b/>
          <w:sz w:val="20"/>
        </w:rPr>
        <w:t>COMPX INTERNATIONAL INC.</w:t>
      </w:r>
    </w:p>
    <w:p>
      <w:pPr>
        <w:pStyle w:val="TextBody"/>
        <w:bidi w:val="0"/>
        <w:spacing w:before="0" w:after="0"/>
        <w:ind w:left="0" w:right="0" w:hanging="0"/>
        <w:jc w:val="center"/>
        <w:rPr>
          <w:rFonts w:ascii="Times New Roman;Times;serif" w:hAnsi="Times New Roman;Times;serif"/>
          <w:b/>
          <w:sz w:val="20"/>
        </w:rPr>
      </w:pPr>
      <w:bookmarkStart w:id="37" w:name="TOC"/>
      <w:bookmarkEnd w:id="37"/>
      <w:r>
        <w:rPr>
          <w:rFonts w:ascii="Times New Roman;Times;serif" w:hAnsi="Times New Roman;Times;serif"/>
          <w:b/>
          <w:sz w:val="20"/>
        </w:rPr>
        <w:t>Index</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326"/>
        <w:gridCol w:w="8514"/>
        <w:gridCol w:w="554"/>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14985" cy="175260"/>
                      <wp:effectExtent l="0" t="0" r="0" b="0"/>
                      <wp:wrapNone/>
                      <wp:docPr id="5" name="Frame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406390" cy="175260"/>
                      <wp:effectExtent l="0" t="0" r="0" b="0"/>
                      <wp:wrapNone/>
                      <wp:docPr id="7" name="Frame7"/>
                      <a:graphic xmlns:a="http://schemas.openxmlformats.org/drawingml/2006/main">
                        <a:graphicData uri="http://schemas.microsoft.com/office/word/2010/wordprocessingShape">
                          <wps:wsp>
                            <wps:cNvSpPr txBox="1"/>
                            <wps:spPr>
                              <a:xfrm>
                                <a:off x="0" y="0"/>
                                <a:ext cx="540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51790" cy="175260"/>
                      <wp:effectExtent l="0" t="0" r="0" b="0"/>
                      <wp:wrapNone/>
                      <wp:docPr id="8" name="Frame8"/>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14" w:type="dxa"/>
            <w:tcBorders/>
            <w:vAlign w:val="center"/>
          </w:tcPr>
          <w:p>
            <w:pPr>
              <w:pStyle w:val="TableContents"/>
              <w:bidi w:val="0"/>
              <w:spacing w:before="0" w:after="0"/>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55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CONDENSEDCONSOLIDATEDBALANCESHEETS_68281">
              <w:r>
                <w:rPr>
                  <w:rStyle w:val="InternetLink"/>
                  <w:rFonts w:ascii="Times New Roman;Times;serif" w:hAnsi="Times New Roman;Times;serif"/>
                  <w:b w:val="false"/>
                  <w:i w:val="false"/>
                  <w:caps w:val="false"/>
                  <w:smallCaps w:val="false"/>
                  <w:sz w:val="20"/>
                </w:rPr>
                <w:t>Condensed Consolidated Balance Sheets – December 31, 2024 and March 31, 2025 (unaudited)</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and Comprehensive Income (unaudited) – Three months ended March 31, 2024 and 2025</w:t>
              </w:r>
            </w:hyperlink>
            <w:r>
              <w:rPr>
                <w:rFonts w:ascii="Times New Roman;Times;serif" w:hAnsi="Times New Roman;Times;serif"/>
                <w:sz w:val="20"/>
              </w:rPr>
              <w:t xml:space="preserve"> </w:t>
            </w:r>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CONDENSEDCONSOLIDATEDSTATEMENTOFEQUITY">
              <w:r>
                <w:rPr>
                  <w:rStyle w:val="InternetLink"/>
                  <w:rFonts w:ascii="Times New Roman;Times;serif" w:hAnsi="Times New Roman;Times;serif"/>
                  <w:b w:val="false"/>
                  <w:i w:val="false"/>
                  <w:caps w:val="false"/>
                  <w:smallCaps w:val="false"/>
                  <w:sz w:val="20"/>
                </w:rPr>
                <w:t>Condensed Consolidated Statements of Stockholders’ Equity (unaudited) – Three months ended March 31, 2024 and 2025</w:t>
              </w:r>
            </w:hyperlink>
            <w:r>
              <w:rPr>
                <w:rFonts w:ascii="Times New Roman;Times;serif" w:hAnsi="Times New Roman;Times;serif"/>
                <w:sz w:val="20"/>
              </w:rPr>
              <w:t xml:space="preserve"> </w:t>
            </w:r>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(unaudited) –Three months ended March 31, 2024 and 2025 </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- 12 -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Controls and Procedures</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OTHER INFORMATION</w:t>
              </w:r>
            </w:hyperlink>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Risk Factors</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514" w:type="dxa"/>
            <w:tcBorders/>
            <w:vAlign w:val="center"/>
          </w:tcPr>
          <w:p>
            <w:pPr>
              <w:pStyle w:val="TableContents"/>
              <w:pBdr/>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Exhibits</w:t>
              </w:r>
            </w:hyperlink>
          </w:p>
        </w:tc>
        <w:tc>
          <w:tcPr>
            <w:tcW w:w="5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38" w:name="_73df0bb1_5020_446a_b510_536d5e3dd73c"/>
      <w:bookmarkEnd w:id="38"/>
      <w:r>
        <w:rPr>
          <w:rFonts w:ascii="Times New Roman;Times;serif" w:hAnsi="Times New Roman;Times;serif"/>
          <w:b/>
          <w:sz w:val="20"/>
        </w:rPr>
        <w:t>COMPX INTERNATIONAL INC.</w:t>
      </w:r>
    </w:p>
    <w:p>
      <w:pPr>
        <w:pStyle w:val="TextBody"/>
        <w:bidi w:val="0"/>
        <w:spacing w:before="0" w:after="60"/>
        <w:ind w:left="0" w:right="0" w:hanging="0"/>
        <w:jc w:val="center"/>
        <w:rPr>
          <w:rFonts w:ascii="Times New Roman;Times;serif" w:hAnsi="Times New Roman;Times;serif"/>
          <w:b/>
          <w:sz w:val="20"/>
        </w:rPr>
      </w:pPr>
      <w:bookmarkStart w:id="39" w:name="CONDENSEDCONSOLIDATEDBALANCESHEETS_68281"/>
      <w:bookmarkEnd w:id="39"/>
      <w:r>
        <w:rPr>
          <w:rFonts w:ascii="Times New Roman;Times;serif" w:hAnsi="Times New Roman;Times;serif"/>
          <w:b/>
          <w:sz w:val="20"/>
        </w:rPr>
        <w:t>CONDENSED 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40" w:name="Tc_IMkgfqz1TkKQ4tYkk-T94Q_45_5"/>
      <w:bookmarkStart w:id="41" w:name="Tc_cNUk_97_BUmwrNiONrUhng_45_2"/>
      <w:bookmarkStart w:id="42" w:name="Tc_tgVkPyUXEEedRQ6ID3OZWg_45_0"/>
      <w:bookmarkStart w:id="43" w:name="Tc_7-zD4Wzuu0mjAkm8lvMScw_44_0"/>
      <w:bookmarkStart w:id="44" w:name="Tc_VhKB0cKGi0GAg5OZODHCbg_43_0"/>
      <w:bookmarkStart w:id="45" w:name="Tc_lKCPbTDLm0qe4iH-rBmiTg_42_0"/>
      <w:bookmarkStart w:id="46" w:name="Tc_Cc_x5HrA8UCyZcjlupz8xQ_41_0"/>
      <w:bookmarkStart w:id="47" w:name="Tc_yu2yFkDZ3katUGWoT_b5Kg_40_0"/>
      <w:bookmarkStart w:id="48" w:name="Tc_Fyd1NiNmTE6dx_DnIsDKFA_39_0"/>
      <w:bookmarkStart w:id="49" w:name="Tc_0zSiD2ulwEuK7qr5hxc-6g_37_0"/>
      <w:bookmarkStart w:id="50" w:name="Tc_vjZeqRw8pUW7hw9m7NNc7g_36_0"/>
      <w:bookmarkStart w:id="51" w:name="Tc_XAeTQkFmRke528Md_-YGMA_35_0"/>
      <w:bookmarkStart w:id="52" w:name="Tc_nOgIMztLO06A6Nbk3xty8w_34_0"/>
      <w:bookmarkStart w:id="53" w:name="Tc_QdCSPHwd_kKynOatTNXT-Q_32_0"/>
      <w:bookmarkStart w:id="54" w:name="Tc_okokVE53TUOmv_zO5POQOA_31_0"/>
      <w:bookmarkStart w:id="55" w:name="Tc_7nQiYtYp0kCCGdpyvj1edw_30_5"/>
      <w:bookmarkStart w:id="56" w:name="Tc_Oogs4QJ_HUmSeg-LZXkn0w_30_2"/>
      <w:bookmarkStart w:id="57" w:name="Tc_h8OTQ7-VIkKKl_DvmksDrA_30_0"/>
      <w:bookmarkStart w:id="58" w:name="Tc_3d7rEJGs2UOf8tOwxCEZ8A_29_0"/>
      <w:bookmarkStart w:id="59" w:name="Tc_zhPgMLqSpEW98Lsab4jJkA_27_0"/>
      <w:bookmarkStart w:id="60" w:name="Tc_LHwXWbdRck2CTpJxXw7QMQ_25_5"/>
      <w:bookmarkStart w:id="61" w:name="Tc_Kq4_jc2pAkufZH6NSiw7Cg_25_2"/>
      <w:bookmarkStart w:id="62" w:name="Tc_2C0rMgUrzU-hiECjLccv2g_25_0"/>
      <w:bookmarkStart w:id="63" w:name="Tc_akCf0nZ2QESfKDoAm2zr9w_24_0"/>
      <w:bookmarkStart w:id="64" w:name="Tc_8fAvOZ3OEEGCy_fw2wUqiA_23_0"/>
      <w:bookmarkStart w:id="65" w:name="Tc_pGjXf-NzuEqfDTZhmH8ADw_21_0"/>
      <w:bookmarkStart w:id="66" w:name="Tc_OVXfXERimEyoM5kYsQXLMw_20_0"/>
      <w:bookmarkStart w:id="67" w:name="Tc_fwc116QHE0SnleDAsc5RrA_19_0"/>
      <w:bookmarkStart w:id="68" w:name="Tc__QTxnjFblkOsu_azBJPZuw_18_0"/>
      <w:bookmarkStart w:id="69" w:name="Tc_Jm-77lmiqUK0YK1dRPdr_A_17_0"/>
      <w:bookmarkStart w:id="70" w:name="Tc_69LG7Tac30mPMtsD1xTUEA_15_0"/>
      <w:bookmarkStart w:id="71" w:name="Tc_kgJyyjwmkkCxtpcit7RIZw_14_0"/>
      <w:bookmarkStart w:id="72" w:name="Tc_bAiT375VnE2GZWQvA7ETMA_13_0"/>
      <w:bookmarkStart w:id="73" w:name="Tc_U01tuiepMEuWURfAbZCOew_12_0"/>
      <w:bookmarkStart w:id="74" w:name="Tc_SjGAxgMvnEKukVR5uZolug_11_0"/>
      <w:bookmarkStart w:id="75" w:name="Tc_6sDMpK3BDEWx2rzERlvJ3g_9_0"/>
      <w:bookmarkStart w:id="76" w:name="Tc_aFSTGs5HvEC1tLCpaMZqEg_8_0"/>
      <w:bookmarkStart w:id="77" w:name="Tc_IWQusPFS7EO8ZYugguBVNA_7_0"/>
      <w:bookmarkStart w:id="78" w:name="Tc_FyCDA26Wm0KvxMjO_nFtJQ_6_0"/>
      <w:bookmarkStart w:id="79" w:name="Tc_m3gJsV9wiUKrDBm7DPiqzA_5_5"/>
      <w:bookmarkStart w:id="80" w:name="Tc_tzKv9IlNskG8KkH5C1iWAA_5_2"/>
      <w:bookmarkStart w:id="81" w:name="Tc_q8ITulXfQUGwFTYnjwkh1A_5_0"/>
      <w:bookmarkStart w:id="82" w:name="Tc_e4O6_F2YaUiJGHYQpNYbTA_4_0"/>
      <w:bookmarkStart w:id="83" w:name="Tc_jTP6otP4fkWKvioKR-HpFA_3_5"/>
      <w:bookmarkStart w:id="84" w:name="Tc_kfPovLne10GFSLOLqEXjlw_2_5"/>
      <w:bookmarkStart w:id="85" w:name="Tc_q7lRtlEJlEW1gXw1V1us7A_2_2"/>
      <w:bookmarkStart w:id="86" w:name="Tc_G1vWgvuqJEm-3Y0_jaX3SA_2_0"/>
      <w:bookmarkStart w:id="87" w:name="Tc_EvXxi94rK0yLKc0FtXoGTg_1_5"/>
      <w:bookmarkStart w:id="88" w:name="Tc_mvt0Xa0aqkGFTNMSbIQ24A_1_2"/>
      <w:bookmarkStart w:id="89" w:name="_2c34fea5_ee40_4591_9eee_afce93baf5f9"/>
      <w:bookmarkStart w:id="90" w:name="Tc_IMkgfqz1TkKQ4tYkk-T94Q_45_5"/>
      <w:bookmarkStart w:id="91" w:name="Tc_cNUk_97_BUmwrNiONrUhng_45_2"/>
      <w:bookmarkStart w:id="92" w:name="Tc_tgVkPyUXEEedRQ6ID3OZWg_45_0"/>
      <w:bookmarkStart w:id="93" w:name="Tc_7-zD4Wzuu0mjAkm8lvMScw_44_0"/>
      <w:bookmarkStart w:id="94" w:name="Tc_VhKB0cKGi0GAg5OZODHCbg_43_0"/>
      <w:bookmarkStart w:id="95" w:name="Tc_lKCPbTDLm0qe4iH-rBmiTg_42_0"/>
      <w:bookmarkStart w:id="96" w:name="Tc_Cc_x5HrA8UCyZcjlupz8xQ_41_0"/>
      <w:bookmarkStart w:id="97" w:name="Tc_yu2yFkDZ3katUGWoT_b5Kg_40_0"/>
      <w:bookmarkStart w:id="98" w:name="Tc_Fyd1NiNmTE6dx_DnIsDKFA_39_0"/>
      <w:bookmarkStart w:id="99" w:name="Tc_0zSiD2ulwEuK7qr5hxc-6g_37_0"/>
      <w:bookmarkStart w:id="100" w:name="Tc_vjZeqRw8pUW7hw9m7NNc7g_36_0"/>
      <w:bookmarkStart w:id="101" w:name="Tc_XAeTQkFmRke528Md_-YGMA_35_0"/>
      <w:bookmarkStart w:id="102" w:name="Tc_nOgIMztLO06A6Nbk3xty8w_34_0"/>
      <w:bookmarkStart w:id="103" w:name="Tc_QdCSPHwd_kKynOatTNXT-Q_32_0"/>
      <w:bookmarkStart w:id="104" w:name="Tc_okokVE53TUOmv_zO5POQOA_31_0"/>
      <w:bookmarkStart w:id="105" w:name="Tc_7nQiYtYp0kCCGdpyvj1edw_30_5"/>
      <w:bookmarkStart w:id="106" w:name="Tc_Oogs4QJ_HUmSeg-LZXkn0w_30_2"/>
      <w:bookmarkStart w:id="107" w:name="Tc_h8OTQ7-VIkKKl_DvmksDrA_30_0"/>
      <w:bookmarkStart w:id="108" w:name="Tc_3d7rEJGs2UOf8tOwxCEZ8A_29_0"/>
      <w:bookmarkStart w:id="109" w:name="Tc_zhPgMLqSpEW98Lsab4jJkA_27_0"/>
      <w:bookmarkStart w:id="110" w:name="Tc_LHwXWbdRck2CTpJxXw7QMQ_25_5"/>
      <w:bookmarkStart w:id="111" w:name="Tc_Kq4_jc2pAkufZH6NSiw7Cg_25_2"/>
      <w:bookmarkStart w:id="112" w:name="Tc_2C0rMgUrzU-hiECjLccv2g_25_0"/>
      <w:bookmarkStart w:id="113" w:name="Tc_akCf0nZ2QESfKDoAm2zr9w_24_0"/>
      <w:bookmarkStart w:id="114" w:name="Tc_8fAvOZ3OEEGCy_fw2wUqiA_23_0"/>
      <w:bookmarkStart w:id="115" w:name="Tc_pGjXf-NzuEqfDTZhmH8ADw_21_0"/>
      <w:bookmarkStart w:id="116" w:name="Tc_OVXfXERimEyoM5kYsQXLMw_20_0"/>
      <w:bookmarkStart w:id="117" w:name="Tc_fwc116QHE0SnleDAsc5RrA_19_0"/>
      <w:bookmarkStart w:id="118" w:name="Tc__QTxnjFblkOsu_azBJPZuw_18_0"/>
      <w:bookmarkStart w:id="119" w:name="Tc_Jm-77lmiqUK0YK1dRPdr_A_17_0"/>
      <w:bookmarkStart w:id="120" w:name="Tc_69LG7Tac30mPMtsD1xTUEA_15_0"/>
      <w:bookmarkStart w:id="121" w:name="Tc_kgJyyjwmkkCxtpcit7RIZw_14_0"/>
      <w:bookmarkStart w:id="122" w:name="Tc_bAiT375VnE2GZWQvA7ETMA_13_0"/>
      <w:bookmarkStart w:id="123" w:name="Tc_U01tuiepMEuWURfAbZCOew_12_0"/>
      <w:bookmarkStart w:id="124" w:name="Tc_SjGAxgMvnEKukVR5uZolug_11_0"/>
      <w:bookmarkStart w:id="125" w:name="Tc_6sDMpK3BDEWx2rzERlvJ3g_9_0"/>
      <w:bookmarkStart w:id="126" w:name="Tc_aFSTGs5HvEC1tLCpaMZqEg_8_0"/>
      <w:bookmarkStart w:id="127" w:name="Tc_IWQusPFS7EO8ZYugguBVNA_7_0"/>
      <w:bookmarkStart w:id="128" w:name="Tc_FyCDA26Wm0KvxMjO_nFtJQ_6_0"/>
      <w:bookmarkStart w:id="129" w:name="Tc_m3gJsV9wiUKrDBm7DPiqzA_5_5"/>
      <w:bookmarkStart w:id="130" w:name="Tc_tzKv9IlNskG8KkH5C1iWAA_5_2"/>
      <w:bookmarkStart w:id="131" w:name="Tc_q8ITulXfQUGwFTYnjwkh1A_5_0"/>
      <w:bookmarkStart w:id="132" w:name="Tc_e4O6_F2YaUiJGHYQpNYbTA_4_0"/>
      <w:bookmarkStart w:id="133" w:name="Tc_jTP6otP4fkWKvioKR-HpFA_3_5"/>
      <w:bookmarkStart w:id="134" w:name="Tc_kfPovLne10GFSLOLqEXjlw_2_5"/>
      <w:bookmarkStart w:id="135" w:name="Tc_q7lRtlEJlEW1gXw1V1us7A_2_2"/>
      <w:bookmarkStart w:id="136" w:name="Tc_G1vWgvuqJEm-3Y0_jaX3SA_2_0"/>
      <w:bookmarkStart w:id="137" w:name="Tc_EvXxi94rK0yLKc0FtXoGTg_1_5"/>
      <w:bookmarkStart w:id="138" w:name="Tc_mvt0Xa0aqkGFTNMSbIQ24A_1_2"/>
      <w:bookmarkStart w:id="139" w:name="_2c34fea5_ee40_4591_9eee_afce93baf5f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tbl>
      <w:tblPr>
        <w:tblW w:w="7171" w:type="dxa"/>
        <w:jc w:val="left"/>
        <w:tblInd w:w="0" w:type="dxa"/>
        <w:tblLayout w:type="fixed"/>
        <w:tblCellMar>
          <w:top w:w="0" w:type="dxa"/>
          <w:left w:w="0" w:type="dxa"/>
          <w:bottom w:w="0" w:type="dxa"/>
          <w:right w:w="0" w:type="dxa"/>
        </w:tblCellMar>
      </w:tblPr>
      <w:tblGrid>
        <w:gridCol w:w="4321"/>
        <w:gridCol w:w="326"/>
        <w:gridCol w:w="277"/>
        <w:gridCol w:w="1028"/>
        <w:gridCol w:w="109"/>
        <w:gridCol w:w="213"/>
        <w:gridCol w:w="897"/>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743835" cy="175260"/>
                      <wp:effectExtent l="0" t="0" r="0" b="0"/>
                      <wp:wrapNone/>
                      <wp:docPr id="9" name="Frame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5255" cy="175260"/>
                      <wp:effectExtent l="0" t="0" r="0" b="0"/>
                      <wp:wrapNone/>
                      <wp:docPr id="14" name="Frame1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9595" cy="175260"/>
                      <wp:effectExtent l="0" t="0" r="0" b="0"/>
                      <wp:wrapNone/>
                      <wp:docPr id="15" name="Frame15"/>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56,128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18,030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28,366</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29,158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1,638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105,296</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104,954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9,300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33,722</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33,700</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23,262</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23,254</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75,605</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75,967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104,846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105,135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80,820</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81,583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23,552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163,044</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162,206</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vAlign w:val="center"/>
          </w:tcPr>
          <w:p>
            <w:pPr>
              <w:pStyle w:val="TableContents"/>
              <w:bidi w:val="0"/>
              <w:spacing w:before="0" w:after="1"/>
              <w:ind w:left="0" w:right="0" w:hanging="0"/>
              <w:jc w:val="center"/>
              <w:rPr/>
            </w:pPr>
            <w:r>
              <w:rPr/>
              <w:t>    </w:t>
            </w:r>
          </w:p>
        </w:tc>
        <w:tc>
          <w:tcPr>
            <w:tcW w:w="130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pPr>
            <w:r>
              <w:rPr/>
              <w:t>​</w:t>
            </w:r>
          </w:p>
        </w:tc>
      </w:tr>
      <w:tr>
        <w:trPr/>
        <w:tc>
          <w:tcPr>
            <w:tcW w:w="4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97" w:type="dxa"/>
            <w:tcBorders/>
            <w:vAlign w:val="center"/>
          </w:tcPr>
          <w:p>
            <w:pPr>
              <w:pStyle w:val="TableContents"/>
              <w:bidi w:val="0"/>
              <w:spacing w:before="0" w:after="1"/>
              <w:ind w:left="0" w:right="0" w:hanging="0"/>
              <w:jc w:val="center"/>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14,971</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11,094</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2,510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15,775</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13,604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1,021</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53,396</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53,396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92,626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94,062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146,145</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147,581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163,044</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162,206</w:t>
            </w:r>
          </w:p>
        </w:tc>
      </w:tr>
    </w:tbl>
    <w:p>
      <w:pPr>
        <w:pStyle w:val="TextBody"/>
        <w:bidi w:val="0"/>
        <w:spacing w:before="160" w:after="0"/>
        <w:ind w:left="0" w:right="0" w:hanging="0"/>
        <w:jc w:val="both"/>
        <w:rPr>
          <w:rFonts w:ascii="Times New Roman;Times;serif" w:hAnsi="Times New Roman;Times;serif"/>
          <w:sz w:val="20"/>
        </w:rPr>
      </w:pPr>
      <w:r>
        <w:rPr>
          <w:rFonts w:ascii="Times New Roman;Times;serif" w:hAnsi="Times New Roman;Times;serif"/>
          <w:sz w:val="20"/>
        </w:rPr>
        <w:t>Commitments and contingencies (Note 7)</w:t>
      </w:r>
    </w:p>
    <w:p>
      <w:pPr>
        <w:pStyle w:val="TextBody"/>
        <w:bidi w:val="0"/>
        <w:spacing w:before="0" w:after="240"/>
        <w:ind w:left="0" w:right="0" w:hanging="0"/>
        <w:jc w:val="both"/>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0" w:name="_ba8a189e_5189_4282_b355_4f392a664ab6"/>
      <w:bookmarkEnd w:id="140"/>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41" w:name="CONDENSEDCONSOLIDATEDSTATEMENTSOFINCOME_"/>
      <w:bookmarkEnd w:id="141"/>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2" w:name="Tc_MOeYptEnQ06D5dxhijYnPw_21_0"/>
      <w:bookmarkStart w:id="143" w:name="Tc_IMHEoGaeTkWnjmwpJrrNEA_19_0"/>
      <w:bookmarkStart w:id="144" w:name="Tc_i4_6gk7cR062tDlc_cvXNA_17_5"/>
      <w:bookmarkStart w:id="145" w:name="Tc_LMBozQi_4EaLB96FloRLtA_17_2"/>
      <w:bookmarkStart w:id="146" w:name="Tc_7RpQJkKEQ0SIiajKw69EhA_17_0"/>
      <w:bookmarkStart w:id="147" w:name="Tc_wlPx4IxLYU6_Pno4s3UklQ_16_0"/>
      <w:bookmarkStart w:id="148" w:name="Tc_j63sE9bV7k2ezTsmbEST9A_15_0"/>
      <w:bookmarkStart w:id="149" w:name="Tc_v_nVaHND5UyNVIG-xignAQ_13_5"/>
      <w:bookmarkStart w:id="150" w:name="Tc_SvwaIXTEAE6iKRON8JsEQg_13_2"/>
      <w:bookmarkStart w:id="151" w:name="Tc_jfmSHqHlj0qXPyj9FK5F4Q_13_0"/>
      <w:bookmarkStart w:id="152" w:name="Tc_8RD9ub7DoE-FdwHsHB6Avg_12_0"/>
      <w:bookmarkStart w:id="153" w:name="Tc_3e4HeCYchEeizQUjqeTg5w_11_0"/>
      <w:bookmarkStart w:id="154" w:name="Tc_EbZgVMTP0keuWX_YJ1IzDg_10_0"/>
      <w:bookmarkStart w:id="155" w:name="Tc_nqZbO185-0ehdnj8Phxqjw_9_0"/>
      <w:bookmarkStart w:id="156" w:name="Tc_YE2i3AYQJ0S2gKoFEeXMuw_8_0"/>
      <w:bookmarkStart w:id="157" w:name="Tc_1a_scTOqD0CBnem-HPDUNg_7_0"/>
      <w:bookmarkStart w:id="158" w:name="Tc_rkD_nk5o0E2uTJggF6VMrg_6_0"/>
      <w:bookmarkStart w:id="159" w:name="Tc_w5WR4FRcyUGmOSAdP7fhNw_5_5"/>
      <w:bookmarkStart w:id="160" w:name="Tc_qqw-CFW9pkmKEc3riSgsww_5_2"/>
      <w:bookmarkStart w:id="161" w:name="Tc_E5wr4eU_GEmF0tq1cW0RKg_5_0"/>
      <w:bookmarkStart w:id="162" w:name="Tc_gmN-ixJV902pvaeD-xB9Xg_4_2"/>
      <w:bookmarkStart w:id="163" w:name="Tc_yoNZIumcREOIZShKOpwocg_3_5"/>
      <w:bookmarkStart w:id="164" w:name="Tc_2xI_o67xUkW58CafMvK2lw_3_2"/>
      <w:bookmarkStart w:id="165" w:name="Tc_OpXrejYcgkmV2SYlff4NpQ_2_2"/>
      <w:bookmarkStart w:id="166" w:name="Tc_Ge2iNFQz8k2fDnsbfoQL1w_1_2"/>
      <w:bookmarkStart w:id="167" w:name="_1bb9a386_f534_4ef4_bdda_41776febe312"/>
      <w:bookmarkStart w:id="168" w:name="Tc_MOeYptEnQ06D5dxhijYnPw_21_0"/>
      <w:bookmarkStart w:id="169" w:name="Tc_IMHEoGaeTkWnjmwpJrrNEA_19_0"/>
      <w:bookmarkStart w:id="170" w:name="Tc_i4_6gk7cR062tDlc_cvXNA_17_5"/>
      <w:bookmarkStart w:id="171" w:name="Tc_LMBozQi_4EaLB96FloRLtA_17_2"/>
      <w:bookmarkStart w:id="172" w:name="Tc_7RpQJkKEQ0SIiajKw69EhA_17_0"/>
      <w:bookmarkStart w:id="173" w:name="Tc_wlPx4IxLYU6_Pno4s3UklQ_16_0"/>
      <w:bookmarkStart w:id="174" w:name="Tc_j63sE9bV7k2ezTsmbEST9A_15_0"/>
      <w:bookmarkStart w:id="175" w:name="Tc_v_nVaHND5UyNVIG-xignAQ_13_5"/>
      <w:bookmarkStart w:id="176" w:name="Tc_SvwaIXTEAE6iKRON8JsEQg_13_2"/>
      <w:bookmarkStart w:id="177" w:name="Tc_jfmSHqHlj0qXPyj9FK5F4Q_13_0"/>
      <w:bookmarkStart w:id="178" w:name="Tc_8RD9ub7DoE-FdwHsHB6Avg_12_0"/>
      <w:bookmarkStart w:id="179" w:name="Tc_3e4HeCYchEeizQUjqeTg5w_11_0"/>
      <w:bookmarkStart w:id="180" w:name="Tc_EbZgVMTP0keuWX_YJ1IzDg_10_0"/>
      <w:bookmarkStart w:id="181" w:name="Tc_nqZbO185-0ehdnj8Phxqjw_9_0"/>
      <w:bookmarkStart w:id="182" w:name="Tc_YE2i3AYQJ0S2gKoFEeXMuw_8_0"/>
      <w:bookmarkStart w:id="183" w:name="Tc_1a_scTOqD0CBnem-HPDUNg_7_0"/>
      <w:bookmarkStart w:id="184" w:name="Tc_rkD_nk5o0E2uTJggF6VMrg_6_0"/>
      <w:bookmarkStart w:id="185" w:name="Tc_w5WR4FRcyUGmOSAdP7fhNw_5_5"/>
      <w:bookmarkStart w:id="186" w:name="Tc_qqw-CFW9pkmKEc3riSgsww_5_2"/>
      <w:bookmarkStart w:id="187" w:name="Tc_E5wr4eU_GEmF0tq1cW0RKg_5_0"/>
      <w:bookmarkStart w:id="188" w:name="Tc_gmN-ixJV902pvaeD-xB9Xg_4_2"/>
      <w:bookmarkStart w:id="189" w:name="Tc_yoNZIumcREOIZShKOpwocg_3_5"/>
      <w:bookmarkStart w:id="190" w:name="Tc_2xI_o67xUkW58CafMvK2lw_3_2"/>
      <w:bookmarkStart w:id="191" w:name="Tc_OpXrejYcgkmV2SYlff4NpQ_2_2"/>
      <w:bookmarkStart w:id="192" w:name="Tc_Ge2iNFQz8k2fDnsbfoQL1w_1_2"/>
      <w:bookmarkStart w:id="193" w:name="_1bb9a386_f534_4ef4_bdda_41776febe312"/>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7542" w:type="dxa"/>
        <w:jc w:val="left"/>
        <w:tblInd w:w="0" w:type="dxa"/>
        <w:tblLayout w:type="fixed"/>
        <w:tblCellMar>
          <w:top w:w="0" w:type="dxa"/>
          <w:left w:w="0" w:type="dxa"/>
          <w:bottom w:w="0" w:type="dxa"/>
          <w:right w:w="0" w:type="dxa"/>
        </w:tblCellMar>
      </w:tblPr>
      <w:tblGrid>
        <w:gridCol w:w="5011"/>
        <w:gridCol w:w="326"/>
        <w:gridCol w:w="211"/>
        <w:gridCol w:w="676"/>
        <w:gridCol w:w="326"/>
        <w:gridCol w:w="211"/>
        <w:gridCol w:w="781"/>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181985" cy="175260"/>
                      <wp:effectExtent l="0" t="0" r="0" b="0"/>
                      <wp:wrapNone/>
                      <wp:docPr id="16" name="Frame16"/>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9"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5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40,272</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28,109</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12,163</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6,294</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5,869</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873</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6,742</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1,611</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5,131</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marketable securities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arising during year,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5,131</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w:t>
            </w:r>
          </w:p>
        </w:tc>
      </w:tr>
      <w:tr>
        <w:trPr/>
        <w:tc>
          <w:tcPr>
            <w:tcW w:w="5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12,319</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94" w:name="_fd7e6caf_de37_40ce_8ece_1d34da56be52"/>
      <w:bookmarkEnd w:id="194"/>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95" w:name="CONDENSEDCONSOLIDATEDSTATEMENTSOFSTOCKHO"/>
      <w:bookmarkStart w:id="196" w:name="CONDENSEDCONSOLIDATEDSTATEMENTOFEQUITY"/>
      <w:bookmarkEnd w:id="195"/>
      <w:bookmarkEnd w:id="19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7" w:name="Tc_9I__2wmyq0i0LW3MKYOX5A_15_14"/>
      <w:bookmarkStart w:id="198" w:name="Tc_83tAArbF3E6dZc75N-XUWg_15_12"/>
      <w:bookmarkStart w:id="199" w:name="Tc_Mx5QvAV2f0aGfnkLKnr34A_15_11"/>
      <w:bookmarkStart w:id="200" w:name="Tc_ieAY1qIukUOXaWMkjgSEfA_15_8"/>
      <w:bookmarkStart w:id="201" w:name="Tc_gzKkeDYQxk-RpXtbV9gGpg_15_5"/>
      <w:bookmarkStart w:id="202" w:name="Tc_MBSe_ptypUW55ZxZp_5RXg_15_2"/>
      <w:bookmarkStart w:id="203" w:name="Tc_iAA1uIjleUK6cGlp8yeLlQ_15_0"/>
      <w:bookmarkStart w:id="204" w:name="Tc_RdsRzc7nF0K6TEv44LZAkg_14_12"/>
      <w:bookmarkStart w:id="205" w:name="Tc_aeP5PUYgvkyjcLH7ZDVcIg_14_6"/>
      <w:bookmarkStart w:id="206" w:name="Tc_GiK-_7v6c0a4EhxpoaP0yg_14_3"/>
      <w:bookmarkStart w:id="207" w:name="Tc_RCifx3BlikW0m-2tM7ieGg_14_0"/>
      <w:bookmarkStart w:id="208" w:name="Tc_0oIUStH9aEqi5q3oI_9mlQ_13_0"/>
      <w:bookmarkStart w:id="209" w:name="Tc_r6NipPl3rkanwf5LkHwvOA_12_14"/>
      <w:bookmarkStart w:id="210" w:name="Tc_499Pqn9NFEeD077bMDtN7g_12_12"/>
      <w:bookmarkStart w:id="211" w:name="Tc_YPj72YeUWkSOUzElc7lFbA_12_11"/>
      <w:bookmarkStart w:id="212" w:name="Tc_i-Ru4-eZQ0mYJVt6dTiZkw_12_8"/>
      <w:bookmarkStart w:id="213" w:name="Tc_CuuE5rKlTUmtGnTTq0MemA_12_5"/>
      <w:bookmarkStart w:id="214" w:name="Tc_CDzX82pCv02hF3KJMJFjzA_12_2"/>
      <w:bookmarkStart w:id="215" w:name="Tc_vS8E3QbP50aExHyylAVdRA_12_0"/>
      <w:bookmarkStart w:id="216" w:name="Tc_vYIq8FgdeUS8FRPj7a_lWw_10_14"/>
      <w:bookmarkStart w:id="217" w:name="Tc_KyrMVKqb8kyEl5adnmFZ3g_10_11"/>
      <w:bookmarkStart w:id="218" w:name="Tc_jtupcJdF3EuhBW9y-JKwIg_10_8"/>
      <w:bookmarkStart w:id="219" w:name="Tc_fsyO7tRUGEuDePI9z86Vrw_10_5"/>
      <w:bookmarkStart w:id="220" w:name="Tc_adqIwkIwnkyV-F9KzRcnVw_10_2"/>
      <w:bookmarkStart w:id="221" w:name="Tc_UpoV7dCEtkuMllHf7ztLjQ_10_0"/>
      <w:bookmarkStart w:id="222" w:name="Tc_9syeb-gqUUOYQeUcGp8sPg_9_9"/>
      <w:bookmarkStart w:id="223" w:name="Tc_7h7-9X8of0GlF187tVWHxw_9_6"/>
      <w:bookmarkStart w:id="224" w:name="Tc_yQIfAyrrREWKPStRi5CeRw_9_3"/>
      <w:bookmarkStart w:id="225" w:name="Tc_oWOk6Owh_EmX_uZQ6mTomw_9_0"/>
      <w:bookmarkStart w:id="226" w:name="Tc_M1E2yAv2BESUmdM3Jkm0kQ_8_12"/>
      <w:bookmarkStart w:id="227" w:name="Tc_leEBuQ2EGkioiYu-GhGVAQ_8_6"/>
      <w:bookmarkStart w:id="228" w:name="Tc_YEwH-AqSD0yqsERpvK-EgA_8_3"/>
      <w:bookmarkStart w:id="229" w:name="Tc_zVTBGMH1ZUO0DJMHsCpkWQ_8_0"/>
      <w:bookmarkStart w:id="230" w:name="Tc_PYIw1EQKV0yRdstzvY7uCg_7_12"/>
      <w:bookmarkStart w:id="231" w:name="Tc_G510uv3hGkOo52z4MSdxPQ_7_6"/>
      <w:bookmarkStart w:id="232" w:name="Tc_0l_mt5pCU0qZs4xXgt_32Q_7_3"/>
      <w:bookmarkStart w:id="233" w:name="Tc_9NYCIqL_h0KRnixhXK5alQ_7_0"/>
      <w:bookmarkStart w:id="234" w:name="Tc_4NVn6BAVYU2LwduW6mLpLA_6_14"/>
      <w:bookmarkStart w:id="235" w:name="Tc_LvcTAQBdf02saYbYeN1GMA_6_11"/>
      <w:bookmarkStart w:id="236" w:name="Tc_Ljk4-UvO90mkJIOs4xjYyw_6_8"/>
      <w:bookmarkStart w:id="237" w:name="Tc_dF_oRVROXEaUx_4FhuAjmQ_6_5"/>
      <w:bookmarkStart w:id="238" w:name="Tc_MACR83cPNESU3DpsXrIaPQ_6_2"/>
      <w:bookmarkStart w:id="239" w:name="Tc_H46TCnz-w0mHKxk6UspXDA_6_0"/>
      <w:bookmarkStart w:id="240" w:name="Tc_AkD7mOxWy0W38KWdcsY34g_5_14"/>
      <w:bookmarkStart w:id="241" w:name="Tc_Eg_icO8uGE-2l4fHj6Ic7A_5_11"/>
      <w:bookmarkStart w:id="242" w:name="Tc_y4-NXNV7UUWtZtZ6nB-Npw_5_8"/>
      <w:bookmarkStart w:id="243" w:name="Tc_xIfOG13Px0OCsmSk_bC8Gw_5_5"/>
      <w:bookmarkStart w:id="244" w:name="Tc_wHz7tmmDk0qG_W12MXeK5A_5_2"/>
      <w:bookmarkStart w:id="245" w:name="Tc_JXPWzNEID0-GzRqBpI-nnw_4_14"/>
      <w:bookmarkStart w:id="246" w:name="Tc_qgoBFtyQBUGeK2zI7Uys9Q_4_11"/>
      <w:bookmarkStart w:id="247" w:name="Tc_QgPZQjWXpkipeVEQ4OsnIg_4_8"/>
      <w:bookmarkStart w:id="248" w:name="Tc_MV01rnKau0KY4_AR1GlAiw_4_5"/>
      <w:bookmarkStart w:id="249" w:name="Tc_JLjA_avZuU-WwML7dHFvfQ_4_2"/>
      <w:bookmarkStart w:id="250" w:name="Tc_hZBU98recEqeXMlwuFV6sw_3_14"/>
      <w:bookmarkStart w:id="251" w:name="Tc_WancZpwMR0ic9jYEErOReQ_3_11"/>
      <w:bookmarkStart w:id="252" w:name="Tc_1KEVBTlwL0efBb9x3nwYPw_3_5"/>
      <w:bookmarkStart w:id="253" w:name="Tc_vOmEdzk7wUqRiQ1BVtdkpQ_3_2"/>
      <w:bookmarkStart w:id="254" w:name="Tc_Ed_jHE83ikOr0ziSsHOXVg_2_11"/>
      <w:bookmarkStart w:id="255" w:name="Tc_nRtchRRBdkWm9wN81bsvnA_1_2"/>
      <w:bookmarkStart w:id="256" w:name="_32cc6987_7d18_47b2_bc2a_e24eabd5e118"/>
      <w:bookmarkStart w:id="257" w:name="Tc_9I__2wmyq0i0LW3MKYOX5A_15_14"/>
      <w:bookmarkStart w:id="258" w:name="Tc_83tAArbF3E6dZc75N-XUWg_15_12"/>
      <w:bookmarkStart w:id="259" w:name="Tc_Mx5QvAV2f0aGfnkLKnr34A_15_11"/>
      <w:bookmarkStart w:id="260" w:name="Tc_ieAY1qIukUOXaWMkjgSEfA_15_8"/>
      <w:bookmarkStart w:id="261" w:name="Tc_gzKkeDYQxk-RpXtbV9gGpg_15_5"/>
      <w:bookmarkStart w:id="262" w:name="Tc_MBSe_ptypUW55ZxZp_5RXg_15_2"/>
      <w:bookmarkStart w:id="263" w:name="Tc_iAA1uIjleUK6cGlp8yeLlQ_15_0"/>
      <w:bookmarkStart w:id="264" w:name="Tc_RdsRzc7nF0K6TEv44LZAkg_14_12"/>
      <w:bookmarkStart w:id="265" w:name="Tc_aeP5PUYgvkyjcLH7ZDVcIg_14_6"/>
      <w:bookmarkStart w:id="266" w:name="Tc_GiK-_7v6c0a4EhxpoaP0yg_14_3"/>
      <w:bookmarkStart w:id="267" w:name="Tc_RCifx3BlikW0m-2tM7ieGg_14_0"/>
      <w:bookmarkStart w:id="268" w:name="Tc_0oIUStH9aEqi5q3oI_9mlQ_13_0"/>
      <w:bookmarkStart w:id="269" w:name="Tc_r6NipPl3rkanwf5LkHwvOA_12_14"/>
      <w:bookmarkStart w:id="270" w:name="Tc_499Pqn9NFEeD077bMDtN7g_12_12"/>
      <w:bookmarkStart w:id="271" w:name="Tc_YPj72YeUWkSOUzElc7lFbA_12_11"/>
      <w:bookmarkStart w:id="272" w:name="Tc_i-Ru4-eZQ0mYJVt6dTiZkw_12_8"/>
      <w:bookmarkStart w:id="273" w:name="Tc_CuuE5rKlTUmtGnTTq0MemA_12_5"/>
      <w:bookmarkStart w:id="274" w:name="Tc_CDzX82pCv02hF3KJMJFjzA_12_2"/>
      <w:bookmarkStart w:id="275" w:name="Tc_vS8E3QbP50aExHyylAVdRA_12_0"/>
      <w:bookmarkStart w:id="276" w:name="Tc_vYIq8FgdeUS8FRPj7a_lWw_10_14"/>
      <w:bookmarkStart w:id="277" w:name="Tc_KyrMVKqb8kyEl5adnmFZ3g_10_11"/>
      <w:bookmarkStart w:id="278" w:name="Tc_jtupcJdF3EuhBW9y-JKwIg_10_8"/>
      <w:bookmarkStart w:id="279" w:name="Tc_fsyO7tRUGEuDePI9z86Vrw_10_5"/>
      <w:bookmarkStart w:id="280" w:name="Tc_adqIwkIwnkyV-F9KzRcnVw_10_2"/>
      <w:bookmarkStart w:id="281" w:name="Tc_UpoV7dCEtkuMllHf7ztLjQ_10_0"/>
      <w:bookmarkStart w:id="282" w:name="Tc_9syeb-gqUUOYQeUcGp8sPg_9_9"/>
      <w:bookmarkStart w:id="283" w:name="Tc_7h7-9X8of0GlF187tVWHxw_9_6"/>
      <w:bookmarkStart w:id="284" w:name="Tc_yQIfAyrrREWKPStRi5CeRw_9_3"/>
      <w:bookmarkStart w:id="285" w:name="Tc_oWOk6Owh_EmX_uZQ6mTomw_9_0"/>
      <w:bookmarkStart w:id="286" w:name="Tc_M1E2yAv2BESUmdM3Jkm0kQ_8_12"/>
      <w:bookmarkStart w:id="287" w:name="Tc_leEBuQ2EGkioiYu-GhGVAQ_8_6"/>
      <w:bookmarkStart w:id="288" w:name="Tc_YEwH-AqSD0yqsERpvK-EgA_8_3"/>
      <w:bookmarkStart w:id="289" w:name="Tc_zVTBGMH1ZUO0DJMHsCpkWQ_8_0"/>
      <w:bookmarkStart w:id="290" w:name="Tc_PYIw1EQKV0yRdstzvY7uCg_7_12"/>
      <w:bookmarkStart w:id="291" w:name="Tc_G510uv3hGkOo52z4MSdxPQ_7_6"/>
      <w:bookmarkStart w:id="292" w:name="Tc_0l_mt5pCU0qZs4xXgt_32Q_7_3"/>
      <w:bookmarkStart w:id="293" w:name="Tc_9NYCIqL_h0KRnixhXK5alQ_7_0"/>
      <w:bookmarkStart w:id="294" w:name="Tc_4NVn6BAVYU2LwduW6mLpLA_6_14"/>
      <w:bookmarkStart w:id="295" w:name="Tc_LvcTAQBdf02saYbYeN1GMA_6_11"/>
      <w:bookmarkStart w:id="296" w:name="Tc_Ljk4-UvO90mkJIOs4xjYyw_6_8"/>
      <w:bookmarkStart w:id="297" w:name="Tc_dF_oRVROXEaUx_4FhuAjmQ_6_5"/>
      <w:bookmarkStart w:id="298" w:name="Tc_MACR83cPNESU3DpsXrIaPQ_6_2"/>
      <w:bookmarkStart w:id="299" w:name="Tc_H46TCnz-w0mHKxk6UspXDA_6_0"/>
      <w:bookmarkStart w:id="300" w:name="Tc_AkD7mOxWy0W38KWdcsY34g_5_14"/>
      <w:bookmarkStart w:id="301" w:name="Tc_Eg_icO8uGE-2l4fHj6Ic7A_5_11"/>
      <w:bookmarkStart w:id="302" w:name="Tc_y4-NXNV7UUWtZtZ6nB-Npw_5_8"/>
      <w:bookmarkStart w:id="303" w:name="Tc_xIfOG13Px0OCsmSk_bC8Gw_5_5"/>
      <w:bookmarkStart w:id="304" w:name="Tc_wHz7tmmDk0qG_W12MXeK5A_5_2"/>
      <w:bookmarkStart w:id="305" w:name="Tc_JXPWzNEID0-GzRqBpI-nnw_4_14"/>
      <w:bookmarkStart w:id="306" w:name="Tc_qgoBFtyQBUGeK2zI7Uys9Q_4_11"/>
      <w:bookmarkStart w:id="307" w:name="Tc_QgPZQjWXpkipeVEQ4OsnIg_4_8"/>
      <w:bookmarkStart w:id="308" w:name="Tc_MV01rnKau0KY4_AR1GlAiw_4_5"/>
      <w:bookmarkStart w:id="309" w:name="Tc_JLjA_avZuU-WwML7dHFvfQ_4_2"/>
      <w:bookmarkStart w:id="310" w:name="Tc_hZBU98recEqeXMlwuFV6sw_3_14"/>
      <w:bookmarkStart w:id="311" w:name="Tc_WancZpwMR0ic9jYEErOReQ_3_11"/>
      <w:bookmarkStart w:id="312" w:name="Tc_1KEVBTlwL0efBb9x3nwYPw_3_5"/>
      <w:bookmarkStart w:id="313" w:name="Tc_vOmEdzk7wUqRiQ1BVtdkpQ_3_2"/>
      <w:bookmarkStart w:id="314" w:name="Tc_Ed_jHE83ikOr0ziSsHOXVg_2_11"/>
      <w:bookmarkStart w:id="315" w:name="Tc_nRtchRRBdkWm9wN81bsvnA_1_2"/>
      <w:bookmarkStart w:id="316" w:name="_32cc6987_7d18_47b2_bc2a_e24eabd5e118"/>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tbl>
      <w:tblPr>
        <w:tblW w:w="9579" w:type="dxa"/>
        <w:jc w:val="left"/>
        <w:tblInd w:w="0" w:type="dxa"/>
        <w:tblLayout w:type="fixed"/>
        <w:tblCellMar>
          <w:top w:w="0" w:type="dxa"/>
          <w:left w:w="0" w:type="dxa"/>
          <w:bottom w:w="0" w:type="dxa"/>
          <w:right w:w="0" w:type="dxa"/>
        </w:tblCellMar>
      </w:tblPr>
      <w:tblGrid>
        <w:gridCol w:w="2671"/>
        <w:gridCol w:w="326"/>
        <w:gridCol w:w="280"/>
        <w:gridCol w:w="561"/>
        <w:gridCol w:w="326"/>
        <w:gridCol w:w="239"/>
        <w:gridCol w:w="767"/>
        <w:gridCol w:w="326"/>
        <w:gridCol w:w="211"/>
        <w:gridCol w:w="781"/>
        <w:gridCol w:w="326"/>
        <w:gridCol w:w="496"/>
        <w:gridCol w:w="885"/>
        <w:gridCol w:w="109"/>
        <w:gridCol w:w="244"/>
        <w:gridCol w:w="103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96085" cy="175260"/>
                      <wp:effectExtent l="0" t="0" r="0" b="0"/>
                      <wp:wrapNone/>
                      <wp:docPr id="23" name="Frame23"/>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77800" cy="175260"/>
                      <wp:effectExtent l="0" t="0" r="0" b="0"/>
                      <wp:wrapNone/>
                      <wp:docPr id="25" name="Frame2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56235" cy="175260"/>
                      <wp:effectExtent l="0" t="0" r="0" b="0"/>
                      <wp:wrapNone/>
                      <wp:docPr id="26" name="Frame26"/>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1765" cy="175260"/>
                      <wp:effectExtent l="0" t="0" r="0" b="0"/>
                      <wp:wrapNone/>
                      <wp:docPr id="28" name="Frame2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87045" cy="175260"/>
                      <wp:effectExtent l="0" t="0" r="0" b="0"/>
                      <wp:wrapNone/>
                      <wp:docPr id="29" name="Frame2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5935" cy="175260"/>
                      <wp:effectExtent l="0" t="0" r="0" b="0"/>
                      <wp:wrapNone/>
                      <wp:docPr id="32" name="Frame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14960" cy="175260"/>
                      <wp:effectExtent l="0" t="0" r="0" b="0"/>
                      <wp:wrapNone/>
                      <wp:docPr id="34" name="Frame3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61975" cy="175260"/>
                      <wp:effectExtent l="0" t="0" r="0" b="0"/>
                      <wp:wrapNone/>
                      <wp:docPr id="35" name="Frame35"/>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54940" cy="175260"/>
                      <wp:effectExtent l="0" t="0" r="0" b="0"/>
                      <wp:wrapNone/>
                      <wp:docPr id="37" name="Frame3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54685" cy="175260"/>
                      <wp:effectExtent l="0" t="0" r="0" b="0"/>
                      <wp:wrapNone/>
                      <wp:docPr id="38" name="Frame38"/>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58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Three months ended March 31, 2024 and 2025 (unaudited)</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09"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center"/>
              <w:rPr/>
            </w:pPr>
            <w:r>
              <w:rPr/>
              <w:t>​</w:t>
            </w:r>
          </w:p>
        </w:tc>
        <w:tc>
          <w:tcPr>
            <w:tcW w:w="1031" w:type="dxa"/>
            <w:tcBorders/>
            <w:vAlign w:val="center"/>
          </w:tcPr>
          <w:p>
            <w:pPr>
              <w:pStyle w:val="TableContents"/>
              <w:bidi w:val="0"/>
              <w:spacing w:before="0" w:after="0"/>
              <w:ind w:left="0" w:right="0" w:hanging="0"/>
              <w:jc w:val="center"/>
              <w:rPr/>
            </w:pPr>
            <w:r>
              <w:rPr/>
              <w:t>​</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Class A</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stockholders'</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115,457</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168,849</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3,754</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3,754</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($.30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righ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115,517</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168,904</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92,626</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146,145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5,131</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5,131</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($.30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(3,695)</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(3,695)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31, 2025</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53,396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94,062</w:t>
            </w:r>
          </w:p>
        </w:tc>
        <w:tc>
          <w:tcPr>
            <w:tcW w:w="326" w:type="dxa"/>
            <w:tcBorders/>
            <w:vAlign w:val="center"/>
          </w:tcPr>
          <w:p>
            <w:pPr>
              <w:pStyle w:val="TableContents"/>
              <w:bidi w:val="0"/>
              <w:spacing w:before="0" w:after="0"/>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147,581</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17" w:name="_3d4702e6_9a90_4844_aab5_b59aca503b82"/>
      <w:bookmarkEnd w:id="317"/>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318" w:name="CONDENSEDCONSOLIDATEDSTATEMENTSOFCASHFLO"/>
      <w:bookmarkEnd w:id="31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9" w:name="Tc_35xPRWUL20uaQzmwx5Lvyg_38_0"/>
      <w:bookmarkStart w:id="320" w:name="Tc_OtpiP3dlLkGx8cOx2ZDYWg_37_0"/>
      <w:bookmarkStart w:id="321" w:name="Tc_1bnh6NEWAkybrr0Lh6q9Bg_36_6"/>
      <w:bookmarkStart w:id="322" w:name="Tc_3g8ftSPLmESR2SLyUGZLnQ_36_5"/>
      <w:bookmarkStart w:id="323" w:name="Tc_P9Ysbw41nUiT7uGN5jo7Pg_36_2"/>
      <w:bookmarkStart w:id="324" w:name="Tc_qUyW1NORWkGObMt7DxM7xA_36_0"/>
      <w:bookmarkStart w:id="325" w:name="Tc_2HUCieC3yECPDLS1w35TDA_35_0"/>
      <w:bookmarkStart w:id="326" w:name="Tc_TmWQXxFeM0SFnnpiXH0z3Q_33_5"/>
      <w:bookmarkStart w:id="327" w:name="Tc_peDtRs1UpUGfje9nDoT2FQ_33_2"/>
      <w:bookmarkStart w:id="328" w:name="Tc_oLj3sSYClk6Pw0-xZCkeAw_33_0"/>
      <w:bookmarkStart w:id="329" w:name="Tc_VSvdQi0uU06-Bf1LsIBHkg_32_6"/>
      <w:bookmarkStart w:id="330" w:name="Tc_ahUpK44Zpk-g1lk9pEij3A_32_3"/>
      <w:bookmarkStart w:id="331" w:name="Tc_3cgWtdpQfkuUCUZoTZ7tyw_32_0"/>
      <w:bookmarkStart w:id="332" w:name="Tc_DOpD0XdzT0emoJyAHKwr4A_31_0"/>
      <w:bookmarkStart w:id="333" w:name="Tc_UXvbpfCWkE6JwwnQt5klgw_30_0"/>
      <w:bookmarkStart w:id="334" w:name="Tc_saf79l9m_EGiFxkEMSCG0g_28_0"/>
      <w:bookmarkStart w:id="335" w:name="Tc_vkyAvl_mm0Oq8naLjSTehA_27_0"/>
      <w:bookmarkStart w:id="336" w:name="Tc_45FpRjGMiE-vANmVpheI8A_25_0"/>
      <w:bookmarkStart w:id="337" w:name="Tc_Xab-4SlkL0yx_1k6KDP_2w_24_0"/>
      <w:bookmarkStart w:id="338" w:name="Tc_nXd_lsap70KtU0q1OBWf-Q_23_0"/>
      <w:bookmarkStart w:id="339" w:name="Tc_qEMPUkvb5EOR826VqmHHwQ_22_0"/>
      <w:bookmarkStart w:id="340" w:name="Tc_aHovxZlr3UW5CARRVcTPCQ_21_6"/>
      <w:bookmarkStart w:id="341" w:name="Tc_31kvisZUlEqfTKJp98eG6Q_21_0"/>
      <w:bookmarkStart w:id="342" w:name="Tc_pICt2RpVLEeKASvtY5IuuA_20_0"/>
      <w:bookmarkStart w:id="343" w:name="Tc_78RGX26JsUyJmFvTOaSXoA_19_0"/>
      <w:bookmarkStart w:id="344" w:name="Tc_3ARZIghjb0KB0rs05rt2aA_17_0"/>
      <w:bookmarkStart w:id="345" w:name="Tc_z2EdgwlC80yt6EhUYOlZEw_16_0"/>
      <w:bookmarkStart w:id="346" w:name="Tc_3ZKMpCoQwUyNDfK8GM1sVg_15_0"/>
      <w:bookmarkStart w:id="347" w:name="Tc_66Yybo66VEm3HCS-adwxUw_14_0"/>
      <w:bookmarkStart w:id="348" w:name="Tc_3Vl3wGGcrUyoPHvMSyFy0w_13_0"/>
      <w:bookmarkStart w:id="349" w:name="Tc_uL8SJeU3H0m-KbgS6nZMJg_12_0"/>
      <w:bookmarkStart w:id="350" w:name="Tc_fmDd2wBOpkyUJg4AuXuOdg_11_0"/>
      <w:bookmarkStart w:id="351" w:name="Tc_512YMlLLe0WiAmar1nckhQ_10_0"/>
      <w:bookmarkStart w:id="352" w:name="Tc_LsXP3tSzrEOpY7VtPxeRwQ_9_6"/>
      <w:bookmarkStart w:id="353" w:name="Tc_yCAmwQaFXUmhP1y7ELYWWw_9_0"/>
      <w:bookmarkStart w:id="354" w:name="Tc_RiQUsvxal0u51IwV7LkddQ_8_0"/>
      <w:bookmarkStart w:id="355" w:name="Tc_p3LhXFXVEkiEyBKQhOQ7eA_7_0"/>
      <w:bookmarkStart w:id="356" w:name="Tc_DrHJYybsDUm1ptILASrJOQ_6_5"/>
      <w:bookmarkStart w:id="357" w:name="Tc_I6qmumWokkuCheoxLt5W8A_6_2"/>
      <w:bookmarkStart w:id="358" w:name="Tc_zmMZHPAHXUeIPN5UvcDfSQ_6_0"/>
      <w:bookmarkStart w:id="359" w:name="Tc_Sj5LhC1IOEW6hgurpJr0lg_5_0"/>
      <w:bookmarkStart w:id="360" w:name="Tc_JrJGRL2wkE6OQHFNqxfG6g_4_2"/>
      <w:bookmarkStart w:id="361" w:name="Tc_G_V7jnMOwk6l9N9BgKR4Lw_3_5"/>
      <w:bookmarkStart w:id="362" w:name="Tc_AnnQNZuMmE2XSoKFpZ9jAg_3_2"/>
      <w:bookmarkStart w:id="363" w:name="Tc_ouNxi5M4rkOU2XcVrn0qXg_2_2"/>
      <w:bookmarkStart w:id="364" w:name="Tc_iPaHCeKee0SnXiP2EsBttQ_1_2"/>
      <w:bookmarkStart w:id="365" w:name="_d3fc1c0a_56d2_4fbf_892d_ace89c8b6376"/>
      <w:bookmarkStart w:id="366" w:name="Tc_35xPRWUL20uaQzmwx5Lvyg_38_0"/>
      <w:bookmarkStart w:id="367" w:name="Tc_OtpiP3dlLkGx8cOx2ZDYWg_37_0"/>
      <w:bookmarkStart w:id="368" w:name="Tc_1bnh6NEWAkybrr0Lh6q9Bg_36_6"/>
      <w:bookmarkStart w:id="369" w:name="Tc_3g8ftSPLmESR2SLyUGZLnQ_36_5"/>
      <w:bookmarkStart w:id="370" w:name="Tc_P9Ysbw41nUiT7uGN5jo7Pg_36_2"/>
      <w:bookmarkStart w:id="371" w:name="Tc_qUyW1NORWkGObMt7DxM7xA_36_0"/>
      <w:bookmarkStart w:id="372" w:name="Tc_2HUCieC3yECPDLS1w35TDA_35_0"/>
      <w:bookmarkStart w:id="373" w:name="Tc_TmWQXxFeM0SFnnpiXH0z3Q_33_5"/>
      <w:bookmarkStart w:id="374" w:name="Tc_peDtRs1UpUGfje9nDoT2FQ_33_2"/>
      <w:bookmarkStart w:id="375" w:name="Tc_oLj3sSYClk6Pw0-xZCkeAw_33_0"/>
      <w:bookmarkStart w:id="376" w:name="Tc_VSvdQi0uU06-Bf1LsIBHkg_32_6"/>
      <w:bookmarkStart w:id="377" w:name="Tc_ahUpK44Zpk-g1lk9pEij3A_32_3"/>
      <w:bookmarkStart w:id="378" w:name="Tc_3cgWtdpQfkuUCUZoTZ7tyw_32_0"/>
      <w:bookmarkStart w:id="379" w:name="Tc_DOpD0XdzT0emoJyAHKwr4A_31_0"/>
      <w:bookmarkStart w:id="380" w:name="Tc_UXvbpfCWkE6JwwnQt5klgw_30_0"/>
      <w:bookmarkStart w:id="381" w:name="Tc_saf79l9m_EGiFxkEMSCG0g_28_0"/>
      <w:bookmarkStart w:id="382" w:name="Tc_vkyAvl_mm0Oq8naLjSTehA_27_0"/>
      <w:bookmarkStart w:id="383" w:name="Tc_45FpRjGMiE-vANmVpheI8A_25_0"/>
      <w:bookmarkStart w:id="384" w:name="Tc_Xab-4SlkL0yx_1k6KDP_2w_24_0"/>
      <w:bookmarkStart w:id="385" w:name="Tc_nXd_lsap70KtU0q1OBWf-Q_23_0"/>
      <w:bookmarkStart w:id="386" w:name="Tc_qEMPUkvb5EOR826VqmHHwQ_22_0"/>
      <w:bookmarkStart w:id="387" w:name="Tc_aHovxZlr3UW5CARRVcTPCQ_21_6"/>
      <w:bookmarkStart w:id="388" w:name="Tc_31kvisZUlEqfTKJp98eG6Q_21_0"/>
      <w:bookmarkStart w:id="389" w:name="Tc_pICt2RpVLEeKASvtY5IuuA_20_0"/>
      <w:bookmarkStart w:id="390" w:name="Tc_78RGX26JsUyJmFvTOaSXoA_19_0"/>
      <w:bookmarkStart w:id="391" w:name="Tc_3ARZIghjb0KB0rs05rt2aA_17_0"/>
      <w:bookmarkStart w:id="392" w:name="Tc_z2EdgwlC80yt6EhUYOlZEw_16_0"/>
      <w:bookmarkStart w:id="393" w:name="Tc_3ZKMpCoQwUyNDfK8GM1sVg_15_0"/>
      <w:bookmarkStart w:id="394" w:name="Tc_66Yybo66VEm3HCS-adwxUw_14_0"/>
      <w:bookmarkStart w:id="395" w:name="Tc_3Vl3wGGcrUyoPHvMSyFy0w_13_0"/>
      <w:bookmarkStart w:id="396" w:name="Tc_uL8SJeU3H0m-KbgS6nZMJg_12_0"/>
      <w:bookmarkStart w:id="397" w:name="Tc_fmDd2wBOpkyUJg4AuXuOdg_11_0"/>
      <w:bookmarkStart w:id="398" w:name="Tc_512YMlLLe0WiAmar1nckhQ_10_0"/>
      <w:bookmarkStart w:id="399" w:name="Tc_LsXP3tSzrEOpY7VtPxeRwQ_9_6"/>
      <w:bookmarkStart w:id="400" w:name="Tc_yCAmwQaFXUmhP1y7ELYWWw_9_0"/>
      <w:bookmarkStart w:id="401" w:name="Tc_RiQUsvxal0u51IwV7LkddQ_8_0"/>
      <w:bookmarkStart w:id="402" w:name="Tc_p3LhXFXVEkiEyBKQhOQ7eA_7_0"/>
      <w:bookmarkStart w:id="403" w:name="Tc_DrHJYybsDUm1ptILASrJOQ_6_5"/>
      <w:bookmarkStart w:id="404" w:name="Tc_I6qmumWokkuCheoxLt5W8A_6_2"/>
      <w:bookmarkStart w:id="405" w:name="Tc_zmMZHPAHXUeIPN5UvcDfSQ_6_0"/>
      <w:bookmarkStart w:id="406" w:name="Tc_Sj5LhC1IOEW6hgurpJr0lg_5_0"/>
      <w:bookmarkStart w:id="407" w:name="Tc_JrJGRL2wkE6OQHFNqxfG6g_4_2"/>
      <w:bookmarkStart w:id="408" w:name="Tc_G_V7jnMOwk6l9N9BgKR4Lw_3_5"/>
      <w:bookmarkStart w:id="409" w:name="Tc_AnnQNZuMmE2XSoKFpZ9jAg_3_2"/>
      <w:bookmarkStart w:id="410" w:name="Tc_ouNxi5M4rkOU2XcVrn0qXg_2_2"/>
      <w:bookmarkStart w:id="411" w:name="Tc_iPaHCeKee0SnXiP2EsBttQ_1_2"/>
      <w:bookmarkStart w:id="412" w:name="_d3fc1c0a_56d2_4fbf_892d_ace89c8b6376"/>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tbl>
      <w:tblPr>
        <w:tblW w:w="6717" w:type="dxa"/>
        <w:jc w:val="left"/>
        <w:tblInd w:w="0" w:type="dxa"/>
        <w:tblLayout w:type="fixed"/>
        <w:tblCellMar>
          <w:top w:w="0" w:type="dxa"/>
          <w:left w:w="0" w:type="dxa"/>
          <w:bottom w:w="0" w:type="dxa"/>
          <w:right w:w="0" w:type="dxa"/>
        </w:tblCellMar>
      </w:tblPr>
      <w:tblGrid>
        <w:gridCol w:w="4216"/>
        <w:gridCol w:w="326"/>
        <w:gridCol w:w="211"/>
        <w:gridCol w:w="691"/>
        <w:gridCol w:w="326"/>
        <w:gridCol w:w="211"/>
        <w:gridCol w:w="7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677160" cy="175260"/>
                      <wp:effectExtent l="0" t="0" r="0" b="0"/>
                      <wp:wrapNone/>
                      <wp:docPr id="39" name="Frame3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42" name="Frame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67360" cy="175260"/>
                      <wp:effectExtent l="0" t="0" r="0" b="0"/>
                      <wp:wrapNone/>
                      <wp:docPr id="45" name="Frame4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71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5,131</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945</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(3,921)</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(863)</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(3,515)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1,696</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410</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(822)</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maturities of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(822)</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(3,695)</w:t>
            </w:r>
          </w:p>
        </w:tc>
      </w:tr>
      <w:tr>
        <w:trPr/>
        <w:tc>
          <w:tcPr>
            <w:tcW w:w="4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(4,654)</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60,782</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56,128</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pPr>
            <w:r>
              <w:rPr/>
              <w:t>—</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investing activities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13" w:name="_462ec99c_a203_405d_a5e0_4ca837086aab"/>
      <w:bookmarkEnd w:id="413"/>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414" w:name="NOTESTOCONDENSEDCONSOLIDATEDFINANCIALSTA"/>
      <w:bookmarkEnd w:id="414"/>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March 31,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We (NYSE American: CIX) were approximately 87% owned by NL Industries, Inc. (NYSE: NL) at March 31, 2025. At March 31, 2025, Valhi, Inc. (NYSE: VHI) owned approximately 83% of NL’s outstanding common stock and a wholly-owned subsidiary of Contran Corporation owned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March 31, 2025,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Consolidated in this Quarterly Report are the results of CompX International Inc. and its subsidiaries. The unaudited Condensed Consolidated Financial Statements contained in this Quarterly Report have been prepared on the same basis as the audited Consolidated Financial Statements included in our Annual Report on Form 10-K for the year ended December 31, 2024 that we filed with the Securities and Exchange Commission (“SEC”) on March 5, 2025 (the “2024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2024 contained in this Quarterly Report as compared to our audited Consolidated Financial Statements at that date, and we have omitted certain information and footnote disclosures (including those related to the Consolidated Balance Sheet at December 31, 2024) normally included in financial statements prepared in accordance with accounting principles generally accepted in the United States of America (“GAAP”). Our results of operations for the interim period ended March 31, 2025 may not be indicative of our operating results for the full year. The Condensed Consolidated Financial Statements contained in this Quarterly Report should be read in conjunction with our 2024 Consolidated Financial Statements contained in our 2024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reported on a 52 or 53-week year. For presentation purposes, annual and quarterly information in the Condensed Consolidated Financial Statements and accompanying notes are presented as ended March 31, 2024, December 31, 2024 and March 31, 2025. The actual dates of our annual and quarterly periods are March 31, 2024, December 29, 2024 and March 30, 2025, respectively. Unless otherwise indicated, references in this report to “we”, “us” or “our” refer to CompX International Inc. and its subsidiaries, taken as a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415" w:name="Tc_JGPku2TVz0SXYfmTpHoQgA_37_5"/>
      <w:bookmarkStart w:id="416" w:name="Tc_u8KeWNcREESp3Na6D014Tg_37_2"/>
      <w:bookmarkStart w:id="417" w:name="Tc_CcjIt4sY20O2362hzlqF1w_37_0"/>
      <w:bookmarkStart w:id="418" w:name="Tc__dh800HEAk-hqf295t8Prg_36_0"/>
      <w:bookmarkStart w:id="419" w:name="Tc_OygKRT89iUSNoupp_eeR-A_35_5"/>
      <w:bookmarkStart w:id="420" w:name="Tc_9DGbvrZwLUeksGCjhg7IRw_35_2"/>
      <w:bookmarkStart w:id="421" w:name="Tc_VuyddBKnpEuNH78Z6js9jg_35_0"/>
      <w:bookmarkStart w:id="422" w:name="Tc_-ykI0d-kSUitj9_0YdsTig_34_0"/>
      <w:bookmarkStart w:id="423" w:name="Tc_AXLoQP1eOUaE8JaJVVfHnQ_32_5"/>
      <w:bookmarkStart w:id="424" w:name="Tc_TAmLZXEAc0OjLVesEN47qg_32_2"/>
      <w:bookmarkStart w:id="425" w:name="Tc_0ZoCmp7tP0WrSG9akP5F2Q_32_0"/>
      <w:bookmarkStart w:id="426" w:name="Tc_sQ5B__Uq3k2GZxYLa8zrpA_31_0"/>
      <w:bookmarkStart w:id="427" w:name="Tc_ZThRfc8iS0GkmysrUCRI0w_30_0"/>
      <w:bookmarkStart w:id="428" w:name="Tc_4VkqDbEOX0Sz6mjlgesM5w_29_0"/>
      <w:bookmarkStart w:id="429" w:name="Tc_0HJOcih2A0GazHB2JinSew_28_0"/>
      <w:bookmarkStart w:id="430" w:name="Tc_NLMrVvyx80GzLnG-gm9uYg_27_0"/>
      <w:bookmarkStart w:id="431" w:name="Tc_CcfkG1JqJUqx_GvmmxWoOg_26_5"/>
      <w:bookmarkStart w:id="432" w:name="Tc_k2FB8R-KxkCK8zYpFWGfQA_26_2"/>
      <w:bookmarkStart w:id="433" w:name="Tc_TzNZaJHbbkmhR6MOVc0iMQ_26_0"/>
      <w:bookmarkStart w:id="434" w:name="Tc_03r-l_LRBUqBRGZv1SPG6A_25_0"/>
      <w:bookmarkStart w:id="435" w:name="Tc_SSob3j_eyEaVmtpgWhDo7w_23_5"/>
      <w:bookmarkStart w:id="436" w:name="Tc_Vmt3IkJHWECAkoRqX38Uow_23_2"/>
      <w:bookmarkStart w:id="437" w:name="Tc_Honz-MM_aEashSP3yHXqDA_23_0"/>
      <w:bookmarkStart w:id="438" w:name="Tc_0VoJScNTbU-QTWiESek7dA_22_0"/>
      <w:bookmarkStart w:id="439" w:name="Tc_yk-6ptGc0UOwCJNFagyaoA_21_5"/>
      <w:bookmarkStart w:id="440" w:name="Tc_tKE7_2Py_Eem1NBIfBZIBg_21_2"/>
      <w:bookmarkStart w:id="441" w:name="Tc_lnEkUYrJM0CO0bZLO3-AHg_21_0"/>
      <w:bookmarkStart w:id="442" w:name="Tc_VTSVk9tT2UefrLSA1Zp6zw_20_0"/>
      <w:bookmarkStart w:id="443" w:name="Tc_2-D7DHXR_0WbWT-BA8baXA_18_5"/>
      <w:bookmarkStart w:id="444" w:name="Tc_e3QrKDPFzUumMLeqEyYSAw_18_2"/>
      <w:bookmarkStart w:id="445" w:name="Tc_mTT40X0brUqriUMOHKM5yw_18_0"/>
      <w:bookmarkStart w:id="446" w:name="Tc_J_5Kklj8EEqoqhTfYTUooQ_17_0"/>
      <w:bookmarkStart w:id="447" w:name="Tc_skaaNE5lG0qBB8H225Wjog_16_5"/>
      <w:bookmarkStart w:id="448" w:name="Tc_4HKsJ4ScEEOuKVmjzPapGQ_16_2"/>
      <w:bookmarkStart w:id="449" w:name="Tc_fx91R_XSeEOusbiKaHwsig_16_0"/>
      <w:bookmarkStart w:id="450" w:name="Tc_6wys0l9h90iBk2GHR9JwsA_15_0"/>
      <w:bookmarkStart w:id="451" w:name="Tc_mAjYBC_AD0iloKDGBgWIJA_13_5"/>
      <w:bookmarkStart w:id="452" w:name="Tc__4yRP_jDTUia2wuLVKsAKw_13_2"/>
      <w:bookmarkStart w:id="453" w:name="Tc_jccoP-l6hEqhv5TOf4z7wA_13_0"/>
      <w:bookmarkStart w:id="454" w:name="Tc_yktAICcbtkynSdYLE4JDwQ_12_0"/>
      <w:bookmarkStart w:id="455" w:name="Tc_DWk8CPicREmgYbstPJoyCw_11_5"/>
      <w:bookmarkStart w:id="456" w:name="Tc_fTWkDJGGkk6TB6jIOXCk6w_11_2"/>
      <w:bookmarkStart w:id="457" w:name="Tc_dGn1b9kg0UiNT6FwdBe_HQ_11_0"/>
      <w:bookmarkStart w:id="458" w:name="Tc_ejq17zPbzUW52OFwP49kew_10_0"/>
      <w:bookmarkStart w:id="459" w:name="Tc_siVjv8DLQkarPqFGbdRQ4A_8_5"/>
      <w:bookmarkStart w:id="460" w:name="Tc_XZFhQgIZOU2zp4ptQSgeFg_8_2"/>
      <w:bookmarkStart w:id="461" w:name="Tc_aapzSmD8X0W4dGhLxSVOpg_8_0"/>
      <w:bookmarkStart w:id="462" w:name="Tc_olx-kKsrl0u-lXbjk0rnbg_7_0"/>
      <w:bookmarkStart w:id="463" w:name="Tc_AVoNwhl6ZU6U2OJgGBejXw_6_5"/>
      <w:bookmarkStart w:id="464" w:name="Tc_Zxa6R-DyOUG9wMCFfzsEjA_6_2"/>
      <w:bookmarkStart w:id="465" w:name="Tc_Erk7VslkL0ajBD9CpZLmkg_6_0"/>
      <w:bookmarkStart w:id="466" w:name="Tc_c9-qqTC0HUqI3mPzWiTcTw_5_0"/>
      <w:bookmarkStart w:id="467" w:name="Tc_5ogqOnGieEq49RyMkUJNyQ_4_2"/>
      <w:bookmarkStart w:id="468" w:name="Tc_FHEob5Mld0esx-wae6z8_A_3_5"/>
      <w:bookmarkStart w:id="469" w:name="Tc_rVSx7gRSSk-qGWwQcANstQ_3_2"/>
      <w:bookmarkStart w:id="470" w:name="Tc_FMZet2gOWkG7Fe8-3Hn9tQ_2_2"/>
      <w:bookmarkStart w:id="471" w:name="Tc_mZ2A6AmJLUKURLE_OVWwhg_1_2"/>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Fonts w:ascii="Times New Roman;Times;serif" w:hAnsi="Times New Roman;Times;serif"/>
          <w:b/>
          <w:sz w:val="20"/>
        </w:rPr>
        <w:t>Note 2 – Business segment information:</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Our chief operating decision maker (“CODM”)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w:t>
      </w:r>
    </w:p>
    <w:p>
      <w:pPr>
        <w:pStyle w:val="TextBody"/>
        <w:bidi w:val="0"/>
        <w:spacing w:before="0" w:after="0"/>
        <w:ind w:left="0" w:right="0" w:hanging="0"/>
        <w:jc w:val="left"/>
        <w:rPr/>
      </w:pPr>
      <w:r>
        <w:rPr/>
        <w:t>​</w:t>
      </w:r>
    </w:p>
    <w:tbl>
      <w:tblPr>
        <w:tblW w:w="6942" w:type="dxa"/>
        <w:jc w:val="left"/>
        <w:tblInd w:w="0" w:type="dxa"/>
        <w:tblLayout w:type="fixed"/>
        <w:tblCellMar>
          <w:top w:w="0" w:type="dxa"/>
          <w:left w:w="0" w:type="dxa"/>
          <w:bottom w:w="0" w:type="dxa"/>
          <w:right w:w="0" w:type="dxa"/>
        </w:tblCellMar>
      </w:tblPr>
      <w:tblGrid>
        <w:gridCol w:w="4441"/>
        <w:gridCol w:w="326"/>
        <w:gridCol w:w="211"/>
        <w:gridCol w:w="691"/>
        <w:gridCol w:w="326"/>
        <w:gridCol w:w="211"/>
        <w:gridCol w:w="736"/>
      </w:tblGrid>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67360" cy="175260"/>
                      <wp:effectExtent l="0" t="0" r="0" b="0"/>
                      <wp:wrapNone/>
                      <wp:docPr id="51" name="Frame5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9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30,230</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10,042</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37,971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40,272</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21,232</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6,877</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28,109</w: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8,998</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3,165</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12,163</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3,477</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924</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4,401</w: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5,521</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2,241</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7,762</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(1,893)</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5,869</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873</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6,742</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644</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301</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945</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Intersegment sales are not material. Our CODM is not regularly provided financial information related to the assets of the reportable segments, including capital expenditures, and he does not evaluate their performance or allocate resources to them based on assets. Therefore, total assets by reportable segment are not included in our segment disclosure.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72" w:name="Tc_hsJpo9b7Q0-Co3-_pnK1YQ_8_5"/>
      <w:bookmarkStart w:id="473" w:name="Tc_jBB0kaCCdkCOsQ12kigRog_8_2"/>
      <w:bookmarkStart w:id="474" w:name="Tc__FpHVz3jqUSf7h754K5ZYw_8_0"/>
      <w:bookmarkStart w:id="475" w:name="Tc_GMaA_mYNc0CVJOz4VcGlbw_7_0"/>
      <w:bookmarkStart w:id="476" w:name="Tc_dz0AQCzyK02zFRspL51SVQ_6_0"/>
      <w:bookmarkStart w:id="477" w:name="Tc_qOcwC2IhK0mkiS-qxT22Zw_5_5"/>
      <w:bookmarkStart w:id="478" w:name="Tc_vU3xxYOeME-nGbCpYPCl0A_5_2"/>
      <w:bookmarkStart w:id="479" w:name="Tc_mgnzQlDSsUyckN7pXTlljQ_5_0"/>
      <w:bookmarkStart w:id="480" w:name="Tc_lCiU6u9wEUW5TJGu8uup7w_4_0"/>
      <w:bookmarkStart w:id="481" w:name="Tc_cjj3NxbZREGg0YK87Jlzeg_3_2"/>
      <w:bookmarkStart w:id="482" w:name="Tc_tG5X5ilE9UesB5oJVUf3eQ_2_5"/>
      <w:bookmarkStart w:id="483" w:name="Tc_IX7qqZLK2EKy9lEled4NEg_2_2"/>
      <w:bookmarkStart w:id="484" w:name="Tc_ExM5RIwOlUGxGepqC5sdfw_1_5"/>
      <w:bookmarkStart w:id="485" w:name="Tc_lIFVxF1NH0ahJWoIjy4P_g_1_2"/>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Fonts w:ascii="Times New Roman;Times;serif" w:hAnsi="Times New Roman;Times;serif"/>
          <w:b/>
          <w:sz w:val="20"/>
        </w:rPr>
        <w:t>Note 3 – Accounts receivable, net:</w:t>
      </w:r>
    </w:p>
    <w:p>
      <w:pPr>
        <w:pStyle w:val="TextBody"/>
        <w:bidi w:val="0"/>
        <w:spacing w:before="0" w:after="0"/>
        <w:ind w:left="0" w:right="0" w:hanging="0"/>
        <w:jc w:val="left"/>
        <w:rPr/>
      </w:pPr>
      <w:r>
        <w:rPr/>
        <w:t>​</w:t>
      </w:r>
    </w:p>
    <w:tbl>
      <w:tblPr>
        <w:tblW w:w="5798" w:type="dxa"/>
        <w:jc w:val="left"/>
        <w:tblInd w:w="0" w:type="dxa"/>
        <w:tblLayout w:type="fixed"/>
        <w:tblCellMar>
          <w:top w:w="0" w:type="dxa"/>
          <w:left w:w="0" w:type="dxa"/>
          <w:bottom w:w="0" w:type="dxa"/>
          <w:right w:w="0" w:type="dxa"/>
        </w:tblCellMar>
      </w:tblPr>
      <w:tblGrid>
        <w:gridCol w:w="2776"/>
        <w:gridCol w:w="326"/>
        <w:gridCol w:w="310"/>
        <w:gridCol w:w="995"/>
        <w:gridCol w:w="326"/>
        <w:gridCol w:w="226"/>
        <w:gridCol w:w="839"/>
      </w:tblGrid>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96850" cy="175260"/>
                      <wp:effectExtent l="0" t="0" r="0" b="0"/>
                      <wp:wrapNone/>
                      <wp:docPr id="53" name="Frame5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31825" cy="175260"/>
                      <wp:effectExtent l="0" t="0" r="0" b="0"/>
                      <wp:wrapNone/>
                      <wp:docPr id="54" name="Frame54"/>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3510" cy="175260"/>
                      <wp:effectExtent l="0" t="0" r="0" b="0"/>
                      <wp:wrapNone/>
                      <wp:docPr id="56" name="Frame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32765" cy="175260"/>
                      <wp:effectExtent l="0" t="0" r="0" b="0"/>
                      <wp:wrapNone/>
                      <wp:docPr id="57" name="Frame5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7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12,149</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14,352</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3,748</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18,030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486" w:name="Tc_uuMQ_TRg5kq2jLcrGXdQ0g_16_5"/>
      <w:bookmarkStart w:id="487" w:name="Tc_32kUHO9Jz0KUIH7Mx-bINg_16_2"/>
      <w:bookmarkStart w:id="488" w:name="Tc_i3JZnZIoFEC7JK_HdWy0YQ_16_0"/>
      <w:bookmarkStart w:id="489" w:name="Tc_Gyi8ZoeIk0e_2n4H06awVw_15_0"/>
      <w:bookmarkStart w:id="490" w:name="Tc_tYYN5qcKHEqDSd3tmB5ltw_14_0"/>
      <w:bookmarkStart w:id="491" w:name="Tc_2AnQa6Jiqkq8PS4CjBMC6A_13_0"/>
      <w:bookmarkStart w:id="492" w:name="Tc_AhLdxEjD2U6AqT_6quaQzQ_12_0"/>
      <w:bookmarkStart w:id="493" w:name="Tc_WQbndqDb80GjlDx-O28ZIA_11_0"/>
      <w:bookmarkStart w:id="494" w:name="Tc_v5HOaOZym0WFHN-1aNpnDg_10_0"/>
      <w:bookmarkStart w:id="495" w:name="Tc_79JtZFKC20GPX46ZNkp14w_9_0"/>
      <w:bookmarkStart w:id="496" w:name="Tc_U879tsf--kKhDccjbOHVUA_8_0"/>
      <w:bookmarkStart w:id="497" w:name="Tc_qhWxY5J7ykCvQ8I8DM67rA_7_0"/>
      <w:bookmarkStart w:id="498" w:name="Tc_064CUDjuQUyETqqOkbJslA_6_0"/>
      <w:bookmarkStart w:id="499" w:name="Tc_HYFJVHShsE2MpjF-ymXWCQ_5_5"/>
      <w:bookmarkStart w:id="500" w:name="Tc_pfQJCNOgwEGKiPsor3QClA_5_2"/>
      <w:bookmarkStart w:id="501" w:name="Tc_6MZr8eygLkqwJ-hLIO0P2w_5_0"/>
      <w:bookmarkStart w:id="502" w:name="Tc_aPMVEdFi2km0YDI-dSN0oQ_4_0"/>
      <w:bookmarkStart w:id="503" w:name="Tc_V1d-RcfJhUqtrywGDbZU3g_3_2"/>
      <w:bookmarkStart w:id="504" w:name="Tc_EONq1M5lIkSdwGX2-30q_A_2_5"/>
      <w:bookmarkStart w:id="505" w:name="Tc_Q6Q1Ky1BK0WBsy1QGlTOeA_2_2"/>
      <w:bookmarkStart w:id="506" w:name="Tc_kG_5d4DN8ku8Q4XVRtm7tA_1_5"/>
      <w:bookmarkStart w:id="507" w:name="Tc_vylrfZIip0agGELX4GTWOQ_1_2"/>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4913" w:type="dxa"/>
        <w:jc w:val="left"/>
        <w:tblInd w:w="0" w:type="dxa"/>
        <w:tblLayout w:type="fixed"/>
        <w:tblCellMar>
          <w:top w:w="0" w:type="dxa"/>
          <w:left w:w="0" w:type="dxa"/>
          <w:bottom w:w="0" w:type="dxa"/>
          <w:right w:w="0" w:type="dxa"/>
        </w:tblCellMar>
      </w:tblPr>
      <w:tblGrid>
        <w:gridCol w:w="1891"/>
        <w:gridCol w:w="326"/>
        <w:gridCol w:w="310"/>
        <w:gridCol w:w="995"/>
        <w:gridCol w:w="326"/>
        <w:gridCol w:w="226"/>
        <w:gridCol w:w="839"/>
      </w:tblGrid>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96850" cy="175260"/>
                      <wp:effectExtent l="0" t="0" r="0" b="0"/>
                      <wp:wrapNone/>
                      <wp:docPr id="59" name="Frame5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31825" cy="175260"/>
                      <wp:effectExtent l="0" t="0" r="0" b="0"/>
                      <wp:wrapNone/>
                      <wp:docPr id="60" name="Frame60"/>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3510" cy="175260"/>
                      <wp:effectExtent l="0" t="0" r="0" b="0"/>
                      <wp:wrapNone/>
                      <wp:docPr id="62"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32765" cy="175260"/>
                      <wp:effectExtent l="0" t="0" r="0" b="0"/>
                      <wp:wrapNone/>
                      <wp:docPr id="63" name="Frame63"/>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91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4,137</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1,904</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6,041</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13,414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4,876</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18,290</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1,855</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4,827</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29,158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508" w:name="Tc_NF5ag6FCT0uKKxK1QH510Q_17_5"/>
      <w:bookmarkStart w:id="509" w:name="Tc_GuOVLsLC3UW9C9INokAmuA_17_2"/>
      <w:bookmarkStart w:id="510" w:name="Tc_RbiStlSrkkKlOtPmoxrUgg_17_0"/>
      <w:bookmarkStart w:id="511" w:name="Tc_Rzbo-frCLUWqSHjri4nhaw_16_0"/>
      <w:bookmarkStart w:id="512" w:name="Tc_XPUXU7mVeUWtW6Gl9b-bZw_15_0"/>
      <w:bookmarkStart w:id="513" w:name="Tc_uzr8UX31cUuLg-qbbluYig_14_0"/>
      <w:bookmarkStart w:id="514" w:name="Tc_zm0aLv9efEeOpxc-E36f2Q_13_0"/>
      <w:bookmarkStart w:id="515" w:name="Tc_jF7AtxKEl0Wod6fCI2TbvQ_12_0"/>
      <w:bookmarkStart w:id="516" w:name="Tc_y_MPQOz_lkamtAVo8siU_Q_11_0"/>
      <w:bookmarkStart w:id="517" w:name="Tc_l3JNTdHBIEC3qdsiiaYiAA_10_0"/>
      <w:bookmarkStart w:id="518" w:name="Tc_F06YEs48zU6j2JHnifWCHQ_9_0"/>
      <w:bookmarkStart w:id="519" w:name="Tc_fNylc3mLhEGUPR6T2Ua0Mg_8_3"/>
      <w:bookmarkStart w:id="520" w:name="Tc_XH6ht_wxC0mMBa9ZslrPXQ_8_0"/>
      <w:bookmarkStart w:id="521" w:name="Tc_iZ7hOwJmC0OnVH7gMML3EA_7_3"/>
      <w:bookmarkStart w:id="522" w:name="Tc_F0B832QdHEKgMiR8L0C_JQ_7_0"/>
      <w:bookmarkStart w:id="523" w:name="Tc_GCi-9WOnuU-7sofE1KwpOg_6_0"/>
      <w:bookmarkStart w:id="524" w:name="Tc_5Y1nwwtJBke6vka-MhVezA_5_5"/>
      <w:bookmarkStart w:id="525" w:name="Tc_WifmKqnFn0eILoQYREBCeA_5_2"/>
      <w:bookmarkStart w:id="526" w:name="Tc_pNU6XVlw7Um4kvNUJDkq_Q_5_0"/>
      <w:bookmarkStart w:id="527" w:name="Tc_Ic9DeYDmY0efQtTiy0PNWg_4_0"/>
      <w:bookmarkStart w:id="528" w:name="Tc_y9JxtqoJm0m_Or-tbYcCYw_3_2"/>
      <w:bookmarkStart w:id="529" w:name="Tc_tip5dBN7aUaPP-Ba9Ld4_Q_2_5"/>
      <w:bookmarkStart w:id="530" w:name="Tc_v7RSYRohZkiqs-_hzljTuw_2_2"/>
      <w:bookmarkStart w:id="531" w:name="Tc_3tJsO1MdHUOthRmsKXEWhg_1_5"/>
      <w:bookmarkStart w:id="532" w:name="Tc_Gv4o8uPfEEiIbOojuzmIVA_1_2"/>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rPr>
          <w:rFonts w:ascii="Times New Roman;Times;serif" w:hAnsi="Times New Roman;Times;serif"/>
          <w:b/>
          <w:sz w:val="20"/>
        </w:rPr>
        <w:t>Note 5 – Accounts payable and accrued liabilities:</w:t>
      </w:r>
    </w:p>
    <w:p>
      <w:pPr>
        <w:pStyle w:val="TextBody"/>
        <w:bidi w:val="0"/>
        <w:spacing w:before="0" w:after="0"/>
        <w:ind w:left="0" w:right="0" w:hanging="0"/>
        <w:jc w:val="left"/>
        <w:rPr/>
      </w:pPr>
      <w:r>
        <w:rPr/>
        <w:t>​</w:t>
      </w:r>
    </w:p>
    <w:tbl>
      <w:tblPr>
        <w:tblW w:w="6878" w:type="dxa"/>
        <w:jc w:val="left"/>
        <w:tblInd w:w="0" w:type="dxa"/>
        <w:tblLayout w:type="fixed"/>
        <w:tblCellMar>
          <w:top w:w="0" w:type="dxa"/>
          <w:left w:w="0" w:type="dxa"/>
          <w:bottom w:w="0" w:type="dxa"/>
          <w:right w:w="0" w:type="dxa"/>
        </w:tblCellMar>
      </w:tblPr>
      <w:tblGrid>
        <w:gridCol w:w="3856"/>
        <w:gridCol w:w="326"/>
        <w:gridCol w:w="310"/>
        <w:gridCol w:w="995"/>
        <w:gridCol w:w="326"/>
        <w:gridCol w:w="224"/>
        <w:gridCol w:w="841"/>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96850" cy="175260"/>
                      <wp:effectExtent l="0" t="0" r="0" b="0"/>
                      <wp:wrapNone/>
                      <wp:docPr id="65" name="Frame6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31825" cy="175260"/>
                      <wp:effectExtent l="0" t="0" r="0" b="0"/>
                      <wp:wrapNone/>
                      <wp:docPr id="66" name="Frame66"/>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2240" cy="175260"/>
                      <wp:effectExtent l="0" t="0" r="0" b="0"/>
                      <wp:wrapNone/>
                      <wp:docPr id="68" name="Frame6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34035" cy="175260"/>
                      <wp:effectExtent l="0" t="0" r="0" b="0"/>
                      <wp:wrapNone/>
                      <wp:docPr id="69" name="Frame6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87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affiliate - Contran</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9,794</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5,286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14,971</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11,094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33" w:name="Tc_fhcQNicQjE2PgiRzs-ueQw_13_5"/>
      <w:bookmarkStart w:id="534" w:name="Tc_Vb1aomDmVEOQtcOHQuundg_13_2"/>
      <w:bookmarkStart w:id="535" w:name="Tc_C8yBCKgbq0i1WHPd33o__w_13_0"/>
      <w:bookmarkStart w:id="536" w:name="Tc_rXuQumUopky436NY8ngGTw_12_6"/>
      <w:bookmarkStart w:id="537" w:name="Tc_uxxjjTeS-EqbwKXz-dlz-Q_12_0"/>
      <w:bookmarkStart w:id="538" w:name="Tc_ItE9MgWME0eSF41kWyxuog_11_5"/>
      <w:bookmarkStart w:id="539" w:name="Tc_XvdG66yCdEeALP7lHeuxhw_11_2"/>
      <w:bookmarkStart w:id="540" w:name="Tc_2CS8XtOKfUehdBy4_5hirg_11_0"/>
      <w:bookmarkStart w:id="541" w:name="Tc_542nN5599EiLWZB0QSJa-A_10_0"/>
      <w:bookmarkStart w:id="542" w:name="Tc_fG51fxjifUmYGB1GHjoGUA_8_5"/>
      <w:bookmarkStart w:id="543" w:name="Tc_HygRjw1wg0uvn6_KM1T_-A_8_2"/>
      <w:bookmarkStart w:id="544" w:name="Tc_mS-zsS906E234Kebc3dnrw_8_0"/>
      <w:bookmarkStart w:id="545" w:name="Tc_5PPXYTM_1UahBtxPCEDNzg_7_0"/>
      <w:bookmarkStart w:id="546" w:name="Tc_DoFbVUt2Q0Swzk_jUVMPVA_6_0"/>
      <w:bookmarkStart w:id="547" w:name="Tc_yhEAbLGNCEC-JyhBHkvATg_5_5"/>
      <w:bookmarkStart w:id="548" w:name="Tc_RpKgZ1NDmEWURM5NjpXSPA_5_2"/>
      <w:bookmarkStart w:id="549" w:name="Tc_3rAynJ2_NU-P0BBLSqW6Rw_5_0"/>
      <w:bookmarkStart w:id="550" w:name="Tc_ooHfLjIHZ0Kb0EVo9YsqCg_4_2"/>
      <w:bookmarkStart w:id="551" w:name="Tc_QvBe9lypKk67U9187IdAxQ_3_5"/>
      <w:bookmarkStart w:id="552" w:name="Tc_M2zi_l4J2U-xtuCZbZ8c4A_3_2"/>
      <w:bookmarkStart w:id="553" w:name="Tc_6cxPkevqQ0KqwVc1lzcqpg_2_2"/>
      <w:bookmarkStart w:id="554" w:name="Tc_ZCYA7hxfc0yVXwLaXo7eng_1_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Pr>
          <w:rFonts w:ascii="Times New Roman;Times;serif" w:hAnsi="Times New Roman;Times;serif"/>
          <w:b/>
          <w:sz w:val="20"/>
        </w:rPr>
        <w:t>Note 6 – Income taxes:</w:t>
      </w:r>
    </w:p>
    <w:p>
      <w:pPr>
        <w:pStyle w:val="TextBody"/>
        <w:bidi w:val="0"/>
        <w:spacing w:before="0" w:after="0"/>
        <w:ind w:left="0" w:right="0" w:hanging="0"/>
        <w:jc w:val="left"/>
        <w:rPr/>
      </w:pPr>
      <w:r>
        <w:rPr/>
        <w:t>​</w:t>
      </w:r>
    </w:p>
    <w:tbl>
      <w:tblPr>
        <w:tblW w:w="6987" w:type="dxa"/>
        <w:jc w:val="left"/>
        <w:tblInd w:w="0" w:type="dxa"/>
        <w:tblLayout w:type="fixed"/>
        <w:tblCellMar>
          <w:top w:w="0" w:type="dxa"/>
          <w:left w:w="0" w:type="dxa"/>
          <w:bottom w:w="0" w:type="dxa"/>
          <w:right w:w="0" w:type="dxa"/>
        </w:tblCellMar>
      </w:tblPr>
      <w:tblGrid>
        <w:gridCol w:w="4666"/>
        <w:gridCol w:w="326"/>
        <w:gridCol w:w="211"/>
        <w:gridCol w:w="571"/>
        <w:gridCol w:w="326"/>
        <w:gridCol w:w="211"/>
        <w:gridCol w:w="676"/>
      </w:tblGrid>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62585" cy="175260"/>
                      <wp:effectExtent l="0" t="0" r="0" b="0"/>
                      <wp:wrapNone/>
                      <wp:docPr id="72" name="Frame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29260" cy="175260"/>
                      <wp:effectExtent l="0" t="0" r="0" b="0"/>
                      <wp:wrapNone/>
                      <wp:docPr id="75" name="Frame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98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tax expense, at the U.S. federal statutory </w:t>
              <w:br/>
              <w:t>  income tax rate of 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1,416</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1,611</w:t>
            </w:r>
          </w:p>
        </w:tc>
      </w:tr>
      <w:tr>
        <w:trPr/>
        <w:tc>
          <w:tcPr>
            <w:tcW w:w="46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1,611</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 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1,611</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7 – 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of the uncertainty of the liability and inability to reasonably estimate the liability, if any. We currently believe the disposition of all claims and disputes, individually or in the aggregate, should not have a material adverse effect on our Consolidated Financial Statements, results of operations or liquidity.</w:t>
      </w:r>
    </w:p>
    <w:p>
      <w:pPr>
        <w:pStyle w:val="TextBody"/>
        <w:bidi w:val="0"/>
        <w:spacing w:before="240" w:after="240"/>
        <w:ind w:left="0" w:right="0" w:hanging="0"/>
        <w:jc w:val="left"/>
        <w:rPr>
          <w:rFonts w:ascii="Times New Roman;Times;serif" w:hAnsi="Times New Roman;Times;serif"/>
          <w:b/>
          <w:sz w:val="20"/>
        </w:rPr>
      </w:pPr>
      <w:bookmarkStart w:id="555" w:name="Tc_m9TxanDD_kmY7JHHt_2fag_5_11"/>
      <w:bookmarkStart w:id="556" w:name="Tc_kV-O0sXGGUqMbsP4DGdZNQ_5_8"/>
      <w:bookmarkStart w:id="557" w:name="Tc_nPTuN7SfLU2KuMg3cmXp7g_5_5"/>
      <w:bookmarkStart w:id="558" w:name="Tc_u9Xl9W7K-UGslb6qB912fQ_5_2"/>
      <w:bookmarkStart w:id="559" w:name="Tc_JgZ9Tobt90qTno5ktWnsCg_5_0"/>
      <w:bookmarkStart w:id="560" w:name="Tc_QDJG4fl2ykGgp0JJ5mcchQ_4_2"/>
      <w:bookmarkStart w:id="561" w:name="Tc_lzxAPa1GkUmxZDyREt9uYA_3_11"/>
      <w:bookmarkStart w:id="562" w:name="Tc_qZv_QNV4wEmz9ssHih0cJA_3_8"/>
      <w:bookmarkStart w:id="563" w:name="Tc_XcH1PEqQ7kWhhhS-bfeOng_3_5"/>
      <w:bookmarkStart w:id="564" w:name="Tc_CQXyvT6x-Ee3wf0WDRPhbQ_3_2"/>
      <w:bookmarkStart w:id="565" w:name="Tc_2s0deC8YFUeAu4K2-vapLA_2_11"/>
      <w:bookmarkStart w:id="566" w:name="Tc_aGazlsdjC0GOC48TUM5mNQ_2_8"/>
      <w:bookmarkStart w:id="567" w:name="Tc_bYWp69reG0iTxduwf4k0Yw_2_5"/>
      <w:bookmarkStart w:id="568" w:name="Tc_dCklqFk2CU2sRmiB5h_9BA_2_2"/>
      <w:bookmarkStart w:id="569" w:name="Tc_hxVAOfia7EC1BwfijAthBA_1_8"/>
      <w:bookmarkStart w:id="570" w:name="Tc_H9Tp3lcndUOPbSoDin4pNA_1_2"/>
      <w:bookmarkStart w:id="571" w:name="_0ec9ecd1_2b8c_44de_bc15_87f40132d8c3"/>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r>
        <w:rPr>
          <w:rFonts w:ascii="Times New Roman;Times;serif" w:hAnsi="Times New Roman;Times;serif"/>
          <w:b/>
          <w:sz w:val="20"/>
        </w:rPr>
        <w:t>Note 8 –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tbl>
      <w:tblPr>
        <w:tblW w:w="7251" w:type="dxa"/>
        <w:jc w:val="left"/>
        <w:tblInd w:w="0" w:type="dxa"/>
        <w:tblLayout w:type="fixed"/>
        <w:tblCellMar>
          <w:top w:w="0" w:type="dxa"/>
          <w:left w:w="0" w:type="dxa"/>
          <w:bottom w:w="0" w:type="dxa"/>
          <w:right w:w="0" w:type="dxa"/>
        </w:tblCellMar>
      </w:tblPr>
      <w:tblGrid>
        <w:gridCol w:w="2266"/>
        <w:gridCol w:w="326"/>
        <w:gridCol w:w="214"/>
        <w:gridCol w:w="687"/>
        <w:gridCol w:w="326"/>
        <w:gridCol w:w="211"/>
        <w:gridCol w:w="676"/>
        <w:gridCol w:w="326"/>
        <w:gridCol w:w="214"/>
        <w:gridCol w:w="687"/>
        <w:gridCol w:w="326"/>
        <w:gridCol w:w="211"/>
        <w:gridCol w:w="781"/>
      </w:tblGrid>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5890" cy="175260"/>
                      <wp:effectExtent l="0" t="0" r="0" b="0"/>
                      <wp:wrapNone/>
                      <wp:docPr id="77" name="Frame7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6245" cy="175260"/>
                      <wp:effectExtent l="0" t="0" r="0" b="0"/>
                      <wp:wrapNone/>
                      <wp:docPr id="78" name="Frame78"/>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29260" cy="175260"/>
                      <wp:effectExtent l="0" t="0" r="0" b="0"/>
                      <wp:wrapNone/>
                      <wp:docPr id="81" name="Frame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5890" cy="175260"/>
                      <wp:effectExtent l="0" t="0" r="0" b="0"/>
                      <wp:wrapNone/>
                      <wp:docPr id="83" name="Frame8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6245" cy="175260"/>
                      <wp:effectExtent l="0" t="0" r="0" b="0"/>
                      <wp:wrapNone/>
                      <wp:docPr id="84" name="Frame8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1"/>
              <w:ind w:left="0" w:right="0" w:hanging="0"/>
              <w:jc w:val="left"/>
              <w:rPr/>
            </w:pPr>
            <w:r>
              <w:rPr/>
              <w:t>​</w:t>
            </w:r>
          </w:p>
        </w:tc>
        <w:tc>
          <w:tcPr>
            <w:tcW w:w="22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2025</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25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5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56,128</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 See Notes 3 and 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Related party transactions: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2026. Loans made to Valhi at any time under the agreement are at our discretion. At March 31, 2025,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outstanding principal balance receivable from Valhi under the promissory note was $9.3 million. Interest income (including unused commitment fees) on our loan to Valhi was $.3 million and $.2 million for the three months ended March 31, 2024 and 2025,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10 – 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ASU 2023-09, Income Taxes (Topic 740): </w:t>
      </w:r>
      <w:r>
        <w:rPr>
          <w:rFonts w:ascii="Times New Roman;Times;serif" w:hAnsi="Times New Roman;Times;serif"/>
          <w:i/>
          <w:sz w:val="20"/>
        </w:rPr>
        <w:t>Improvements to Income Tax Disclosures</w:t>
      </w:r>
      <w:r>
        <w:rPr>
          <w:rFonts w:ascii="Times New Roman;Times;serif" w:hAnsi="Times New Roman;Times;serif"/>
          <w:sz w:val="20"/>
        </w:rPr>
        <w:t>. The ASU requires additional annual disclosure and disaggregation for the rate reconciliation, income taxes paid and income tax expense by federal, state and non-U.S. tax jurisdictions. In addition, the standard increases the disclosure requirements for items included in the rate reconciliation that meet a quantitative threshold. The ASU is effective for us beginning with our 2025 Annual Report. The ASU may be applied prospectively; however, entities have the option to apply it retrospectively. We are in the process of evaluating the additional disclosure requirements.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572" w:name="ITEM2MANAGEMENTSDISCUSSIONANDANALYSIS_62"/>
      <w:bookmarkStart w:id="573" w:name="_a10d1c6c_4d7a_46bc_a74a_260c30c4d5c5"/>
      <w:bookmarkStart w:id="574" w:name="ITEM2MANAGEMENTSDISCUSSIONANDANALYSIS_62"/>
      <w:bookmarkStart w:id="575" w:name="_a10d1c6c_4d7a_46bc_a74a_260c30c4d5c5"/>
      <w:bookmarkEnd w:id="574"/>
      <w:bookmarkEnd w:id="575"/>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our use of certain permitted chemicals in our production process) or other actions;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Overview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In the first quarter of 2025 operating income increased to $5.9 million compared to $3.7 million in the first quarter of 2024. The increase in operating income in the first quarter of 2025 compared to 2024 is primarily due to higher Marine Components sales and gross margin.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tbl>
      <w:tblPr>
        <w:tblW w:w="6747" w:type="dxa"/>
        <w:jc w:val="left"/>
        <w:tblInd w:w="0" w:type="dxa"/>
        <w:tblLayout w:type="fixed"/>
        <w:tblCellMar>
          <w:top w:w="0" w:type="dxa"/>
          <w:left w:w="0" w:type="dxa"/>
          <w:bottom w:w="0" w:type="dxa"/>
          <w:right w:w="0" w:type="dxa"/>
        </w:tblCellMar>
      </w:tblPr>
      <w:tblGrid>
        <w:gridCol w:w="2506"/>
        <w:gridCol w:w="326"/>
        <w:gridCol w:w="211"/>
        <w:gridCol w:w="676"/>
        <w:gridCol w:w="146"/>
        <w:gridCol w:w="571"/>
        <w:gridCol w:w="361"/>
        <w:gridCol w:w="211"/>
        <w:gridCol w:w="676"/>
        <w:gridCol w:w="14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91310" cy="175260"/>
                      <wp:effectExtent l="0" t="0" r="0" b="0"/>
                      <wp:wrapNone/>
                      <wp:docPr id="88" name="Frame8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29260" cy="175260"/>
                      <wp:effectExtent l="0" t="0" r="0" b="0"/>
                      <wp:wrapNone/>
                      <wp:docPr id="91"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2710" cy="175260"/>
                      <wp:effectExtent l="0" t="0" r="0" b="0"/>
                      <wp:wrapNone/>
                      <wp:docPr id="92" name="Frame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9235" cy="175260"/>
                      <wp:effectExtent l="0" t="0" r="0" b="0"/>
                      <wp:wrapNone/>
                      <wp:docPr id="94" name="Frame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6" name="Frame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2710" cy="175260"/>
                      <wp:effectExtent l="0" t="0" r="0" b="0"/>
                      <wp:wrapNone/>
                      <wp:docPr id="97" name="Frame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62585" cy="175260"/>
                      <wp:effectExtent l="0" t="0" r="0" b="0"/>
                      <wp:wrapNone/>
                      <wp:docPr id="98" name="Frame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5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6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r>
      <w:tr>
        <w:trPr/>
        <w:tc>
          <w:tcPr>
            <w:tcW w:w="674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37,971</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40,272</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28,304</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28,109</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69.8</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9,667</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12,163</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5,952</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6,294</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3,715</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5,869</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Net sales increased $2.3 million in the first quarter of 2025 compared to the same period in 2024 due to higher Marine Components sales primarily to the towboat and government markets and to a lesser extent higher Security Products sales primarily to the government security market. See segment discussion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as a percentage of sales decreased 4.7% in the first quarter of 2025 compared to the same period in 2024. As a result, gross margin as a percentage of sales increased over the same period. Gross margin percentage increased in the first quarter of 2025 compared to the same period in 2024 primarily due to higher gross margin percentage at Marine Components. See segment discussion below.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and administrative costs relating to business unit and corporate management activities, as well as any gains and losses on property and equipment. Operating costs and expenses for the first quarter of 2025 increased $.3 million compared to the same period in 2024 primarily due to higher employee salaries and benefits at both segments. Operating costs and expenses as a percentage of net sales for the first quarter of 2025 were comparable to the first quarter of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As a percentage of net sales, operating income for the first quarter of 2025 increased compared to the same period of 2024 and was primarily impacted by the factors impacting sales, cost of sales, gross margin and operating costs and expenses. See segment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Interest income decreased $.4 million in the first quarter of 2025 compared to the same period in 2024 primarily due to lower average interest rates and decreased cash balances.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 A tabular reconciliation of our actual tax provision to the U.S. federal statutory income tax rate is included in Note 6 to the Condensed Consolidated Financial Statements. Our operations are wholly within the U.S. and therefore our effective income tax rate is primarily reflective of the U.S. federal statutory rate and applicable state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performance indicators for our segments are gross margin and operating income.</w:t>
      </w:r>
    </w:p>
    <w:tbl>
      <w:tblPr>
        <w:tblW w:w="6515" w:type="dxa"/>
        <w:jc w:val="left"/>
        <w:tblInd w:w="0" w:type="dxa"/>
        <w:tblLayout w:type="fixed"/>
        <w:tblCellMar>
          <w:top w:w="0" w:type="dxa"/>
          <w:left w:w="0" w:type="dxa"/>
          <w:bottom w:w="0" w:type="dxa"/>
          <w:right w:w="0" w:type="dxa"/>
        </w:tblCellMar>
      </w:tblPr>
      <w:tblGrid>
        <w:gridCol w:w="2506"/>
        <w:gridCol w:w="326"/>
        <w:gridCol w:w="211"/>
        <w:gridCol w:w="676"/>
        <w:gridCol w:w="361"/>
        <w:gridCol w:w="211"/>
        <w:gridCol w:w="676"/>
        <w:gridCol w:w="391"/>
        <w:gridCol w:w="751"/>
        <w:gridCol w:w="40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91310" cy="175260"/>
                      <wp:effectExtent l="0" t="0" r="0" b="0"/>
                      <wp:wrapNone/>
                      <wp:docPr id="100" name="Frame10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29235" cy="175260"/>
                      <wp:effectExtent l="0" t="0" r="0" b="0"/>
                      <wp:wrapNone/>
                      <wp:docPr id="104" name="Frame10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9260" cy="175260"/>
                      <wp:effectExtent l="0" t="0" r="0" b="0"/>
                      <wp:wrapNone/>
                      <wp:docPr id="106" name="Frame1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48285" cy="175260"/>
                      <wp:effectExtent l="0" t="0" r="0" b="0"/>
                      <wp:wrapNone/>
                      <wp:docPr id="107" name="Frame10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76885" cy="175260"/>
                      <wp:effectExtent l="0" t="0" r="0" b="0"/>
                      <wp:wrapNone/>
                      <wp:docPr id="108" name="Frame10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57810" cy="175260"/>
                      <wp:effectExtent l="0" t="0" r="0" b="0"/>
                      <wp:wrapNone/>
                      <wp:docPr id="109" name="Frame10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406" w:type="dxa"/>
            <w:tcBorders/>
            <w:vAlign w:val="center"/>
          </w:tcPr>
          <w:p>
            <w:pPr>
              <w:pStyle w:val="TableContents"/>
              <w:bidi w:val="0"/>
              <w:spacing w:before="0" w:after="1"/>
              <w:ind w:left="0" w:right="0" w:hanging="0"/>
              <w:jc w:val="left"/>
              <w:rPr/>
            </w:pPr>
            <w:r>
              <w:rPr/>
              <w:t>    </w:t>
            </w:r>
          </w:p>
        </w:tc>
      </w:tr>
      <w:tr>
        <w:trPr/>
        <w:tc>
          <w:tcPr>
            <w:tcW w:w="651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30,230</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21,115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21,232</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8,998</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3,477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5,521</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29.8</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Security Products net sales increased 1% in the first quarter of 2025 compared to the same period last year primarily due to $1.6 million higher sales to the government security market and $.3 million higher sales to the healthcare market, substantially offset by lower sales to various other original equipment manufacturing (“OEM”) markets including the transportation, tool storage, bank equipment and vending/gaming markets. Gross margin and operating income as a percentage of net sales in the first quarter of 2025 were comparable to the same period in 2024.</w:t>
      </w:r>
    </w:p>
    <w:tbl>
      <w:tblPr>
        <w:tblW w:w="6410" w:type="dxa"/>
        <w:jc w:val="left"/>
        <w:tblInd w:w="0" w:type="dxa"/>
        <w:tblLayout w:type="fixed"/>
        <w:tblCellMar>
          <w:top w:w="0" w:type="dxa"/>
          <w:left w:w="0" w:type="dxa"/>
          <w:bottom w:w="0" w:type="dxa"/>
          <w:right w:w="0" w:type="dxa"/>
        </w:tblCellMar>
      </w:tblPr>
      <w:tblGrid>
        <w:gridCol w:w="2506"/>
        <w:gridCol w:w="326"/>
        <w:gridCol w:w="211"/>
        <w:gridCol w:w="571"/>
        <w:gridCol w:w="361"/>
        <w:gridCol w:w="211"/>
        <w:gridCol w:w="676"/>
        <w:gridCol w:w="391"/>
        <w:gridCol w:w="751"/>
        <w:gridCol w:w="40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91310" cy="175260"/>
                      <wp:effectExtent l="0" t="0" r="0" b="0"/>
                      <wp:wrapNone/>
                      <wp:docPr id="110" name="Frame11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62585" cy="175260"/>
                      <wp:effectExtent l="0" t="0" r="0" b="0"/>
                      <wp:wrapNone/>
                      <wp:docPr id="113" name="Frame1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9235" cy="175260"/>
                      <wp:effectExtent l="0" t="0" r="0" b="0"/>
                      <wp:wrapNone/>
                      <wp:docPr id="114" name="Frame1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29260" cy="175260"/>
                      <wp:effectExtent l="0" t="0" r="0" b="0"/>
                      <wp:wrapNone/>
                      <wp:docPr id="116" name="Frame1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8285" cy="175260"/>
                      <wp:effectExtent l="0" t="0" r="0" b="0"/>
                      <wp:wrapNone/>
                      <wp:docPr id="117" name="Frame11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76885" cy="175260"/>
                      <wp:effectExtent l="0" t="0" r="0" b="0"/>
                      <wp:wrapNone/>
                      <wp:docPr id="118" name="Frame11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57810" cy="175260"/>
                      <wp:effectExtent l="0" t="0" r="0" b="0"/>
                      <wp:wrapNone/>
                      <wp:docPr id="119" name="Frame11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406" w:type="dxa"/>
            <w:tcBorders/>
            <w:vAlign w:val="center"/>
          </w:tcPr>
          <w:p>
            <w:pPr>
              <w:pStyle w:val="TableContents"/>
              <w:bidi w:val="0"/>
              <w:spacing w:before="0" w:after="1"/>
              <w:ind w:left="0" w:right="0" w:hanging="0"/>
              <w:jc w:val="left"/>
              <w:rPr/>
            </w:pPr>
            <w:r>
              <w:rPr/>
              <w:t>    </w:t>
            </w:r>
          </w:p>
        </w:tc>
      </w:tr>
      <w:tr>
        <w:trPr/>
        <w:tc>
          <w:tcPr>
            <w:tcW w:w="641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10,042</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6,877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3,165</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924</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2,241</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6,491</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31.5</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Marine Components net sales increased 24% in the first quarter of 2025 compared to the same period last year primarily due to $1.7 million higher sales to the towboat market and $1.2 million higher sales to the government market, partially offset by lower sales to various other markets including $.3 million lower sales to the center console market. Gross margin as a percentage of net sales increased in the first quarter of 2025 compared to the same period last year primarily due to lower cost inventory produced during the fourth quarter of 2024 and sold in the first quarter of 2025, as well as, increased coverage of fixed costs. Operating income margin increased primarily due to increases in gross margin discussed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First quarter sales and operating income exceeded prior year on the strength of improved demand at Marine Components, primarily in the towboat and government markets. Security Products sales improved slightly from prior year, as increased sales to the government security market were mostly offset by softness across a variety of markets. The raw material price increases we began experiencing in the third quarter of 2024 have continued through the first quarter of 2025 and we are starting to see some surcharges related to tariffs on certain commodity raw materials.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expect Security Products net sales in 2025 to improve modestly over 2024, and we expect gross margin and operating income percentages in 2025 to be slightly above 2024 due to price increases implemented in the first quarter and an improved Security Products product mix. We expect Marine Components net sales to increase in 2025 predominantly due to higher expected sales to the government and industrial markets. In the first quarter Marine Components benefited from an increase in sales related to a one-time stocking event at a towboat OEM customer. For the remainder of the year, we expect demand from the towboat market to be consistent with 2024. Overall, we expect Marine Components to have improved gross margins and operating income percentages in 2025 compared to 2024 due to increased coverage of fixed costs on higher expected sales volumes.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manufacture substantially all of our products in the U.S. and source a substantial majority of our raw materials from U.S. suppliers.  We also source certain components, primarily electronic components from Asia, including China. In anticipation of the U.S. federal government tariffs announcements, we increased purchases of certain electronic components and other components to mitigate the potential near-term impact of tariffs. As noted above, we have recently experienced some raw material and component price increases related to tariffs. We believe we can increase selling prices to our customers to recoup our increased raw material costs, although the extent to which we can fully recover such costs will depend on a variety of factors including the ultimate tariff rate, the length of time tariffs are in effect, and the ability of our customers to substitute alternative products. We will continue to monitor current and anticipated near-term customer demand levels to ensure our production capabilities and inventories are aligned accordingly.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Currently, our supply chains are stable and transportation and logistical delays are minimal. We have in the past experienced global and domestic supply chain challenges, and any future impacts on our operations will depend on, among other things, any future disruption in our operations or our suppliers’ operations, the effect of tariffs and the impact of economic conditions, consumer confidence and geopolitical events on demand for our products or our customers’ and suppliers’ operations, all of which remain uncertain and cannot be predicted.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Consolidated cash flows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Trends in cash flows from operating activities, excluding changes in assets and liabilities, 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report a net use of cash from operating activities in the first three months of each year due to seasonal changes in the level of our working capital. Our net cash provided by operating activities for the first three months of 2025 decreased by $1.8 million as compared to the first three months of 2024. The decrease in net cash provided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$5.1 million decrease in the amount of net cash provided by relative changes in our inventories, receivables, prepaids, payables and non-tax related accruals in 2025;</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$2.2 million increase in operating income in 2025; and</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$1.1 million decrease in cash paid for taxes in 2025 due to the relative timing of payments.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working capital can have a significant effect on cash flows from operating activities. As shown below, the change in our average days sales outstanding from December 31, 2024 to March 31, 2025 varied by segment primarily as a result of relative changes in the timing of sales and collections relative to the end of the quarter. For comparative purposes, we have provided December 31, 2023 and March 31, 2024 numbers below.</w:t>
      </w:r>
    </w:p>
    <w:tbl>
      <w:tblPr>
        <w:tblW w:w="1041"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8740" cy="175260"/>
                      <wp:effectExtent l="0" t="0" r="0" b="0"/>
                      <wp:wrapNone/>
                      <wp:docPr id="120" name="Frame12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97790" cy="175260"/>
                      <wp:effectExtent l="0" t="0" r="0" b="0"/>
                      <wp:wrapNone/>
                      <wp:docPr id="128" name="Frame1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164" w:type="dxa"/>
        <w:jc w:val="left"/>
        <w:tblInd w:w="0" w:type="dxa"/>
        <w:tblLayout w:type="fixed"/>
        <w:tblCellMar>
          <w:top w:w="0" w:type="dxa"/>
          <w:left w:w="0" w:type="dxa"/>
          <w:bottom w:w="0" w:type="dxa"/>
          <w:right w:w="0" w:type="dxa"/>
        </w:tblCellMar>
      </w:tblPr>
      <w:tblGrid>
        <w:gridCol w:w="2161"/>
        <w:gridCol w:w="326"/>
        <w:gridCol w:w="1306"/>
        <w:gridCol w:w="326"/>
        <w:gridCol w:w="1021"/>
        <w:gridCol w:w="326"/>
        <w:gridCol w:w="1306"/>
        <w:gridCol w:w="326"/>
        <w:gridCol w:w="1066"/>
      </w:tblGrid>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Days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 Days</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 Days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 Days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 Days</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 Days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 Days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As shown below, our average number of days in inventory at December 31, 2024 was comparable to March 31, 2025 as the increase at Security Products was offset by the decline at Marine Components. Security Products days in inventory at March 31, 2025 increased from December 31, 2024 primarily due to increased inventory to meet current and expected customer demand. The average number of days in inventory for Marine Components declined from December 31, 2024 to March 31, 2025 due to sales growth in the first quarter of 2025. For comparative purposes, we have provided December 31, 2023 and March 31, 2024 numbers below.</w:t>
      </w:r>
    </w:p>
    <w:tbl>
      <w:tblPr>
        <w:tblW w:w="8003" w:type="dxa"/>
        <w:jc w:val="left"/>
        <w:tblInd w:w="0" w:type="dxa"/>
        <w:tblLayout w:type="fixed"/>
        <w:tblCellMar>
          <w:top w:w="0" w:type="dxa"/>
          <w:left w:w="0" w:type="dxa"/>
          <w:bottom w:w="0" w:type="dxa"/>
          <w:right w:w="0" w:type="dxa"/>
        </w:tblCellMar>
      </w:tblPr>
      <w:tblGrid>
        <w:gridCol w:w="1891"/>
        <w:gridCol w:w="326"/>
        <w:gridCol w:w="1306"/>
        <w:gridCol w:w="326"/>
        <w:gridCol w:w="1021"/>
        <w:gridCol w:w="326"/>
        <w:gridCol w:w="1306"/>
        <w:gridCol w:w="326"/>
        <w:gridCol w:w="1021"/>
        <w:gridCol w:w="154"/>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00785" cy="175260"/>
                      <wp:effectExtent l="0" t="0" r="0" b="0"/>
                      <wp:wrapNone/>
                      <wp:docPr id="129" name="Frame129"/>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29310" cy="175260"/>
                      <wp:effectExtent l="0" t="0" r="0" b="0"/>
                      <wp:wrapNone/>
                      <wp:docPr id="131" name="Frame13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335" cy="175260"/>
                      <wp:effectExtent l="0" t="0" r="0" b="0"/>
                      <wp:wrapNone/>
                      <wp:docPr id="133" name="Frame13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829310" cy="175260"/>
                      <wp:effectExtent l="0" t="0" r="0" b="0"/>
                      <wp:wrapNone/>
                      <wp:docPr id="135" name="Frame13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335" cy="175260"/>
                      <wp:effectExtent l="0" t="0" r="0" b="0"/>
                      <wp:wrapNone/>
                      <wp:docPr id="137" name="Frame13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7790" cy="175260"/>
                      <wp:effectExtent l="0" t="0" r="0" b="0"/>
                      <wp:wrapNone/>
                      <wp:docPr id="138" name="Frame13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 Days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 Days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88 Days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175 Days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 Days</w:t>
            </w:r>
          </w:p>
        </w:tc>
        <w:tc>
          <w:tcPr>
            <w:tcW w:w="32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114 Days</w:t>
            </w:r>
          </w:p>
        </w:tc>
        <w:tc>
          <w:tcPr>
            <w:tcW w:w="154"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 Days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89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2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Investing activities. </w:t>
      </w:r>
      <w:r>
        <w:rPr>
          <w:rFonts w:ascii="Times New Roman;Times;serif" w:hAnsi="Times New Roman;Times;serif"/>
          <w:sz w:val="20"/>
        </w:rPr>
        <w:t>Our capital expenditures were $.8 million and $.3 million in the first three months of 2025 and 2024, respectively. During the first three months of 2025, the promissory note balance with Valhi had net activity of nil ($.5 million of gross borrowings and $.5 million of gross repayments). During the first three months of 2024, Valhi repaid a net $.8 million under the promissory note ($5.2 million of gross borrowings and $6.0 million of gross repayments). See Note 9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first three months of 2024, we received gross proceeds totaling $12.0 million related to U.S. treasury bill maturities.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 xml:space="preserve">Financing activities consisted only of cash dividends. Our board of directors declared a regular quarterly dividend of $.30 per share in each of the first quarters of 2024 and 2025.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cash requirements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Liquidity</w:t>
      </w:r>
      <w:r>
        <w:rPr>
          <w:rFonts w:ascii="Times New Roman;Times;serif" w:hAnsi="Times New Roman;Times;serif"/>
          <w:sz w:val="20"/>
        </w:rPr>
        <w:t>. Our primary source of liquidity on an ongoing basis is our cash flow from operating activities, which is 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next 12 months and five years. To the extent that our actual operating results or other developments differ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$56.1 million aggregate cash and cash equivalents at March 31, 2025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Firm purchase commitments for capital projects in process at March 31, 2025 totaled $.7 million. We expect our capital expenditures for 2025 will be approximately $3.4 million primarily to meet our existing customer demand and those required to properly maintain our facilities and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Stock repurchase program. </w:t>
      </w:r>
      <w:r>
        <w:rPr>
          <w:rFonts w:ascii="Times New Roman;Times;serif" w:hAnsi="Times New Roman;Times;serif"/>
          <w:sz w:val="20"/>
        </w:rPr>
        <w:t>At March 31, 2025, we have 523,647 shares available for repurchase under a stock repurchase program authorized by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Commitments and contingencies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in our 2024 Annual Report or in Note 7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10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the first three months of 2025 with respect to our critical accounting policies presented in Management’s Discussion and Analysis of Financial Condition and Results of Operations in our 2024 Annual Report.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576" w:name="ITEM3QUANTITATIVEANDQUALITATIVE_461712"/>
      <w:bookmarkStart w:id="577" w:name="_f34e8a54_6727_463f_a6f9_1fbf18a0c56c"/>
      <w:bookmarkEnd w:id="576"/>
      <w:bookmarkEnd w:id="577"/>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from changes in interest rates and raw material prices. There have been no material changes in these market risks since we filed our 2024 Annual Report, and we refer you to Part I, Item 7A – “Quantitative and Qualitative Disclosure About Market Risk” in our 2024 Annual Report. See also Note 8 to our Condensed Consolidated Financial Statements.</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578" w:name="ITEM4CONTROLSANDPROCEDURES_115866"/>
      <w:bookmarkStart w:id="579" w:name="_04910182_9fb3_4538_a8f2_74defa9f13d2"/>
      <w:bookmarkEnd w:id="578"/>
      <w:bookmarkEnd w:id="579"/>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Evaluation of Disclosure Controls and Procedures. </w:t>
      </w: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March 31, 2025. Based upon their evaluation, these executive officers have concluded that our disclosure controls and procedures are effective as of the date of such evaluation.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Internal Control Over Financial Reporting</w:t>
      </w:r>
      <w:r>
        <w:rPr>
          <w:rFonts w:ascii="Times New Roman;Times;serif" w:hAnsi="Times New Roman;Times;serif"/>
          <w:sz w:val="20"/>
        </w:rPr>
        <w:t xml:space="preserve">. 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March 31, 2025 that have materially affected, or are reasonably likely to materially affect, our internal control over financial reporting.</w:t>
      </w:r>
    </w:p>
    <w:p>
      <w:pPr>
        <w:pStyle w:val="TextBody"/>
        <w:bidi w:val="0"/>
        <w:spacing w:before="240" w:after="240"/>
        <w:ind w:left="0" w:right="0" w:hanging="0"/>
        <w:jc w:val="center"/>
        <w:rPr>
          <w:rFonts w:ascii="Times New Roman;Times;serif" w:hAnsi="Times New Roman;Times;serif"/>
          <w:b/>
          <w:sz w:val="20"/>
        </w:rPr>
      </w:pPr>
      <w:bookmarkStart w:id="580" w:name="PartIIOTHERINFORMATION_828529"/>
      <w:bookmarkStart w:id="581" w:name="_0785718d_a317_47f6_9b27_089804cd7b73"/>
      <w:bookmarkEnd w:id="580"/>
      <w:bookmarkEnd w:id="581"/>
      <w:r>
        <w:rPr>
          <w:rFonts w:ascii="Times New Roman;Times;serif" w:hAnsi="Times New Roman;Times;serif"/>
          <w:b/>
          <w:sz w:val="20"/>
        </w:rPr>
        <w:t>Part II. OTHER INFORMATION</w:t>
      </w:r>
    </w:p>
    <w:p>
      <w:pPr>
        <w:pStyle w:val="TextBody"/>
        <w:pBdr/>
        <w:bidi w:val="0"/>
        <w:spacing w:before="0" w:after="240"/>
        <w:ind w:left="0" w:right="0" w:hanging="0"/>
        <w:jc w:val="left"/>
        <w:rPr>
          <w:rFonts w:ascii="Times New Roman;Times;serif" w:hAnsi="Times New Roman;Times;serif"/>
          <w:b/>
          <w:sz w:val="20"/>
        </w:rPr>
      </w:pPr>
      <w:bookmarkStart w:id="582" w:name="ITEM1LEGALPROCEEDINGS"/>
      <w:bookmarkEnd w:id="582"/>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Refer to Note 7 to our Condensed Consolidated Financial Statements and our 2024 Annual Report for descriptions of certain legal proceedings.</w:t>
      </w:r>
    </w:p>
    <w:p>
      <w:pPr>
        <w:pStyle w:val="TextBody"/>
        <w:pBdr/>
        <w:bidi w:val="0"/>
        <w:spacing w:before="0" w:after="240"/>
        <w:ind w:left="0" w:right="0" w:hanging="0"/>
        <w:jc w:val="left"/>
        <w:rPr>
          <w:rFonts w:ascii="Times New Roman;Times;serif" w:hAnsi="Times New Roman;Times;serif"/>
          <w:b/>
          <w:sz w:val="20"/>
        </w:rPr>
      </w:pPr>
      <w:bookmarkStart w:id="583" w:name="ITEM1ARiskFactors_841388"/>
      <w:bookmarkEnd w:id="583"/>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2024 Annual Report for a discussion of risk factors related to our businesses.</w:t>
      </w:r>
    </w:p>
    <w:p>
      <w:pPr>
        <w:pStyle w:val="TextBody"/>
        <w:pBdr/>
        <w:bidi w:val="0"/>
        <w:spacing w:before="0" w:after="240"/>
        <w:ind w:left="0" w:right="0" w:hanging="0"/>
        <w:jc w:val="left"/>
        <w:rPr>
          <w:rFonts w:ascii="Times New Roman;Times;serif" w:hAnsi="Times New Roman;Times;serif"/>
          <w:sz w:val="20"/>
        </w:rPr>
      </w:pPr>
      <w:bookmarkStart w:id="584" w:name="ITEM6Exhibits_812943"/>
      <w:bookmarkStart w:id="585" w:name="_4af49515_0be0_4a09_a823_ca54b0583397"/>
      <w:bookmarkEnd w:id="584"/>
      <w:bookmarkEnd w:id="585"/>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58"/>
        <w:gridCol w:w="326"/>
        <w:gridCol w:w="9021"/>
      </w:tblGrid>
      <w:tr>
        <w:trPr/>
        <w:tc>
          <w:tcPr>
            <w:tcW w:w="8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72415" cy="175260"/>
                      <wp:effectExtent l="0" t="0" r="0" b="0"/>
                      <wp:wrapNone/>
                      <wp:docPr id="139" name="Frame139"/>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03505" cy="175260"/>
                      <wp:effectExtent l="0" t="0" r="0" b="0"/>
                      <wp:wrapNone/>
                      <wp:docPr id="140" name="Frame14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0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863850" cy="175260"/>
                      <wp:effectExtent l="0" t="0" r="0" b="0"/>
                      <wp:wrapNone/>
                      <wp:docPr id="141" name="Frame141"/>
                      <a:graphic xmlns:a="http://schemas.openxmlformats.org/drawingml/2006/main">
                        <a:graphicData uri="http://schemas.microsoft.com/office/word/2010/wordprocessingShape">
                          <wps:wsp>
                            <wps:cNvSpPr txBox="1"/>
                            <wps:spPr>
                              <a:xfrm>
                                <a:off x="0" y="0"/>
                                <a:ext cx="286385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58"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021"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Index</w:t>
            </w:r>
          </w:p>
        </w:tc>
      </w:tr>
      <w:tr>
        <w:trPr/>
        <w:tc>
          <w:tcPr>
            <w:tcW w:w="85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50331xex31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50331xex31d2.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50331xex32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586" w:name="_86a2e51f_a59f_4959_9461_422f22d3602f"/>
      <w:bookmarkEnd w:id="586"/>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854" w:type="dxa"/>
        <w:jc w:val="left"/>
        <w:tblInd w:w="0" w:type="dxa"/>
        <w:tblLayout w:type="fixed"/>
        <w:tblCellMar>
          <w:top w:w="0" w:type="dxa"/>
          <w:left w:w="0" w:type="dxa"/>
          <w:bottom w:w="0" w:type="dxa"/>
          <w:right w:w="0" w:type="dxa"/>
        </w:tblCellMar>
      </w:tblPr>
      <w:tblGrid>
        <w:gridCol w:w="1681"/>
        <w:gridCol w:w="326"/>
        <w:gridCol w:w="406"/>
        <w:gridCol w:w="444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067435" cy="175260"/>
                      <wp:effectExtent l="0" t="0" r="0" b="0"/>
                      <wp:wrapNone/>
                      <wp:docPr id="142" name="Frame14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57810" cy="175260"/>
                      <wp:effectExtent l="0" t="0" r="0" b="0"/>
                      <wp:wrapNone/>
                      <wp:docPr id="143" name="Frame1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820035" cy="175260"/>
                      <wp:effectExtent l="0" t="0" r="0" b="0"/>
                      <wp:wrapNone/>
                      <wp:docPr id="144" name="Frame144"/>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COMPX INTERNATIONAL INC.</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240"/>
        <w:ind w:left="0" w:right="0" w:hanging="0"/>
        <w:jc w:val="right"/>
        <w:rPr>
          <w:rFonts w:ascii="Times New Roman;Times;serif" w:hAnsi="Times New Roman;Times;serif"/>
          <w:b/>
          <w:sz w:val="20"/>
        </w:rPr>
      </w:pPr>
      <w:bookmarkStart w:id="587" w:name="cix-20250331xex31d1.htm"/>
      <w:bookmarkStart w:id="588" w:name="kscix20250331xex31d1"/>
      <w:bookmarkEnd w:id="587"/>
      <w:bookmarkEnd w:id="588"/>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6, 2025</w:t>
      </w:r>
    </w:p>
    <w:p>
      <w:pPr>
        <w:pStyle w:val="TextBody"/>
        <w:bidi w:val="0"/>
        <w:spacing w:before="0" w:after="0"/>
        <w:ind w:left="0" w:right="0" w:hanging="0"/>
        <w:jc w:val="left"/>
        <w:rPr/>
      </w:pPr>
      <w:r>
        <w:rPr/>
        <w:t>​</w:t>
      </w:r>
    </w:p>
    <w:tbl>
      <w:tblPr>
        <w:tblW w:w="3741" w:type="dxa"/>
        <w:jc w:val="center"/>
        <w:tblInd w:w="0" w:type="dxa"/>
        <w:tblLayout w:type="fixed"/>
        <w:tblCellMar>
          <w:top w:w="0" w:type="dxa"/>
          <w:left w:w="0" w:type="dxa"/>
          <w:bottom w:w="0" w:type="dxa"/>
          <w:right w:w="0" w:type="dxa"/>
        </w:tblCellMar>
      </w:tblPr>
      <w:tblGrid>
        <w:gridCol w:w="421"/>
        <w:gridCol w:w="31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89" w:name="cix-20250331xex31d2.htm"/>
      <w:bookmarkStart w:id="590" w:name="kscix20250331xex31d2"/>
      <w:bookmarkEnd w:id="589"/>
      <w:bookmarkEnd w:id="590"/>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Amy A. Samford,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p>
      <w:pPr>
        <w:pStyle w:val="TextBody"/>
        <w:bidi w:val="0"/>
        <w:spacing w:before="0" w:after="0"/>
        <w:ind w:left="0" w:right="0" w:hanging="0"/>
        <w:jc w:val="left"/>
        <w:rPr/>
      </w:pPr>
      <w:r>
        <w:rPr/>
        <w:t>​</w:t>
      </w:r>
    </w:p>
    <w:tbl>
      <w:tblPr>
        <w:tblW w:w="4971" w:type="dxa"/>
        <w:jc w:val="center"/>
        <w:tblInd w:w="0" w:type="dxa"/>
        <w:tblLayout w:type="fixed"/>
        <w:tblCellMar>
          <w:top w:w="0" w:type="dxa"/>
          <w:left w:w="0" w:type="dxa"/>
          <w:bottom w:w="0" w:type="dxa"/>
          <w:right w:w="0" w:type="dxa"/>
        </w:tblCellMar>
      </w:tblPr>
      <w:tblGrid>
        <w:gridCol w:w="421"/>
        <w:gridCol w:w="439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67335" cy="175260"/>
                      <wp:effectExtent l="0" t="0" r="0" b="0"/>
                      <wp:wrapNone/>
                      <wp:docPr id="145" name="Frame14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791460" cy="175260"/>
                      <wp:effectExtent l="0" t="0" r="0" b="0"/>
                      <wp:wrapNone/>
                      <wp:docPr id="146" name="Frame146"/>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91" w:name="cix-20250331xex32d1.htm"/>
      <w:bookmarkStart w:id="592" w:name="kscix20250331xex32d1"/>
      <w:bookmarkEnd w:id="591"/>
      <w:bookmarkEnd w:id="592"/>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CompX International Inc. (the Company) on Form 10-Q for the period ending March 31, 2025,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016" w:type="dxa"/>
        <w:jc w:val="center"/>
        <w:tblInd w:w="0" w:type="dxa"/>
        <w:tblLayout w:type="fixed"/>
        <w:tblCellMar>
          <w:top w:w="0" w:type="dxa"/>
          <w:left w:w="0" w:type="dxa"/>
          <w:bottom w:w="0" w:type="dxa"/>
          <w:right w:w="0" w:type="dxa"/>
        </w:tblCellMar>
      </w:tblPr>
      <w:tblGrid>
        <w:gridCol w:w="421"/>
        <w:gridCol w:w="4441"/>
        <w:gridCol w:w="154"/>
      </w:tblGrid>
      <w:tr>
        <w:trPr/>
        <w:tc>
          <w:tcPr>
            <w:tcW w:w="42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May 6, 2025</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8327</Words>
  <Characters>45533</Characters>
  <CharactersWithSpaces>54592</CharactersWithSpaces>
  <Paragraphs>2714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