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cix-20260505x8k.htm"/>
      <w:bookmarkStart w:id="1" w:name="kscix20260505x8k"/>
      <w:bookmarkEnd w:id="0"/>
      <w:bookmarkEnd w:id="1"/>
      <w:r>
        <w:rPr/>
        <w:t>​</w:t>
      </w:r>
    </w:p>
    <w:p>
      <w:pPr>
        <w:pStyle w:val="TextBody"/>
        <w:bidi w:val="0"/>
        <w:spacing w:before="0" w:after="24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445452d3_a017_4abf_8736_180119e7d87a"/>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May 5, 2026</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COMPX INTERNATIONAL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t2ysGBFgkkiNmL7q8KnHEA_5_2"/>
      <w:bookmarkStart w:id="4" w:name="Tc_SwQB7GLa0kyeuv1wTaSVVA_5_0"/>
      <w:bookmarkStart w:id="5" w:name="Tc_WHHSbRPQiUyI_iC-W-7_nw_4_0"/>
      <w:bookmarkStart w:id="6" w:name="Tc_kr9UlJ9TV0yx7Uw7hO3xvQ_1_2"/>
      <w:bookmarkStart w:id="7" w:name="Tc_y7520_K-B0WdF7HL0AKMFA_1_1"/>
      <w:bookmarkStart w:id="8" w:name="Tc_QWxLduG3o0auKk_OPPnKXw_1_0"/>
      <w:bookmarkStart w:id="9" w:name="_b4f68095_e54f_4e44_947a_47c1ed4f140d"/>
      <w:bookmarkStart w:id="10" w:name="Tc_t2ysGBFgkkiNmL7q8KnHEA_5_2"/>
      <w:bookmarkStart w:id="11" w:name="Tc_SwQB7GLa0kyeuv1wTaSVVA_5_0"/>
      <w:bookmarkStart w:id="12" w:name="Tc_WHHSbRPQiUyI_iC-W-7_nw_4_0"/>
      <w:bookmarkStart w:id="13" w:name="Tc_kr9UlJ9TV0yx7Uw7hO3xvQ_1_2"/>
      <w:bookmarkStart w:id="14" w:name="Tc_y7520_K-B0WdF7HL0AKMFA_1_1"/>
      <w:bookmarkStart w:id="15" w:name="Tc_QWxLduG3o0auKk_OPPnKXw_1_0"/>
      <w:bookmarkStart w:id="16" w:name="_b4f68095_e54f_4e44_947a_47c1ed4f140d"/>
      <w:bookmarkEnd w:id="10"/>
      <w:bookmarkEnd w:id="11"/>
      <w:bookmarkEnd w:id="12"/>
      <w:bookmarkEnd w:id="13"/>
      <w:bookmarkEnd w:id="14"/>
      <w:bookmarkEnd w:id="15"/>
      <w:bookmarkEnd w:id="16"/>
    </w:p>
    <w:tbl>
      <w:tblPr>
        <w:tblW w:w="6513" w:type="dxa"/>
        <w:jc w:val="left"/>
        <w:tblInd w:w="0" w:type="dxa"/>
        <w:tblLayout w:type="fixed"/>
        <w:tblCellMar>
          <w:top w:w="0" w:type="dxa"/>
          <w:left w:w="0" w:type="dxa"/>
          <w:bottom w:w="0" w:type="dxa"/>
          <w:right w:w="0" w:type="dxa"/>
        </w:tblCellMar>
      </w:tblPr>
      <w:tblGrid>
        <w:gridCol w:w="3676"/>
        <w:gridCol w:w="1186"/>
        <w:gridCol w:w="1651"/>
      </w:tblGrid>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1-13905</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57-0981653</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448-1400</w:t>
      </w:r>
    </w:p>
    <w:p>
      <w:pPr>
        <w:pStyle w:val="TextBody"/>
        <w:bidi w:val="0"/>
        <w:spacing w:before="0" w:after="240"/>
        <w:ind w:left="0" w:right="0" w:hanging="0"/>
        <w:jc w:val="both"/>
        <w:rPr/>
      </w:pPr>
      <w:r>
        <w:rPr/>
        <w:t>​</w:t>
      </w:r>
    </w:p>
    <w:tbl>
      <w:tblPr>
        <w:tblW w:w="5289" w:type="dxa"/>
        <w:jc w:val="left"/>
        <w:tblInd w:w="0" w:type="dxa"/>
        <w:tblLayout w:type="fixed"/>
        <w:tblCellMar>
          <w:top w:w="0" w:type="dxa"/>
          <w:left w:w="0" w:type="dxa"/>
          <w:bottom w:w="0" w:type="dxa"/>
          <w:right w:w="0" w:type="dxa"/>
        </w:tblCellMar>
      </w:tblPr>
      <w:tblGrid>
        <w:gridCol w:w="124"/>
        <w:gridCol w:w="5011"/>
        <w:gridCol w:w="154"/>
      </w:tblGrid>
      <w:tr>
        <w:trPr/>
        <w:tc>
          <w:tcPr>
            <w:tcW w:w="124" w:type="dxa"/>
            <w:tcBorders/>
            <w:vAlign w:val="center"/>
          </w:tcPr>
          <w:p>
            <w:pPr>
              <w:pStyle w:val="TableContents"/>
              <w:bidi w:val="0"/>
              <w:spacing w:before="0" w:after="240"/>
              <w:ind w:left="0" w:right="0" w:hanging="0"/>
              <w:jc w:val="center"/>
              <w:rPr/>
            </w:pPr>
            <w:r>
              <w:rPr/>
              <w:t>​</w:t>
            </w:r>
          </w:p>
        </w:tc>
        <w:tc>
          <w:tcPr>
            <w:tcW w:w="5011"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center"/>
              <w:rPr/>
            </w:pPr>
            <w:r>
              <w:rPr/>
              <w:t>​</w:t>
            </w:r>
          </w:p>
        </w:tc>
      </w:tr>
      <w:tr>
        <w:trPr/>
        <w:tc>
          <w:tcPr>
            <w:tcW w:w="124" w:type="dxa"/>
            <w:tcBorders/>
            <w:vAlign w:val="center"/>
          </w:tcPr>
          <w:p>
            <w:pPr>
              <w:pStyle w:val="TableContents"/>
              <w:bidi w:val="0"/>
              <w:spacing w:before="0" w:after="240"/>
              <w:ind w:left="0" w:right="0" w:hanging="0"/>
              <w:jc w:val="center"/>
              <w:rPr/>
            </w:pPr>
            <w:r>
              <w:rPr/>
              <w:t>​</w:t>
            </w:r>
          </w:p>
        </w:tc>
        <w:tc>
          <w:tcPr>
            <w:tcW w:w="50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1Tk89tnLKEy16z4W5IoJyQ_6_1"/>
      <w:bookmarkStart w:id="18" w:name="Tc_tMAR4XkCpEer_llPIUIP5w_4_1"/>
      <w:bookmarkStart w:id="19" w:name="Tc_RNlH8-PDPU67vl8eN95sKg_2_1"/>
      <w:bookmarkStart w:id="20" w:name="Tc_BzEmCg8lpka0_DxpSBiyMw_0_1"/>
      <w:bookmarkStart w:id="21" w:name="_03f466d9_c487_4fb9_bacb_2fc3efc44005"/>
      <w:bookmarkStart w:id="22" w:name="Tc_1Tk89tnLKEy16z4W5IoJyQ_6_1"/>
      <w:bookmarkStart w:id="23" w:name="Tc_tMAR4XkCpEer_llPIUIP5w_4_1"/>
      <w:bookmarkStart w:id="24" w:name="Tc_RNlH8-PDPU67vl8eN95sKg_2_1"/>
      <w:bookmarkStart w:id="25" w:name="Tc_BzEmCg8lpka0_DxpSBiyMw_0_1"/>
      <w:bookmarkStart w:id="26" w:name="_03f466d9_c487_4fb9_bacb_2fc3efc44005"/>
      <w:bookmarkEnd w:id="22"/>
      <w:bookmarkEnd w:id="23"/>
      <w:bookmarkEnd w:id="24"/>
      <w:bookmarkEnd w:id="25"/>
      <w:bookmarkEnd w:id="26"/>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both"/>
        <w:rPr/>
      </w:pPr>
      <w:r>
        <w:rPr/>
        <w:t>​</w:t>
      </w:r>
    </w:p>
    <w:tbl>
      <w:tblPr>
        <w:tblW w:w="6755" w:type="dxa"/>
        <w:jc w:val="left"/>
        <w:tblInd w:w="0" w:type="dxa"/>
        <w:tblLayout w:type="fixed"/>
        <w:tblCellMar>
          <w:top w:w="0" w:type="dxa"/>
          <w:left w:w="0" w:type="dxa"/>
          <w:bottom w:w="28" w:type="dxa"/>
          <w:right w:w="0" w:type="dxa"/>
        </w:tblCellMar>
      </w:tblPr>
      <w:tblGrid>
        <w:gridCol w:w="1921"/>
        <w:gridCol w:w="346"/>
        <w:gridCol w:w="826"/>
        <w:gridCol w:w="346"/>
        <w:gridCol w:w="3316"/>
      </w:tblGrid>
      <w:tr>
        <w:trPr/>
        <w:tc>
          <w:tcPr>
            <w:tcW w:w="19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2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 par value per share)</w:t>
            </w:r>
          </w:p>
        </w:tc>
        <w:tc>
          <w:tcPr>
            <w:tcW w:w="346" w:type="dxa"/>
            <w:tcBorders/>
            <w:tcMar>
              <w:bottom w:w="0" w:type="dxa"/>
            </w:tcMar>
            <w:vAlign w:val="center"/>
          </w:tcPr>
          <w:p>
            <w:pPr>
              <w:pStyle w:val="TableContents"/>
              <w:bidi w:val="0"/>
              <w:spacing w:before="0" w:after="240"/>
              <w:ind w:left="0" w:right="0" w:hanging="0"/>
              <w:jc w:val="center"/>
              <w:rPr/>
            </w:pPr>
            <w:r>
              <w:rP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CIX</w:t>
            </w:r>
          </w:p>
        </w:tc>
        <w:tc>
          <w:tcPr>
            <w:tcW w:w="346" w:type="dxa"/>
            <w:tcBorders/>
            <w:tcMar>
              <w:bottom w:w="0" w:type="dxa"/>
            </w:tcMar>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ind w:left="600" w:right="600" w:hanging="0"/>
        <w:jc w:val="left"/>
        <w:rPr>
          <w:sz w:val="4"/>
          <w:szCs w:val="4"/>
        </w:rPr>
      </w:pPr>
      <w:r>
        <w:rPr>
          <w:sz w:val="4"/>
          <w:szCs w:val="4"/>
        </w:rPr>
      </w:r>
      <w:bookmarkStart w:id="27" w:name="_3090df65_8070_4a61_8d10_5cb1cc0852d0"/>
      <w:bookmarkStart w:id="28" w:name="_3090df65_8070_4a61_8d10_5cb1cc0852d0"/>
      <w:bookmarkEnd w:id="28"/>
    </w:p>
    <w:tbl>
      <w:tblPr>
        <w:tblW w:w="4889" w:type="dxa"/>
        <w:jc w:val="left"/>
        <w:tblInd w:w="0" w:type="dxa"/>
        <w:tblLayout w:type="fixed"/>
        <w:tblCellMar>
          <w:top w:w="0" w:type="dxa"/>
          <w:left w:w="0" w:type="dxa"/>
          <w:bottom w:w="0" w:type="dxa"/>
          <w:right w:w="0" w:type="dxa"/>
        </w:tblCellMar>
      </w:tblPr>
      <w:tblGrid>
        <w:gridCol w:w="898"/>
        <w:gridCol w:w="3991"/>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2.02</w:t>
            </w:r>
          </w:p>
        </w:tc>
        <w:tc>
          <w:tcPr>
            <w:tcW w:w="399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Results of Operations and Financial Condition.</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“CompX Reports First Quarter 2026 Results” that the registrant issued on May 5, 2026, a copy of which is attached hereto as Exhibit 99.1 and incorporated herein by reference.</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w:t>
      </w:r>
      <w:r>
        <w:rPr>
          <w:rFonts w:ascii="Times New Roman;Times;serif" w:hAnsi="Times New Roman;Times;serif"/>
          <w:spacing w:val="-3"/>
          <w:sz w:val="20"/>
        </w:rPr>
        <w:t>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bidi w:val="0"/>
        <w:spacing w:before="0" w:after="0"/>
        <w:ind w:left="0" w:right="0" w:firstLine="720"/>
        <w:jc w:val="both"/>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29" w:name="_211225b1_15c3_4785_960a_dba95c9d90e8"/>
      <w:bookmarkStart w:id="30" w:name="_211225b1_15c3_4785_960a_dba95c9d90e8"/>
      <w:bookmarkEnd w:id="30"/>
    </w:p>
    <w:tbl>
      <w:tblPr>
        <w:tblW w:w="3893" w:type="dxa"/>
        <w:jc w:val="left"/>
        <w:tblInd w:w="0" w:type="dxa"/>
        <w:tblLayout w:type="fixed"/>
        <w:tblCellMar>
          <w:top w:w="0" w:type="dxa"/>
          <w:left w:w="0" w:type="dxa"/>
          <w:bottom w:w="0" w:type="dxa"/>
          <w:right w:w="0" w:type="dxa"/>
        </w:tblCellMar>
      </w:tblPr>
      <w:tblGrid>
        <w:gridCol w:w="898"/>
        <w:gridCol w:w="2995"/>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9.01</w:t>
            </w:r>
          </w:p>
        </w:tc>
        <w:tc>
          <w:tcPr>
            <w:tcW w:w="2995"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Financial Statements and Exhibits.</w:t>
            </w:r>
          </w:p>
        </w:tc>
      </w:tr>
    </w:tbl>
    <w:p>
      <w:pPr>
        <w:pStyle w:val="TextBody"/>
        <w:pBdr/>
        <w:bidi w:val="0"/>
        <w:spacing w:before="0" w:after="0"/>
        <w:ind w:left="0" w:right="0" w:hanging="1620"/>
        <w:jc w:val="left"/>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340"/>
        <w:gridCol w:w="809"/>
        <w:gridCol w:w="109"/>
        <w:gridCol w:w="8947"/>
      </w:tblGrid>
      <w:tr>
        <w:trPr/>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947" w:type="dxa"/>
            <w:tcBorders/>
            <w:vAlign w:val="center"/>
          </w:tcPr>
          <w:p>
            <w:pPr>
              <w:pStyle w:val="TableContents"/>
              <w:bidi w:val="0"/>
              <w:spacing w:before="0" w:after="0"/>
              <w:ind w:left="0" w:right="0" w:hanging="0"/>
              <w:jc w:val="left"/>
              <w:rPr/>
            </w:pPr>
            <w:r>
              <w:rPr/>
              <w:t>​</w:t>
            </w:r>
          </w:p>
        </w:tc>
      </w:tr>
      <w:tr>
        <w:trPr/>
        <w:tc>
          <w:tcPr>
            <w:tcW w:w="340"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w:t>
            </w:r>
          </w:p>
        </w:tc>
        <w:tc>
          <w:tcPr>
            <w:tcW w:w="809"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Exhibits</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spacing w:val="-3"/>
              </w:rPr>
            </w:pPr>
            <w:r>
              <w:rPr>
                <w:spacing w:val="-3"/>
              </w:rPr>
              <w:t>​</w:t>
            </w:r>
          </w:p>
        </w:tc>
      </w:tr>
      <w:tr>
        <w:trPr/>
        <w:tc>
          <w:tcPr>
            <w:tcW w:w="340" w:type="dxa"/>
            <w:tcBorders/>
            <w:vAlign w:val="center"/>
          </w:tcPr>
          <w:p>
            <w:pPr>
              <w:pStyle w:val="TableContents"/>
              <w:bidi w:val="0"/>
              <w:spacing w:before="0" w:after="0"/>
              <w:ind w:left="0" w:right="0" w:hanging="0"/>
              <w:jc w:val="left"/>
              <w:rPr>
                <w:spacing w:val="-3"/>
              </w:rPr>
            </w:pPr>
            <w:r>
              <w:rPr>
                <w:spacing w:val="-3"/>
              </w:rPr>
              <w:t>​</w:t>
            </w:r>
          </w:p>
        </w:tc>
        <w:tc>
          <w:tcPr>
            <w:tcW w:w="809"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spacing w:val="-3"/>
              </w:rPr>
            </w:pPr>
            <w:r>
              <w:rPr>
                <w:spacing w:val="-3"/>
              </w:rPr>
              <w:t>​</w:t>
            </w:r>
          </w:p>
        </w:tc>
      </w:tr>
      <w:tr>
        <w:trPr/>
        <w:tc>
          <w:tcPr>
            <w:tcW w:w="340" w:type="dxa"/>
            <w:tcBorders/>
            <w:vAlign w:val="center"/>
          </w:tcPr>
          <w:p>
            <w:pPr>
              <w:pStyle w:val="TableContents"/>
              <w:bidi w:val="0"/>
              <w:spacing w:before="0" w:after="0"/>
              <w:ind w:left="0" w:right="0" w:hanging="0"/>
              <w:jc w:val="center"/>
              <w:rPr>
                <w:spacing w:val="-3"/>
              </w:rPr>
            </w:pPr>
            <w:r>
              <w:rPr>
                <w:spacing w:val="-3"/>
              </w:rPr>
              <w:t>​</w:t>
            </w:r>
          </w:p>
        </w:tc>
        <w:tc>
          <w:tcPr>
            <w:tcW w:w="809"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Item No.</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Description</w:t>
            </w:r>
          </w:p>
        </w:tc>
      </w:tr>
      <w:tr>
        <w:trPr/>
        <w:tc>
          <w:tcPr>
            <w:tcW w:w="340" w:type="dxa"/>
            <w:tcBorders/>
            <w:vAlign w:val="center"/>
          </w:tcPr>
          <w:p>
            <w:pPr>
              <w:pStyle w:val="TableContents"/>
              <w:bidi w:val="0"/>
              <w:spacing w:before="0" w:after="0"/>
              <w:ind w:left="0" w:right="0" w:hanging="0"/>
              <w:jc w:val="left"/>
              <w:rPr>
                <w:spacing w:val="-3"/>
              </w:rPr>
            </w:pPr>
            <w:r>
              <w:rPr>
                <w:spacing w:val="-3"/>
              </w:rPr>
              <w:t>​</w:t>
            </w:r>
          </w:p>
        </w:tc>
        <w:tc>
          <w:tcPr>
            <w:tcW w:w="809"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spacing w:val="-3"/>
              </w:rPr>
            </w:pPr>
            <w:r>
              <w:rPr>
                <w:spacing w:val="-3"/>
              </w:rPr>
              <w:t>​</w:t>
            </w:r>
          </w:p>
        </w:tc>
      </w:tr>
      <w:tr>
        <w:trPr/>
        <w:tc>
          <w:tcPr>
            <w:tcW w:w="340" w:type="dxa"/>
            <w:tcBorders/>
            <w:vAlign w:val="center"/>
          </w:tcPr>
          <w:p>
            <w:pPr>
              <w:pStyle w:val="TableContents"/>
              <w:bidi w:val="0"/>
              <w:spacing w:before="0" w:after="0"/>
              <w:ind w:left="0" w:right="0" w:hanging="0"/>
              <w:jc w:val="left"/>
              <w:rPr>
                <w:spacing w:val="-3"/>
              </w:rPr>
            </w:pPr>
            <w:r>
              <w:rPr>
                <w:spacing w:val="-3"/>
              </w:rPr>
              <w:t>​</w:t>
            </w:r>
          </w:p>
        </w:tc>
        <w:tc>
          <w:tcPr>
            <w:tcW w:w="809"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99.1</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both"/>
              <w:rPr/>
            </w:pPr>
            <w:hyperlink w:anchor="cix-20260505xex99d1.htm">
              <w:r>
                <w:rPr>
                  <w:rStyle w:val="InternetLink"/>
                  <w:rFonts w:ascii="Times New Roman;Times;serif" w:hAnsi="Times New Roman;Times;serif"/>
                  <w:b w:val="false"/>
                  <w:i w:val="false"/>
                  <w:caps w:val="false"/>
                  <w:smallCaps w:val="false"/>
                  <w:sz w:val="20"/>
                </w:rPr>
                <w:t xml:space="preserve">Press release dated May 5, 2026 </w:t>
              </w:r>
            </w:hyperlink>
            <w:hyperlink w:anchor="cix-20260505xex99d1.htm">
              <w:r>
                <w:rPr>
                  <w:rStyle w:val="InternetLink"/>
                  <w:rFonts w:ascii="Times New Roman;Times;serif" w:hAnsi="Times New Roman;Times;serif"/>
                  <w:b w:val="false"/>
                  <w:i w:val="false"/>
                  <w:caps w:val="false"/>
                  <w:smallCaps w:val="false"/>
                  <w:spacing w:val="-3"/>
                  <w:sz w:val="20"/>
                </w:rPr>
                <w:t xml:space="preserve">entitled “CompX Reports First Quarter 2026 Results” and </w:t>
              </w:r>
            </w:hyperlink>
            <w:hyperlink w:anchor="cix-20260505xex99d1.htm">
              <w:r>
                <w:rPr>
                  <w:rStyle w:val="InternetLink"/>
                  <w:rFonts w:ascii="Times New Roman;Times;serif" w:hAnsi="Times New Roman;Times;serif"/>
                  <w:b w:val="false"/>
                  <w:i w:val="false"/>
                  <w:caps w:val="false"/>
                  <w:smallCaps w:val="false"/>
                  <w:sz w:val="20"/>
                </w:rPr>
                <w:t>issued by the registrant.</w:t>
              </w:r>
            </w:hyperlink>
          </w:p>
        </w:tc>
      </w:tr>
      <w:tr>
        <w:trPr/>
        <w:tc>
          <w:tcPr>
            <w:tcW w:w="340" w:type="dxa"/>
            <w:tcBorders/>
            <w:vAlign w:val="center"/>
          </w:tcPr>
          <w:p>
            <w:pPr>
              <w:pStyle w:val="TableContents"/>
              <w:bidi w:val="0"/>
              <w:spacing w:before="0" w:after="0"/>
              <w:ind w:left="0" w:right="0" w:hanging="0"/>
              <w:jc w:val="left"/>
              <w:rPr>
                <w:spacing w:val="-3"/>
              </w:rPr>
            </w:pPr>
            <w:r>
              <w:rPr>
                <w:spacing w:val="-3"/>
              </w:rPr>
              <w:t>​</w:t>
            </w:r>
          </w:p>
        </w:tc>
        <w:tc>
          <w:tcPr>
            <w:tcW w:w="809"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spacing w:val="-3"/>
              </w:rPr>
            </w:pPr>
            <w:r>
              <w:rPr>
                <w:spacing w:val="-3"/>
              </w:rPr>
              <w:t>​</w:t>
            </w:r>
          </w:p>
        </w:tc>
      </w:tr>
      <w:tr>
        <w:trPr/>
        <w:tc>
          <w:tcPr>
            <w:tcW w:w="340" w:type="dxa"/>
            <w:tcBorders/>
            <w:vAlign w:val="center"/>
          </w:tcPr>
          <w:p>
            <w:pPr>
              <w:pStyle w:val="TableContents"/>
              <w:bidi w:val="0"/>
              <w:spacing w:before="0" w:after="0"/>
              <w:ind w:left="0" w:right="0" w:hanging="0"/>
              <w:jc w:val="left"/>
              <w:rPr>
                <w:spacing w:val="-3"/>
              </w:rPr>
            </w:pPr>
            <w:r>
              <w:rPr>
                <w:spacing w:val="-3"/>
              </w:rPr>
              <w:t>​</w:t>
            </w:r>
          </w:p>
        </w:tc>
        <w:tc>
          <w:tcPr>
            <w:tcW w:w="809"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104</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1" w:name="_1c3a94c7_f3d2_4b3a_bdef_bce220d9eb64"/>
      <w:bookmarkEnd w:id="31"/>
      <w:r>
        <w:rPr>
          <w:rFonts w:ascii="Times New Roman;Times;serif" w:hAnsi="Times New Roman;Times;serif"/>
          <w:b/>
          <w:sz w:val="20"/>
        </w:rPr>
        <w:t>SIGNATURE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center"/>
        <w:rPr/>
      </w:pPr>
      <w:r>
        <w:rPr/>
        <w:t>​</w:t>
      </w:r>
    </w:p>
    <w:tbl>
      <w:tblPr>
        <w:tblW w:w="5043" w:type="dxa"/>
        <w:jc w:val="left"/>
        <w:tblInd w:w="0" w:type="dxa"/>
        <w:tblLayout w:type="fixed"/>
        <w:tblCellMar>
          <w:top w:w="0" w:type="dxa"/>
          <w:left w:w="0" w:type="dxa"/>
          <w:bottom w:w="0" w:type="dxa"/>
          <w:right w:w="0" w:type="dxa"/>
        </w:tblCellMar>
      </w:tblPr>
      <w:tblGrid>
        <w:gridCol w:w="1636"/>
        <w:gridCol w:w="406"/>
        <w:gridCol w:w="3001"/>
      </w:tblGrid>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Amy A. Samford</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2" w:name="cix-20260505xex99d1.htm"/>
      <w:bookmarkStart w:id="33" w:name="kscix20260505xex99d1"/>
      <w:bookmarkStart w:id="34" w:name="cix-20260505xex99d1.htm"/>
      <w:bookmarkStart w:id="35" w:name="kscix20260505xex99d1"/>
      <w:bookmarkEnd w:id="34"/>
      <w:bookmarkEnd w:id="35"/>
      <w:r>
        <w:br w:type="page"/>
      </w:r>
    </w:p>
    <w:tbl>
      <w:tblPr>
        <w:tblW w:w="4420" w:type="dxa"/>
        <w:jc w:val="left"/>
        <w:tblInd w:w="0" w:type="dxa"/>
        <w:tblLayout w:type="fixed"/>
        <w:tblCellMar>
          <w:top w:w="0" w:type="dxa"/>
          <w:left w:w="0" w:type="dxa"/>
          <w:bottom w:w="0" w:type="dxa"/>
          <w:right w:w="0" w:type="dxa"/>
        </w:tblCellMar>
      </w:tblPr>
      <w:tblGrid>
        <w:gridCol w:w="4420"/>
      </w:tblGrid>
      <w:tr>
        <w:trPr/>
        <w:tc>
          <w:tcPr>
            <w:tcW w:w="4420" w:type="dxa"/>
            <w:tcBorders/>
            <w:vAlign w:val="center"/>
          </w:tcPr>
          <w:p>
            <w:pPr>
              <w:pStyle w:val="TableContents"/>
              <w:bidi w:val="0"/>
              <w:spacing w:before="0" w:after="0"/>
              <w:ind w:left="0" w:right="0" w:hanging="0"/>
              <w:jc w:val="right"/>
              <w:rPr/>
            </w:pPr>
            <w:r>
              <w:rPr/>
              <w:t>​</w:t>
            </w:r>
          </w:p>
        </w:tc>
      </w:tr>
      <w:tr>
        <w:trPr/>
        <w:tc>
          <w:tcPr>
            <w:tcW w:w="4420"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30"/>
        </w:rPr>
      </w:pPr>
      <w:r>
        <w:rPr>
          <w:rFonts w:ascii="Times New Roman;Times;serif" w:hAnsi="Times New Roman;Times;serif"/>
          <w:b/>
          <w:sz w:val="30"/>
        </w:rPr>
        <w:t>COMPX REPORTS FIRST QUARTER 2026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DALLAS, TEXAS </w:t>
      </w:r>
      <w:r>
        <w:rPr>
          <w:rFonts w:ascii="Times New Roman;Times;serif" w:hAnsi="Times New Roman;Times;serif"/>
          <w:sz w:val="20"/>
        </w:rPr>
        <w:t xml:space="preserve">… </w:t>
      </w:r>
      <w:r>
        <w:rPr>
          <w:rFonts w:ascii="Times New Roman;Times;serif" w:hAnsi="Times New Roman;Times;serif"/>
          <w:sz w:val="24"/>
        </w:rPr>
        <w:t xml:space="preserve">May 5, 2026 </w:t>
      </w:r>
      <w:r>
        <w:rPr>
          <w:rFonts w:ascii="Times New Roman;Times;serif" w:hAnsi="Times New Roman;Times;serif"/>
          <w:sz w:val="20"/>
        </w:rPr>
        <w:t xml:space="preserve">… </w:t>
      </w:r>
      <w:r>
        <w:rPr>
          <w:rFonts w:ascii="Times New Roman;Times;serif" w:hAnsi="Times New Roman;Times;serif"/>
          <w:sz w:val="24"/>
        </w:rPr>
        <w:t xml:space="preserve">CompX International Inc. (NYSE American: CIX) announced today net sales of $40.6 million for the first quarter of 2026 compared to $40.3 million in the same period of 2025. Operating income was $7.1 million in the first quarter of 2026 compared to $5.9 million in the same period of 2025. Net income was $5.9 million, or $.48 per basic and diluted common share, for the first quarter of 2026 compared to $5.1 million, or $.42 per basic and diluted common share, in the same period of 2025. </w:t>
      </w:r>
    </w:p>
    <w:p>
      <w:pPr>
        <w:pStyle w:val="TextBody"/>
        <w:bidi w:val="0"/>
        <w:spacing w:before="0" w:after="0"/>
        <w:ind w:left="0" w:right="0" w:hanging="0"/>
        <w:jc w:val="both"/>
        <w:rPr/>
      </w:pPr>
      <w:r>
        <w:rPr/>
        <w:t>​</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 xml:space="preserve">First quarter 2026 net sales increased over the comparable 2025 period due to higher Marine Components sales to the industrial market partially offset by lower Security Products sales. Operating income increased in the first quarter of 2026 compared to the same period in 2025 primarily due to higher gross margin at Security Products resulting from a more favorable customer and product mix and, to a lesser extent, the impact of higher sales at Marine Components. </w:t>
      </w:r>
    </w:p>
    <w:p>
      <w:pPr>
        <w:pStyle w:val="TextBody"/>
        <w:bidi w:val="0"/>
        <w:spacing w:before="240" w:after="240"/>
        <w:ind w:left="0" w:right="0" w:hanging="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 It operates from three locations in the U.S. and employs approximately 560 people.</w:t>
      </w:r>
    </w:p>
    <w:p>
      <w:pPr>
        <w:pStyle w:val="TextBody"/>
        <w:bidi w:val="0"/>
        <w:spacing w:before="240" w:after="240"/>
        <w:ind w:left="0" w:right="0" w:hanging="0"/>
        <w:jc w:val="left"/>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The statements in this press release relating to matters that are not historical facts are forward-looking statements that represent management</w:t>
      </w:r>
      <w:r>
        <w:rPr>
          <w:rFonts w:ascii="Times New Roman;Times;serif" w:hAnsi="Times New Roman;Times;serif"/>
          <w:sz w:val="20"/>
        </w:rPr>
        <w:t>’</w:t>
      </w:r>
      <w:r>
        <w:rPr>
          <w:rFonts w:ascii="Times New Roman;Times;serif" w:hAnsi="Times New Roman;Times;serif"/>
          <w:sz w:val="24"/>
        </w:rPr>
        <w:t xml:space="preserve">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The factors that could cause our actual future results to differ materially include, but are not limited to, the following:</w:t>
      </w:r>
    </w:p>
    <w:tbl>
      <w:tblPr>
        <w:tblW w:w="4368" w:type="dxa"/>
        <w:jc w:val="left"/>
        <w:tblInd w:w="0" w:type="dxa"/>
        <w:tblLayout w:type="fixed"/>
        <w:tblCellMar>
          <w:top w:w="0" w:type="dxa"/>
          <w:left w:w="0" w:type="dxa"/>
          <w:bottom w:w="0" w:type="dxa"/>
          <w:right w:w="0" w:type="dxa"/>
        </w:tblCellMar>
      </w:tblPr>
      <w:tblGrid>
        <w:gridCol w:w="23"/>
        <w:gridCol w:w="170"/>
        <w:gridCol w:w="4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Future supply and demand for our products;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in our raw material and other operating costs (such as zinc, brass, aluminum, steel and energy costs), including as a result of additional or changed tariffs on imported raw materials, and our ability to pass those costs on to our customers or offset them with reductions in other operating costs;</w:t>
            </w:r>
          </w:p>
        </w:tc>
      </w:tr>
    </w:tbl>
    <w:tbl>
      <w:tblPr>
        <w:tblW w:w="8208" w:type="dxa"/>
        <w:jc w:val="left"/>
        <w:tblInd w:w="0" w:type="dxa"/>
        <w:tblLayout w:type="fixed"/>
        <w:tblCellMar>
          <w:top w:w="0" w:type="dxa"/>
          <w:left w:w="0" w:type="dxa"/>
          <w:bottom w:w="0" w:type="dxa"/>
          <w:right w:w="0" w:type="dxa"/>
        </w:tblCellMar>
      </w:tblPr>
      <w:tblGrid>
        <w:gridCol w:w="23"/>
        <w:gridCol w:w="170"/>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Price and product competition from low-cost manufacturing sources (such as China);</w:t>
            </w:r>
          </w:p>
        </w:tc>
      </w:tr>
    </w:tbl>
    <w:tbl>
      <w:tblPr>
        <w:tblW w:w="4728" w:type="dxa"/>
        <w:jc w:val="left"/>
        <w:tblInd w:w="0" w:type="dxa"/>
        <w:tblLayout w:type="fixed"/>
        <w:tblCellMar>
          <w:top w:w="0" w:type="dxa"/>
          <w:left w:w="0" w:type="dxa"/>
          <w:bottom w:w="0" w:type="dxa"/>
          <w:right w:w="0" w:type="dxa"/>
        </w:tblCellMar>
      </w:tblPr>
      <w:tblGrid>
        <w:gridCol w:w="23"/>
        <w:gridCol w:w="170"/>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impact of pricing and production decisions;</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348" w:type="dxa"/>
        <w:jc w:val="left"/>
        <w:tblInd w:w="0" w:type="dxa"/>
        <w:tblLayout w:type="fixed"/>
        <w:tblCellMar>
          <w:top w:w="0" w:type="dxa"/>
          <w:left w:w="0" w:type="dxa"/>
          <w:bottom w:w="0" w:type="dxa"/>
          <w:right w:w="0" w:type="dxa"/>
        </w:tblCellMar>
      </w:tblPr>
      <w:tblGrid>
        <w:gridCol w:w="23"/>
        <w:gridCol w:w="170"/>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Customer and competitor strategies including substitute products;</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ability to retain key customers;</w:t>
            </w:r>
          </w:p>
        </w:tc>
      </w:tr>
    </w:tbl>
    <w:tbl>
      <w:tblPr>
        <w:tblW w:w="9858" w:type="dxa"/>
        <w:jc w:val="left"/>
        <w:tblInd w:w="0" w:type="dxa"/>
        <w:tblLayout w:type="fixed"/>
        <w:tblCellMar>
          <w:top w:w="0" w:type="dxa"/>
          <w:left w:w="0" w:type="dxa"/>
          <w:bottom w:w="0" w:type="dxa"/>
          <w:right w:w="0" w:type="dxa"/>
        </w:tblCellMar>
      </w:tblPr>
      <w:tblGrid>
        <w:gridCol w:w="23"/>
        <w:gridCol w:w="17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Uncertainties associated with new product development and the development of new product features;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Pending or possible future litigation (such as litigation related to our use of certain permitted chemicals in our production process) or other actions;</w:t>
            </w:r>
          </w:p>
        </w:tc>
      </w:tr>
    </w:tbl>
    <w:tbl>
      <w:tblPr>
        <w:tblW w:w="6093" w:type="dxa"/>
        <w:jc w:val="left"/>
        <w:tblInd w:w="0" w:type="dxa"/>
        <w:tblLayout w:type="fixed"/>
        <w:tblCellMar>
          <w:top w:w="0" w:type="dxa"/>
          <w:left w:w="0" w:type="dxa"/>
          <w:bottom w:w="0" w:type="dxa"/>
          <w:right w:w="0" w:type="dxa"/>
        </w:tblCellMar>
      </w:tblPr>
      <w:tblGrid>
        <w:gridCol w:w="23"/>
        <w:gridCol w:w="170"/>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ability to protect or defend our intellectual property rights;</w:t>
            </w:r>
          </w:p>
        </w:tc>
      </w:tr>
    </w:tbl>
    <w:tbl>
      <w:tblPr>
        <w:tblW w:w="7593" w:type="dxa"/>
        <w:jc w:val="left"/>
        <w:tblInd w:w="0" w:type="dxa"/>
        <w:tblLayout w:type="fixed"/>
        <w:tblCellMar>
          <w:top w:w="0" w:type="dxa"/>
          <w:left w:w="0" w:type="dxa"/>
          <w:bottom w:w="0" w:type="dxa"/>
          <w:right w:w="0" w:type="dxa"/>
        </w:tblCellMar>
      </w:tblPr>
      <w:tblGrid>
        <w:gridCol w:w="23"/>
        <w:gridCol w:w="170"/>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Decisions to sell operating assets other than in the ordinary course of business;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Environmental matters (such as those requiring emission and discharge standards for existing and new facilities);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ultimate outcome of income tax audits, tax settlement initiatives or other tax matters, including future tax reform;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Operating interruptions (including, but not limited to, labor disputes, leaks, natural disasters, fires, explosions, unscheduled or unplanned downtime, transportation interruptions, certain regional and world events or economic conditions and public health crises);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introduction of new, or changes in existing, tariffs, trade barriers or trade disputes (including tariffs imposed by the U.S. government on imports from China and Mexico);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Technology related disruptions (including, but not limited to, cyber 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Possible disruption of our business or increases in the cost of doing business resulting from terrorist activities or global conflicts.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4"/>
        </w:rPr>
      </w:pPr>
      <w:r>
        <w:rPr>
          <w:rFonts w:ascii="Times New Roman;Times;serif" w:hAnsi="Times New Roman;Times;serif"/>
          <w:sz w:val="24"/>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COMPX INTERNATIONAL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SUMMARY OF CONSOLIDATED OPERATIONS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millions, except per share amounts)</w:t>
      </w:r>
    </w:p>
    <w:p>
      <w:pPr>
        <w:pStyle w:val="TextBody"/>
        <w:bidi w:val="0"/>
        <w:spacing w:before="0" w:after="0"/>
        <w:ind w:left="0" w:right="0" w:hanging="0"/>
        <w:jc w:val="center"/>
        <w:rPr/>
      </w:pPr>
      <w:r>
        <w:rPr/>
        <w:t>​</w:t>
      </w:r>
    </w:p>
    <w:tbl>
      <w:tblPr>
        <w:tblW w:w="7817" w:type="dxa"/>
        <w:jc w:val="left"/>
        <w:tblInd w:w="0" w:type="dxa"/>
        <w:tblLayout w:type="fixed"/>
        <w:tblCellMar>
          <w:top w:w="0" w:type="dxa"/>
          <w:left w:w="0" w:type="dxa"/>
          <w:bottom w:w="0" w:type="dxa"/>
          <w:right w:w="0" w:type="dxa"/>
        </w:tblCellMar>
      </w:tblPr>
      <w:tblGrid>
        <w:gridCol w:w="5221"/>
        <w:gridCol w:w="346"/>
        <w:gridCol w:w="258"/>
        <w:gridCol w:w="601"/>
        <w:gridCol w:w="395"/>
        <w:gridCol w:w="258"/>
        <w:gridCol w:w="738"/>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315335" cy="175260"/>
                      <wp:effectExtent l="0" t="0" r="0" b="0"/>
                      <wp:wrapNone/>
                      <wp:docPr id="2" name="Frame1"/>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63830" cy="175260"/>
                      <wp:effectExtent l="0" t="0" r="0" b="0"/>
                      <wp:wrapNone/>
                      <wp:docPr id="4" name="Frame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81635" cy="175260"/>
                      <wp:effectExtent l="0" t="0" r="0" b="0"/>
                      <wp:wrapNone/>
                      <wp:docPr id="5" name="Frame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50825" cy="175260"/>
                      <wp:effectExtent l="0" t="0" r="0" b="0"/>
                      <wp:wrapNone/>
                      <wp:docPr id="6" name="Frame5"/>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63830" cy="175260"/>
                      <wp:effectExtent l="0" t="0" r="0" b="0"/>
                      <wp:wrapNone/>
                      <wp:docPr id="7" name="Frame6"/>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68630" cy="175260"/>
                      <wp:effectExtent l="0" t="0" r="0" b="0"/>
                      <wp:wrapNone/>
                      <wp:docPr id="8" name="Frame7"/>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50"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Three months ended</w:t>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March 31,</w:t>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2025</w:t>
            </w:r>
          </w:p>
        </w:tc>
        <w:tc>
          <w:tcPr>
            <w:tcW w:w="395" w:type="dxa"/>
            <w:tcBorders/>
            <w:vAlign w:val="center"/>
          </w:tcPr>
          <w:p>
            <w:pPr>
              <w:pStyle w:val="TableContents"/>
              <w:bidi w:val="0"/>
              <w:spacing w:before="0" w:after="0"/>
              <w:ind w:left="0" w:right="0" w:hanging="0"/>
              <w:jc w:val="left"/>
              <w:rPr/>
            </w:pPr>
            <w:r>
              <w:rPr/>
              <w:t>  ​ ​ ​</w:t>
            </w:r>
          </w:p>
        </w:tc>
        <w:tc>
          <w:tcPr>
            <w:tcW w:w="9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2026</w:t>
            </w:r>
          </w:p>
        </w:tc>
      </w:tr>
      <w:tr>
        <w:trPr/>
        <w:tc>
          <w:tcPr>
            <w:tcW w:w="781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0"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40.3</w:t>
            </w:r>
          </w:p>
        </w:tc>
        <w:tc>
          <w:tcPr>
            <w:tcW w:w="395"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40.6</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Cost of sales</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28.1</w:t>
            </w:r>
          </w:p>
        </w:tc>
        <w:tc>
          <w:tcPr>
            <w:tcW w:w="395"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27.3</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12.2</w:t>
            </w:r>
          </w:p>
        </w:tc>
        <w:tc>
          <w:tcPr>
            <w:tcW w:w="395"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13.3</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Selling, general and administrative expense</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6.3</w:t>
            </w:r>
          </w:p>
        </w:tc>
        <w:tc>
          <w:tcPr>
            <w:tcW w:w="395"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6.2</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5.9</w:t>
            </w:r>
          </w:p>
        </w:tc>
        <w:tc>
          <w:tcPr>
            <w:tcW w:w="395"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7.1</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Interest income</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w:t>
            </w:r>
          </w:p>
        </w:tc>
        <w:tc>
          <w:tcPr>
            <w:tcW w:w="395"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.7</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6.7</w:t>
            </w:r>
          </w:p>
        </w:tc>
        <w:tc>
          <w:tcPr>
            <w:tcW w:w="395"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7.8</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tax expense</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1.6</w:t>
            </w:r>
          </w:p>
        </w:tc>
        <w:tc>
          <w:tcPr>
            <w:tcW w:w="395"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1.9</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5.1</w:t>
            </w:r>
          </w:p>
        </w:tc>
        <w:tc>
          <w:tcPr>
            <w:tcW w:w="395"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7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5.9</w:t>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95"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Basic and diluted net income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.42</w:t>
            </w:r>
          </w:p>
        </w:tc>
        <w:tc>
          <w:tcPr>
            <w:tcW w:w="395"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7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.48</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Weighted average diluted common shares outstanding</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12.3</w:t>
            </w:r>
          </w:p>
        </w:tc>
        <w:tc>
          <w:tcPr>
            <w:tcW w:w="395"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38"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b/>
                <w:sz w:val="24"/>
              </w:rPr>
            </w:pPr>
            <w:r>
              <w:rPr>
                <w:rFonts w:ascii="Times New Roman;Times;serif" w:hAnsi="Times New Roman;Times;serif"/>
                <w:b/>
                <w:sz w:val="24"/>
              </w:rPr>
              <w:t>12.3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1412</Words>
  <Characters>7788</Characters>
  <CharactersWithSpaces>9244</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