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bottom w:val="single" w:sz="2" w:space="1" w:color="000000"/>
        </w:pBdr>
        <w:spacing w:before="0" w:after="240"/>
        <w:ind w:left="0" w:right="0" w:hanging="0"/>
        <w:jc w:val="center"/>
        <w:rPr/>
      </w:pPr>
      <w:bookmarkStart w:id="0" w:name="cik-20230502x8k.htm"/>
      <w:bookmarkStart w:id="1" w:name="kscik20230502x8k"/>
      <w:bookmarkEnd w:id="0"/>
      <w:bookmarkEnd w:id="1"/>
      <w:r>
        <w:rPr/>
        <w:t>​</w:t>
      </w:r>
    </w:p>
    <w:p>
      <w:pPr>
        <w:pStyle w:val="TextBody"/>
        <w:spacing w:before="0" w:after="240"/>
        <w:ind w:left="0" w:right="0" w:hanging="0"/>
        <w:jc w:val="center"/>
        <w:rPr/>
      </w:pPr>
      <w:r>
        <w:rPr/>
        <w:t>​</w:t>
      </w:r>
    </w:p>
    <w:p>
      <w:pPr>
        <w:pStyle w:val="TextBody"/>
        <w:spacing w:before="0" w:after="240"/>
        <w:ind w:left="0" w:right="0" w:firstLine="720"/>
        <w:jc w:val="both"/>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2" w:name="_c01ac86e_3865_4b2e_816b_2b93cc827e06"/>
      <w:bookmarkEnd w:id="2"/>
      <w:r>
        <w:rPr>
          <w:rFonts w:ascii="Times New Roman;Times;serif" w:hAnsi="Times New Roman;Times;serif"/>
          <w:b/>
          <w:sz w:val="20"/>
        </w:rPr>
        <w:t>UNITED STATES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spacing w:before="0" w:after="120"/>
        <w:ind w:left="0" w:right="0" w:hanging="0"/>
        <w:jc w:val="center"/>
        <w:rPr>
          <w:rFonts w:ascii="Times New Roman;Times;serif" w:hAnsi="Times New Roman;Times;serif"/>
          <w:b/>
          <w:sz w:val="24"/>
        </w:rPr>
      </w:pPr>
      <w:r>
        <w:rPr>
          <w:rFonts w:ascii="Times New Roman;Times;serif" w:hAnsi="Times New Roman;Times;serif"/>
          <w:b/>
          <w:sz w:val="24"/>
        </w:rPr>
        <w:t>May 2, 2023</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 w:name="Tc_mYhI2wo6mEGszKLVUoMrSA_5_2"/>
      <w:bookmarkStart w:id="4" w:name="Tc_T1k1lw0K8E-fbpdMwsEclw_5_0"/>
      <w:bookmarkStart w:id="5" w:name="Tc_UUwXETaEz06q2BOQAkPrIw_4_0"/>
      <w:bookmarkStart w:id="6" w:name="Tc_BPbXMc0u0ESpTcs6qrIfjw_1_2"/>
      <w:bookmarkStart w:id="7" w:name="Tc_3mwrS0_pO0mdUEExJf3DCA_1_1"/>
      <w:bookmarkStart w:id="8" w:name="Tc_ZVEW6WTCwkawRnSb0NCYtw_1_0"/>
      <w:bookmarkStart w:id="9" w:name="_b4f68095_e54f_4e44_947a_47c1ed4f140d"/>
      <w:bookmarkStart w:id="10" w:name="Tc_mYhI2wo6mEGszKLVUoMrSA_5_2"/>
      <w:bookmarkStart w:id="11" w:name="Tc_T1k1lw0K8E-fbpdMwsEclw_5_0"/>
      <w:bookmarkStart w:id="12" w:name="Tc_UUwXETaEz06q2BOQAkPrIw_4_0"/>
      <w:bookmarkStart w:id="13" w:name="Tc_BPbXMc0u0ESpTcs6qrIfjw_1_2"/>
      <w:bookmarkStart w:id="14" w:name="Tc_3mwrS0_pO0mdUEExJf3DCA_1_1"/>
      <w:bookmarkStart w:id="15" w:name="Tc_ZVEW6WTCwkawRnSb0NCYtw_1_0"/>
      <w:bookmarkStart w:id="16" w:name="_b4f68095_e54f_4e44_947a_47c1ed4f140d"/>
      <w:bookmarkEnd w:id="10"/>
      <w:bookmarkEnd w:id="11"/>
      <w:bookmarkEnd w:id="12"/>
      <w:bookmarkEnd w:id="13"/>
      <w:bookmarkEnd w:id="14"/>
      <w:bookmarkEnd w:id="15"/>
      <w:bookmarkEnd w:id="16"/>
    </w:p>
    <w:tbl>
      <w:tblPr>
        <w:tblW w:w="6513" w:type="dxa"/>
        <w:jc w:val="left"/>
        <w:tblInd w:w="0" w:type="dxa"/>
        <w:tblCellMar>
          <w:top w:w="0" w:type="dxa"/>
          <w:left w:w="0" w:type="dxa"/>
          <w:bottom w:w="0" w:type="dxa"/>
          <w:right w:w="0" w:type="dxa"/>
        </w:tblCellMar>
      </w:tblPr>
      <w:tblGrid>
        <w:gridCol w:w="3676"/>
        <w:gridCol w:w="1186"/>
        <w:gridCol w:w="1651"/>
      </w:tblGrid>
      <w:tr>
        <w:trPr/>
        <w:tc>
          <w:tcPr>
            <w:tcW w:w="3676" w:type="dxa"/>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shd w:fill="auto" w:val="clear"/>
            <w:vAlign w:val="center"/>
          </w:tcPr>
          <w:p>
            <w:pPr>
              <w:pStyle w:val="TableContents"/>
              <w:spacing w:before="0" w:after="240"/>
              <w:ind w:left="0" w:right="0" w:hanging="0"/>
              <w:jc w:val="center"/>
              <w:rPr/>
            </w:pPr>
            <w:r>
              <w:rPr/>
              <w:t>​</w:t>
            </w:r>
          </w:p>
        </w:tc>
        <w:tc>
          <w:tcPr>
            <w:tcW w:w="1186" w:type="dxa"/>
            <w:tcBorders/>
            <w:shd w:fill="auto" w:val="clear"/>
            <w:vAlign w:val="center"/>
          </w:tcPr>
          <w:p>
            <w:pPr>
              <w:pStyle w:val="TableContents"/>
              <w:spacing w:before="0" w:after="240"/>
              <w:ind w:left="0" w:right="0" w:hanging="0"/>
              <w:jc w:val="center"/>
              <w:rPr/>
            </w:pPr>
            <w:r>
              <w:rPr/>
              <w:t>​</w:t>
            </w:r>
          </w:p>
        </w:tc>
        <w:tc>
          <w:tcPr>
            <w:tcW w:w="1651" w:type="dxa"/>
            <w:tcBorders/>
            <w:shd w:fill="auto" w:val="clear"/>
            <w:vAlign w:val="center"/>
          </w:tcPr>
          <w:p>
            <w:pPr>
              <w:pStyle w:val="TableContents"/>
              <w:spacing w:before="0" w:after="240"/>
              <w:ind w:left="0" w:right="0" w:hanging="0"/>
              <w:jc w:val="center"/>
              <w:rPr/>
            </w:pPr>
            <w:r>
              <w:rPr/>
              <w:t>​</w:t>
            </w:r>
          </w:p>
        </w:tc>
      </w:tr>
      <w:tr>
        <w:trPr/>
        <w:tc>
          <w:tcPr>
            <w:tcW w:w="3676" w:type="dxa"/>
            <w:tcBorders/>
            <w:shd w:fill="auto" w:val="clear"/>
            <w:vAlign w:val="center"/>
          </w:tcPr>
          <w:p>
            <w:pPr>
              <w:pStyle w:val="TableContents"/>
              <w:spacing w:before="0" w:after="240"/>
              <w:ind w:left="0" w:right="0" w:hanging="0"/>
              <w:jc w:val="center"/>
              <w:rPr/>
            </w:pPr>
            <w:r>
              <w:rPr/>
              <w:t>​</w:t>
            </w:r>
          </w:p>
        </w:tc>
        <w:tc>
          <w:tcPr>
            <w:tcW w:w="1186" w:type="dxa"/>
            <w:tcBorders/>
            <w:shd w:fill="auto" w:val="clear"/>
            <w:vAlign w:val="center"/>
          </w:tcPr>
          <w:p>
            <w:pPr>
              <w:pStyle w:val="TableContents"/>
              <w:spacing w:before="0" w:after="240"/>
              <w:ind w:left="0" w:right="0" w:hanging="0"/>
              <w:jc w:val="center"/>
              <w:rPr/>
            </w:pPr>
            <w:r>
              <w:rPr/>
              <w:t>​</w:t>
            </w:r>
          </w:p>
        </w:tc>
        <w:tc>
          <w:tcPr>
            <w:tcW w:w="1651" w:type="dxa"/>
            <w:tcBorders/>
            <w:shd w:fill="auto" w:val="clear"/>
            <w:vAlign w:val="center"/>
          </w:tcPr>
          <w:p>
            <w:pPr>
              <w:pStyle w:val="TableContents"/>
              <w:spacing w:before="0" w:after="240"/>
              <w:ind w:left="0" w:right="0" w:hanging="0"/>
              <w:jc w:val="center"/>
              <w:rPr/>
            </w:pPr>
            <w:r>
              <w:rPr/>
              <w:t>​</w:t>
            </w:r>
          </w:p>
        </w:tc>
      </w:tr>
      <w:tr>
        <w:trPr/>
        <w:tc>
          <w:tcPr>
            <w:tcW w:w="48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spacing w:before="0" w:after="240"/>
        <w:ind w:left="0" w:right="0" w:hanging="0"/>
        <w:jc w:val="both"/>
        <w:rPr/>
      </w:pPr>
      <w:r>
        <w:rPr/>
        <w:t>​</w:t>
      </w:r>
    </w:p>
    <w:tbl>
      <w:tblPr>
        <w:tblW w:w="5289" w:type="dxa"/>
        <w:jc w:val="left"/>
        <w:tblInd w:w="0" w:type="dxa"/>
        <w:tblCellMar>
          <w:top w:w="0" w:type="dxa"/>
          <w:left w:w="0" w:type="dxa"/>
          <w:bottom w:w="0" w:type="dxa"/>
          <w:right w:w="0" w:type="dxa"/>
        </w:tblCellMar>
      </w:tblPr>
      <w:tblGrid>
        <w:gridCol w:w="124"/>
        <w:gridCol w:w="5011"/>
        <w:gridCol w:w="154"/>
      </w:tblGrid>
      <w:tr>
        <w:trPr/>
        <w:tc>
          <w:tcPr>
            <w:tcW w:w="124" w:type="dxa"/>
            <w:tcBorders/>
            <w:shd w:fill="auto" w:val="clear"/>
            <w:vAlign w:val="center"/>
          </w:tcPr>
          <w:p>
            <w:pPr>
              <w:pStyle w:val="TableContents"/>
              <w:spacing w:before="0" w:after="240"/>
              <w:ind w:left="0" w:right="0" w:hanging="0"/>
              <w:jc w:val="center"/>
              <w:rPr/>
            </w:pPr>
            <w:r>
              <w:rPr/>
              <w:t>​</w:t>
            </w:r>
          </w:p>
        </w:tc>
        <w:tc>
          <w:tcPr>
            <w:tcW w:w="5011"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154" w:type="dxa"/>
            <w:tcBorders/>
            <w:shd w:fill="auto" w:val="clear"/>
            <w:vAlign w:val="center"/>
          </w:tcPr>
          <w:p>
            <w:pPr>
              <w:pStyle w:val="TableContents"/>
              <w:spacing w:before="0" w:after="240"/>
              <w:ind w:left="0" w:right="0" w:hanging="0"/>
              <w:jc w:val="center"/>
              <w:rPr/>
            </w:pPr>
            <w:r>
              <w:rPr/>
              <w:t>​</w:t>
            </w:r>
          </w:p>
        </w:tc>
      </w:tr>
      <w:tr>
        <w:trPr/>
        <w:tc>
          <w:tcPr>
            <w:tcW w:w="124" w:type="dxa"/>
            <w:tcBorders/>
            <w:shd w:fill="auto" w:val="clear"/>
            <w:vAlign w:val="center"/>
          </w:tcPr>
          <w:p>
            <w:pPr>
              <w:pStyle w:val="TableContents"/>
              <w:spacing w:before="0" w:after="240"/>
              <w:ind w:left="0" w:right="0" w:hanging="0"/>
              <w:jc w:val="center"/>
              <w:rPr/>
            </w:pPr>
            <w:r>
              <w:rPr/>
              <w:t>​</w:t>
            </w:r>
          </w:p>
        </w:tc>
        <w:tc>
          <w:tcPr>
            <w:tcW w:w="501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shd w:fill="auto" w:val="clear"/>
            <w:vAlign w:val="center"/>
          </w:tcPr>
          <w:p>
            <w:pPr>
              <w:pStyle w:val="TableContents"/>
              <w:spacing w:before="0" w:after="24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7" w:name="Tc_TcFjc3fVXkeqfpBXYcZyIA_6_1"/>
      <w:bookmarkStart w:id="18" w:name="Tc_b76-PgU02E2JT0tDhO3xLw_4_1"/>
      <w:bookmarkStart w:id="19" w:name="Tc_9N6bgE9oPUmOwh8yM9rIaw_2_1"/>
      <w:bookmarkStart w:id="20" w:name="Tc_equEeYQs-E-f0Sf63mh3tA_0_1"/>
      <w:bookmarkStart w:id="21" w:name="_03f466d9_c487_4fb9_bacb_2fc3efc44005"/>
      <w:bookmarkStart w:id="22" w:name="Tc_TcFjc3fVXkeqfpBXYcZyIA_6_1"/>
      <w:bookmarkStart w:id="23" w:name="Tc_b76-PgU02E2JT0tDhO3xLw_4_1"/>
      <w:bookmarkStart w:id="24" w:name="Tc_9N6bgE9oPUmOwh8yM9rIaw_2_1"/>
      <w:bookmarkStart w:id="25" w:name="Tc_equEeYQs-E-f0Sf63mh3tA_0_1"/>
      <w:bookmarkStart w:id="26" w:name="_03f466d9_c487_4fb9_bacb_2fc3efc44005"/>
      <w:bookmarkEnd w:id="22"/>
      <w:bookmarkEnd w:id="23"/>
      <w:bookmarkEnd w:id="24"/>
      <w:bookmarkEnd w:id="25"/>
      <w:bookmarkEnd w:id="26"/>
    </w:p>
    <w:tbl>
      <w:tblPr>
        <w:tblW w:w="9512" w:type="dxa"/>
        <w:jc w:val="left"/>
        <w:tblInd w:w="0" w:type="dxa"/>
        <w:tblCellMar>
          <w:top w:w="0" w:type="dxa"/>
          <w:left w:w="0" w:type="dxa"/>
          <w:bottom w:w="0" w:type="dxa"/>
          <w:right w:w="0" w:type="dxa"/>
        </w:tblCellMar>
      </w:tblPr>
      <w:tblGrid>
        <w:gridCol w:w="331"/>
        <w:gridCol w:w="9181"/>
      </w:tblGrid>
      <w:tr>
        <w:trPr/>
        <w:tc>
          <w:tcPr>
            <w:tcW w:w="331" w:type="dxa"/>
            <w:tcBorders/>
            <w:shd w:fill="auto" w:val="clear"/>
            <w:vAlign w:val="center"/>
          </w:tcPr>
          <w:p>
            <w:pPr>
              <w:pStyle w:val="TableContents"/>
              <w:spacing w:before="0" w:after="0"/>
              <w:ind w:left="0" w:right="0" w:hanging="0"/>
              <w:jc w:val="center"/>
              <w:rPr/>
            </w:pPr>
            <w:r>
              <w:rPr/>
              <w:t>☐</w:t>
            </w:r>
          </w:p>
        </w:tc>
        <w:tc>
          <w:tcPr>
            <w:tcW w:w="9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shd w:fill="auto" w:val="clear"/>
            <w:vAlign w:val="center"/>
          </w:tcPr>
          <w:p>
            <w:pPr>
              <w:pStyle w:val="TableContents"/>
              <w:spacing w:before="0" w:after="240"/>
              <w:ind w:left="0" w:right="0" w:hanging="0"/>
              <w:jc w:val="center"/>
              <w:rPr/>
            </w:pPr>
            <w:r>
              <w:rPr/>
              <w:t>​</w:t>
            </w:r>
          </w:p>
        </w:tc>
        <w:tc>
          <w:tcPr>
            <w:tcW w:w="9181" w:type="dxa"/>
            <w:tcBorders/>
            <w:shd w:fill="auto" w:val="clear"/>
            <w:vAlign w:val="center"/>
          </w:tcPr>
          <w:p>
            <w:pPr>
              <w:pStyle w:val="TableContents"/>
              <w:spacing w:before="0" w:after="240"/>
              <w:ind w:left="0" w:right="0" w:hanging="0"/>
              <w:jc w:val="both"/>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shd w:fill="auto" w:val="clear"/>
            <w:vAlign w:val="center"/>
          </w:tcPr>
          <w:p>
            <w:pPr>
              <w:pStyle w:val="TableContents"/>
              <w:spacing w:before="0" w:after="240"/>
              <w:ind w:left="0" w:right="0" w:hanging="0"/>
              <w:jc w:val="center"/>
              <w:rPr/>
            </w:pPr>
            <w:r>
              <w:rPr/>
              <w:t>​</w:t>
            </w:r>
          </w:p>
        </w:tc>
        <w:tc>
          <w:tcPr>
            <w:tcW w:w="9181" w:type="dxa"/>
            <w:tcBorders/>
            <w:shd w:fill="auto" w:val="clear"/>
            <w:vAlign w:val="center"/>
          </w:tcPr>
          <w:p>
            <w:pPr>
              <w:pStyle w:val="TableContents"/>
              <w:spacing w:before="0" w:after="240"/>
              <w:ind w:left="0" w:right="0" w:hanging="0"/>
              <w:jc w:val="both"/>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shd w:fill="auto" w:val="clear"/>
            <w:vAlign w:val="center"/>
          </w:tcPr>
          <w:p>
            <w:pPr>
              <w:pStyle w:val="TableContents"/>
              <w:spacing w:before="0" w:after="240"/>
              <w:ind w:left="0" w:right="0" w:hanging="0"/>
              <w:jc w:val="center"/>
              <w:rPr/>
            </w:pPr>
            <w:r>
              <w:rPr/>
              <w:t>​</w:t>
            </w:r>
          </w:p>
        </w:tc>
        <w:tc>
          <w:tcPr>
            <w:tcW w:w="9181" w:type="dxa"/>
            <w:tcBorders/>
            <w:shd w:fill="auto" w:val="clear"/>
            <w:vAlign w:val="center"/>
          </w:tcPr>
          <w:p>
            <w:pPr>
              <w:pStyle w:val="TableContents"/>
              <w:spacing w:before="0" w:after="240"/>
              <w:ind w:left="0" w:right="0" w:hanging="0"/>
              <w:jc w:val="both"/>
              <w:rPr/>
            </w:pPr>
            <w:r>
              <w:rPr/>
              <w:t>​</w:t>
            </w:r>
          </w:p>
        </w:tc>
      </w:tr>
      <w:tr>
        <w:trPr/>
        <w:tc>
          <w:tcPr>
            <w:tcW w:w="331" w:type="dxa"/>
            <w:tcBorders/>
            <w:shd w:fill="auto" w:val="clear"/>
            <w:vAlign w:val="center"/>
          </w:tcPr>
          <w:p>
            <w:pPr>
              <w:pStyle w:val="TableContents"/>
              <w:spacing w:before="0" w:after="0"/>
              <w:ind w:left="0" w:right="0" w:hanging="0"/>
              <w:jc w:val="center"/>
              <w:rPr/>
            </w:pPr>
            <w:r>
              <w:rPr/>
              <w:t>☐</w:t>
            </w:r>
          </w:p>
        </w:tc>
        <w:tc>
          <w:tcPr>
            <w:tcW w:w="918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7" w:name="Tc_yg5X1PO9-EqVxXD57yP_HQ_1_0"/>
      <w:bookmarkStart w:id="28" w:name="Tc_eOj55HyOHUyzly32ygge_g_0_4"/>
      <w:bookmarkStart w:id="29" w:name="Tc_tQvkGOk5_kmWKjiFp34rVw_0_2"/>
      <w:bookmarkStart w:id="30" w:name="Tc_xXyHZ77e_kazmDHDNy2Nsg_0_0"/>
      <w:bookmarkStart w:id="31" w:name="_84013d71_9fc3_4d86_8558_81d89f73a4dd"/>
      <w:bookmarkStart w:id="32" w:name="Tc_yg5X1PO9-EqVxXD57yP_HQ_1_0"/>
      <w:bookmarkStart w:id="33" w:name="Tc_eOj55HyOHUyzly32ygge_g_0_4"/>
      <w:bookmarkStart w:id="34" w:name="Tc_tQvkGOk5_kmWKjiFp34rVw_0_2"/>
      <w:bookmarkStart w:id="35" w:name="Tc_xXyHZ77e_kazmDHDNy2Nsg_0_0"/>
      <w:bookmarkStart w:id="36" w:name="_84013d71_9fc3_4d86_8558_81d89f73a4dd"/>
      <w:bookmarkEnd w:id="32"/>
      <w:bookmarkEnd w:id="33"/>
      <w:bookmarkEnd w:id="34"/>
      <w:bookmarkEnd w:id="35"/>
      <w:bookmarkEnd w:id="36"/>
    </w:p>
    <w:tbl>
      <w:tblPr>
        <w:tblW w:w="6715" w:type="dxa"/>
        <w:jc w:val="left"/>
        <w:tblInd w:w="0" w:type="dxa"/>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shd w:fill="auto" w:val="clear"/>
            <w:vAlign w:val="center"/>
          </w:tcPr>
          <w:p>
            <w:pPr>
              <w:pStyle w:val="TableContents"/>
              <w:spacing w:before="0" w:after="0"/>
              <w:ind w:left="0" w:right="0" w:hanging="0"/>
              <w:jc w:val="center"/>
              <w:rPr/>
            </w:pPr>
            <w:r>
              <w:rPr/>
              <w:t>    </w:t>
            </w:r>
          </w:p>
        </w:tc>
        <w:tc>
          <w:tcPr>
            <w:tcW w:w="331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shd w:fill="auto" w:val="clear"/>
            <w:tcMar>
              <w:bottom w:w="0" w:type="dxa"/>
            </w:tcMar>
            <w:vAlign w:val="center"/>
          </w:tcPr>
          <w:p>
            <w:pPr>
              <w:pStyle w:val="TableContents"/>
              <w:spacing w:before="0" w:after="240"/>
              <w:ind w:left="0" w:right="0" w:hanging="0"/>
              <w:jc w:val="center"/>
              <w:rPr/>
            </w:pPr>
            <w:r>
              <w:rPr/>
              <w:t>​</w:t>
            </w:r>
          </w:p>
        </w:tc>
        <w:tc>
          <w:tcPr>
            <w:tcW w:w="82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shd w:fill="auto" w:val="clear"/>
            <w:tcMar>
              <w:bottom w:w="0" w:type="dxa"/>
            </w:tcMar>
            <w:vAlign w:val="center"/>
          </w:tcPr>
          <w:p>
            <w:pPr>
              <w:pStyle w:val="TableContents"/>
              <w:spacing w:before="0" w:after="240"/>
              <w:ind w:left="0" w:right="0" w:hanging="0"/>
              <w:jc w:val="center"/>
              <w:rPr/>
            </w:pPr>
            <w:r>
              <w:rPr/>
              <w:t>​</w:t>
            </w:r>
          </w:p>
        </w:tc>
        <w:tc>
          <w:tcPr>
            <w:tcW w:w="331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spacing w:before="0" w:after="240"/>
        <w:ind w:left="0" w:right="0" w:hanging="0"/>
        <w:rPr/>
      </w:pPr>
      <w:r>
        <w:rPr/>
        <w:t>​</w:t>
      </w:r>
    </w:p>
    <w:p>
      <w:pPr>
        <w:pStyle w:val="Normal"/>
        <w:spacing w:before="0" w:after="0"/>
        <w:ind w:left="600" w:right="600" w:hanging="0"/>
        <w:rPr>
          <w:sz w:val="4"/>
          <w:szCs w:val="4"/>
        </w:rPr>
      </w:pPr>
      <w:r>
        <w:rPr>
          <w:sz w:val="4"/>
          <w:szCs w:val="4"/>
        </w:rPr>
      </w:r>
      <w:bookmarkStart w:id="37" w:name="_c24c591d_7ada_47a6_aab0_07b08e9b2799"/>
      <w:bookmarkStart w:id="38" w:name="_c24c591d_7ada_47a6_aab0_07b08e9b2799"/>
      <w:bookmarkEnd w:id="38"/>
    </w:p>
    <w:tbl>
      <w:tblPr>
        <w:tblW w:w="4889" w:type="dxa"/>
        <w:jc w:val="left"/>
        <w:tblInd w:w="0" w:type="dxa"/>
        <w:tblCellMar>
          <w:top w:w="0" w:type="dxa"/>
          <w:left w:w="0" w:type="dxa"/>
          <w:bottom w:w="0" w:type="dxa"/>
          <w:right w:w="0" w:type="dxa"/>
        </w:tblCellMar>
      </w:tblPr>
      <w:tblGrid>
        <w:gridCol w:w="898"/>
        <w:gridCol w:w="3991"/>
      </w:tblGrid>
      <w:tr>
        <w:trPr/>
        <w:tc>
          <w:tcPr>
            <w:tcW w:w="898" w:type="dxa"/>
            <w:tcBorders/>
            <w:shd w:fill="auto" w:val="clear"/>
            <w:vAlign w:val="center"/>
          </w:tcPr>
          <w:p>
            <w:pPr>
              <w:pStyle w:val="TableContents"/>
              <w:spacing w:before="0" w:after="0"/>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shd w:fill="auto" w:val="clear"/>
            <w:vAlign w:val="center"/>
          </w:tcPr>
          <w:p>
            <w:pPr>
              <w:pStyle w:val="TableContents"/>
              <w:spacing w:before="0" w:after="0"/>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spacing w:before="0" w:after="0"/>
        <w:ind w:left="0" w:right="0" w:hanging="0"/>
        <w:rPr>
          <w:spacing w:val="-3"/>
        </w:rPr>
      </w:pPr>
      <w:r>
        <w:rPr>
          <w:spacing w:val="-3"/>
        </w:rPr>
        <w:t>​</w:t>
      </w:r>
    </w:p>
    <w:p>
      <w:pPr>
        <w:pStyle w:val="TextBody"/>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First Quarter 2023 Results” that the registrant issued on May 2, 2023, a copy of which is attached hereto as Exhibit 99.1 and incorporated herein by reference.</w:t>
      </w:r>
    </w:p>
    <w:p>
      <w:pPr>
        <w:pStyle w:val="TextBody"/>
        <w:spacing w:before="0" w:after="0"/>
        <w:ind w:left="0" w:right="0" w:firstLine="720"/>
        <w:rPr>
          <w:spacing w:val="-3"/>
        </w:rPr>
      </w:pPr>
      <w:r>
        <w:rPr>
          <w:spacing w:val="-3"/>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spacing w:before="0" w:after="0"/>
        <w:ind w:left="0" w:right="0" w:firstLine="720"/>
        <w:jc w:val="both"/>
        <w:rPr>
          <w:spacing w:val="-3"/>
        </w:rPr>
      </w:pPr>
      <w:r>
        <w:rPr>
          <w:spacing w:val="-3"/>
        </w:rPr>
        <w:t>​</w:t>
      </w:r>
    </w:p>
    <w:p>
      <w:pPr>
        <w:pStyle w:val="TextBody"/>
        <w:spacing w:before="0" w:after="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pBdr/>
        <w:spacing w:before="0" w:after="0"/>
        <w:ind w:left="0" w:right="0" w:hanging="1440"/>
        <w:rPr/>
      </w:pPr>
      <w:r>
        <w:rPr/>
        <w:t>​</w:t>
      </w:r>
    </w:p>
    <w:p>
      <w:pPr>
        <w:pStyle w:val="Normal"/>
        <w:spacing w:before="0" w:after="0"/>
        <w:rPr>
          <w:sz w:val="4"/>
          <w:szCs w:val="4"/>
        </w:rPr>
      </w:pPr>
      <w:r>
        <w:rPr>
          <w:sz w:val="4"/>
          <w:szCs w:val="4"/>
        </w:rPr>
      </w:r>
      <w:bookmarkStart w:id="39" w:name="_b09e09cf_cd8d_4846_a497_89cc3c8b9515"/>
      <w:bookmarkStart w:id="40" w:name="_b09e09cf_cd8d_4846_a497_89cc3c8b9515"/>
      <w:bookmarkEnd w:id="40"/>
    </w:p>
    <w:tbl>
      <w:tblPr>
        <w:tblW w:w="3893" w:type="dxa"/>
        <w:jc w:val="left"/>
        <w:tblInd w:w="0" w:type="dxa"/>
        <w:tblCellMar>
          <w:top w:w="0" w:type="dxa"/>
          <w:left w:w="0" w:type="dxa"/>
          <w:bottom w:w="0" w:type="dxa"/>
          <w:right w:w="0" w:type="dxa"/>
        </w:tblCellMar>
      </w:tblPr>
      <w:tblGrid>
        <w:gridCol w:w="898"/>
        <w:gridCol w:w="2995"/>
      </w:tblGrid>
      <w:tr>
        <w:trPr/>
        <w:tc>
          <w:tcPr>
            <w:tcW w:w="898" w:type="dxa"/>
            <w:tcBorders/>
            <w:shd w:fill="auto" w:val="clear"/>
            <w:vAlign w:val="center"/>
          </w:tcPr>
          <w:p>
            <w:pPr>
              <w:pStyle w:val="TableContents"/>
              <w:spacing w:before="0" w:after="0"/>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shd w:fill="auto" w:val="clear"/>
            <w:vAlign w:val="center"/>
          </w:tcPr>
          <w:p>
            <w:pPr>
              <w:pStyle w:val="TableContents"/>
              <w:spacing w:before="0" w:after="0"/>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spacing w:before="0" w:after="0"/>
        <w:ind w:left="0" w:right="0" w:hanging="1620"/>
        <w:rPr>
          <w:spacing w:val="-3"/>
        </w:rPr>
      </w:pPr>
      <w:r>
        <w:rPr>
          <w:spacing w:val="-3"/>
        </w:rPr>
        <w:t>​</w:t>
      </w:r>
    </w:p>
    <w:tbl>
      <w:tblPr>
        <w:tblW w:w="10205" w:type="dxa"/>
        <w:jc w:val="left"/>
        <w:tblInd w:w="0" w:type="dxa"/>
        <w:tblCellMar>
          <w:top w:w="0" w:type="dxa"/>
          <w:left w:w="0" w:type="dxa"/>
          <w:bottom w:w="0" w:type="dxa"/>
          <w:right w:w="0" w:type="dxa"/>
        </w:tblCellMar>
      </w:tblPr>
      <w:tblGrid>
        <w:gridCol w:w="340"/>
        <w:gridCol w:w="809"/>
        <w:gridCol w:w="109"/>
        <w:gridCol w:w="8947"/>
      </w:tblGrid>
      <w:tr>
        <w:trPr/>
        <w:tc>
          <w:tcPr>
            <w:tcW w:w="340" w:type="dxa"/>
            <w:tcBorders/>
            <w:shd w:fill="auto" w:val="clear"/>
            <w:vAlign w:val="center"/>
          </w:tcPr>
          <w:p>
            <w:pPr>
              <w:pStyle w:val="TableContents"/>
              <w:spacing w:before="0" w:after="283"/>
              <w:ind w:left="0" w:right="0" w:hanging="0"/>
              <w:rPr>
                <w:sz w:val="4"/>
                <w:szCs w:val="4"/>
              </w:rPr>
            </w:pPr>
            <w:r>
              <w:rPr>
                <w:sz w:val="4"/>
                <w:szCs w:val="4"/>
              </w:rPr>
            </w:r>
          </w:p>
        </w:tc>
        <w:tc>
          <w:tcPr>
            <w:tcW w:w="8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8947" w:type="dxa"/>
            <w:tcBorders/>
            <w:shd w:fill="auto" w:val="clear"/>
            <w:vAlign w:val="center"/>
          </w:tcPr>
          <w:p>
            <w:pPr>
              <w:pStyle w:val="TableContents"/>
              <w:spacing w:before="0" w:after="0"/>
              <w:ind w:left="0" w:right="0" w:hanging="0"/>
              <w:rPr/>
            </w:pPr>
            <w:r>
              <w:rPr/>
              <w:t>​</w:t>
            </w:r>
          </w:p>
        </w:tc>
      </w:tr>
      <w:tr>
        <w:trPr/>
        <w:tc>
          <w:tcPr>
            <w:tcW w:w="340" w:type="dxa"/>
            <w:tcBorders/>
            <w:shd w:fill="auto" w:val="clear"/>
            <w:vAlign w:val="center"/>
          </w:tcPr>
          <w:p>
            <w:pPr>
              <w:pStyle w:val="TableContents"/>
              <w:spacing w:before="0" w:after="0"/>
              <w:ind w:left="0" w:right="0" w:hanging="0"/>
              <w:rPr>
                <w:rFonts w:ascii="Times New Roman;Times;serif" w:hAnsi="Times New Roman;Times;serif"/>
                <w:spacing w:val="-3"/>
                <w:sz w:val="20"/>
              </w:rPr>
            </w:pPr>
            <w:r>
              <w:rPr>
                <w:rFonts w:ascii="Times New Roman;Times;serif" w:hAnsi="Times New Roman;Times;serif"/>
                <w:spacing w:val="-3"/>
                <w:sz w:val="20"/>
              </w:rPr>
              <w:t>(d)</w:t>
            </w:r>
          </w:p>
        </w:tc>
        <w:tc>
          <w:tcPr>
            <w:tcW w:w="809" w:type="dxa"/>
            <w:tcBorders/>
            <w:shd w:fill="auto" w:val="clear"/>
            <w:vAlign w:val="center"/>
          </w:tcPr>
          <w:p>
            <w:pPr>
              <w:pStyle w:val="TableContents"/>
              <w:spacing w:before="0" w:after="0"/>
              <w:ind w:left="0" w:right="0" w:hanging="0"/>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spacing w:before="0" w:after="0"/>
              <w:ind w:left="0" w:right="0" w:hanging="0"/>
              <w:rPr>
                <w:spacing w:val="-3"/>
              </w:rPr>
            </w:pPr>
            <w:r>
              <w:rPr>
                <w:spacing w:val="-3"/>
              </w:rPr>
              <w:t>​</w:t>
            </w:r>
          </w:p>
        </w:tc>
      </w:tr>
      <w:tr>
        <w:trPr/>
        <w:tc>
          <w:tcPr>
            <w:tcW w:w="340" w:type="dxa"/>
            <w:tcBorders/>
            <w:shd w:fill="auto" w:val="clear"/>
            <w:vAlign w:val="center"/>
          </w:tcPr>
          <w:p>
            <w:pPr>
              <w:pStyle w:val="TableContents"/>
              <w:spacing w:before="0" w:after="0"/>
              <w:ind w:left="0" w:right="0" w:hanging="0"/>
              <w:rPr>
                <w:spacing w:val="-3"/>
              </w:rPr>
            </w:pPr>
            <w:r>
              <w:rPr>
                <w:spacing w:val="-3"/>
              </w:rPr>
              <w:t>​</w:t>
            </w:r>
          </w:p>
        </w:tc>
        <w:tc>
          <w:tcPr>
            <w:tcW w:w="809" w:type="dxa"/>
            <w:tcBorders/>
            <w:shd w:fill="auto" w:val="clear"/>
            <w:vAlign w:val="center"/>
          </w:tcPr>
          <w:p>
            <w:pPr>
              <w:pStyle w:val="TableContents"/>
              <w:spacing w:before="0" w:after="0"/>
              <w:ind w:left="0" w:right="0" w:hanging="0"/>
              <w:rPr>
                <w:spacing w:val="-3"/>
              </w:rPr>
            </w:pPr>
            <w:r>
              <w:rPr>
                <w:spacing w:val="-3"/>
              </w:rPr>
              <w:t>​</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spacing w:before="0" w:after="0"/>
              <w:ind w:left="0" w:right="0" w:hanging="0"/>
              <w:rPr>
                <w:spacing w:val="-3"/>
              </w:rPr>
            </w:pPr>
            <w:r>
              <w:rPr>
                <w:spacing w:val="-3"/>
              </w:rPr>
              <w:t>​</w:t>
            </w:r>
          </w:p>
        </w:tc>
      </w:tr>
      <w:tr>
        <w:trPr/>
        <w:tc>
          <w:tcPr>
            <w:tcW w:w="340" w:type="dxa"/>
            <w:tcBorders/>
            <w:shd w:fill="auto" w:val="clear"/>
            <w:vAlign w:val="center"/>
          </w:tcPr>
          <w:p>
            <w:pPr>
              <w:pStyle w:val="TableContents"/>
              <w:spacing w:before="0" w:after="0"/>
              <w:ind w:left="0" w:right="0" w:hanging="0"/>
              <w:jc w:val="center"/>
              <w:rPr>
                <w:spacing w:val="-3"/>
              </w:rPr>
            </w:pPr>
            <w:r>
              <w:rPr>
                <w:spacing w:val="-3"/>
              </w:rPr>
              <w:t>​</w:t>
            </w:r>
          </w:p>
        </w:tc>
        <w:tc>
          <w:tcPr>
            <w:tcW w:w="809" w:type="dxa"/>
            <w:tcBorders/>
            <w:shd w:fill="auto" w:val="clear"/>
            <w:vAlign w:val="center"/>
          </w:tcPr>
          <w:p>
            <w:pPr>
              <w:pStyle w:val="TableContents"/>
              <w:pBdr>
                <w:bottom w:val="single" w:sz="2" w:space="1" w:color="000000"/>
              </w:pBdr>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pBdr>
                <w:bottom w:val="single" w:sz="2" w:space="1" w:color="000000"/>
              </w:pBdr>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40" w:type="dxa"/>
            <w:tcBorders/>
            <w:shd w:fill="auto" w:val="clear"/>
            <w:vAlign w:val="center"/>
          </w:tcPr>
          <w:p>
            <w:pPr>
              <w:pStyle w:val="TableContents"/>
              <w:spacing w:before="0" w:after="0"/>
              <w:ind w:left="0" w:right="0" w:hanging="0"/>
              <w:rPr>
                <w:spacing w:val="-3"/>
              </w:rPr>
            </w:pPr>
            <w:r>
              <w:rPr>
                <w:spacing w:val="-3"/>
              </w:rPr>
              <w:t>​</w:t>
            </w:r>
          </w:p>
        </w:tc>
        <w:tc>
          <w:tcPr>
            <w:tcW w:w="809" w:type="dxa"/>
            <w:tcBorders/>
            <w:shd w:fill="auto" w:val="clear"/>
            <w:vAlign w:val="center"/>
          </w:tcPr>
          <w:p>
            <w:pPr>
              <w:pStyle w:val="TableContents"/>
              <w:spacing w:before="0" w:after="0"/>
              <w:ind w:left="0" w:right="0" w:hanging="0"/>
              <w:rPr>
                <w:spacing w:val="-3"/>
              </w:rPr>
            </w:pPr>
            <w:r>
              <w:rPr>
                <w:spacing w:val="-3"/>
              </w:rPr>
              <w:t>​</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spacing w:before="0" w:after="0"/>
              <w:ind w:left="0" w:right="0" w:hanging="0"/>
              <w:rPr>
                <w:spacing w:val="-3"/>
              </w:rPr>
            </w:pPr>
            <w:r>
              <w:rPr>
                <w:spacing w:val="-3"/>
              </w:rPr>
              <w:t>​</w:t>
            </w:r>
          </w:p>
        </w:tc>
      </w:tr>
      <w:tr>
        <w:trPr/>
        <w:tc>
          <w:tcPr>
            <w:tcW w:w="340" w:type="dxa"/>
            <w:tcBorders/>
            <w:shd w:fill="auto" w:val="clear"/>
            <w:vAlign w:val="center"/>
          </w:tcPr>
          <w:p>
            <w:pPr>
              <w:pStyle w:val="TableContents"/>
              <w:spacing w:before="0" w:after="0"/>
              <w:ind w:left="0" w:right="0" w:hanging="0"/>
              <w:rPr>
                <w:spacing w:val="-3"/>
              </w:rPr>
            </w:pPr>
            <w:r>
              <w:rPr>
                <w:spacing w:val="-3"/>
              </w:rPr>
              <w:t>​</w:t>
            </w:r>
          </w:p>
        </w:tc>
        <w:tc>
          <w:tcPr>
            <w:tcW w:w="809" w:type="dxa"/>
            <w:tcBorders/>
            <w:shd w:fill="auto" w:val="clear"/>
            <w:vAlign w:val="center"/>
          </w:tcPr>
          <w:p>
            <w:pPr>
              <w:pStyle w:val="TableContents"/>
              <w:spacing w:before="0" w:after="0"/>
              <w:ind w:left="0" w:right="0" w:hanging="0"/>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spacing w:before="0" w:after="0"/>
              <w:ind w:left="0" w:right="0" w:hanging="0"/>
              <w:rPr/>
            </w:pPr>
            <w:hyperlink w:anchor="cik-20230502xex99d1.htm">
              <w:r>
                <w:rPr>
                  <w:rStyle w:val="InternetLink"/>
                  <w:rFonts w:ascii="Times New Roman;Times;serif" w:hAnsi="Times New Roman;Times;serif"/>
                  <w:b w:val="false"/>
                  <w:i w:val="false"/>
                  <w:caps w:val="false"/>
                  <w:smallCaps w:val="false"/>
                  <w:sz w:val="20"/>
                </w:rPr>
                <w:t xml:space="preserve">Press release dated May 2, 2023 </w:t>
              </w:r>
            </w:hyperlink>
            <w:hyperlink w:anchor="cik-20230502xex99d1.htm">
              <w:r>
                <w:rPr>
                  <w:rStyle w:val="InternetLink"/>
                  <w:rFonts w:ascii="Times New Roman;Times;serif" w:hAnsi="Times New Roman;Times;serif"/>
                  <w:b w:val="false"/>
                  <w:i w:val="false"/>
                  <w:caps w:val="false"/>
                  <w:smallCaps w:val="false"/>
                  <w:spacing w:val="-3"/>
                  <w:sz w:val="20"/>
                </w:rPr>
                <w:t xml:space="preserve">entitled “CompX Reports First Quarter 2023 Results” and </w:t>
              </w:r>
            </w:hyperlink>
            <w:hyperlink w:anchor="cik-20230502xex99d1.htm">
              <w:r>
                <w:rPr>
                  <w:rStyle w:val="InternetLink"/>
                  <w:rFonts w:ascii="Times New Roman;Times;serif" w:hAnsi="Times New Roman;Times;serif"/>
                  <w:b w:val="false"/>
                  <w:i w:val="false"/>
                  <w:caps w:val="false"/>
                  <w:smallCaps w:val="false"/>
                  <w:sz w:val="20"/>
                </w:rPr>
                <w:t>issued by the registrant</w:t>
              </w:r>
            </w:hyperlink>
            <w:r>
              <w:rPr>
                <w:rFonts w:ascii="Times New Roman;Times;serif" w:hAnsi="Times New Roman;Times;serif"/>
                <w:sz w:val="20"/>
              </w:rPr>
              <w:t>.</w:t>
            </w:r>
          </w:p>
        </w:tc>
      </w:tr>
      <w:tr>
        <w:trPr/>
        <w:tc>
          <w:tcPr>
            <w:tcW w:w="340" w:type="dxa"/>
            <w:tcBorders/>
            <w:shd w:fill="auto" w:val="clear"/>
            <w:vAlign w:val="center"/>
          </w:tcPr>
          <w:p>
            <w:pPr>
              <w:pStyle w:val="TableContents"/>
              <w:spacing w:before="0" w:after="0"/>
              <w:ind w:left="0" w:right="0" w:hanging="0"/>
              <w:rPr>
                <w:spacing w:val="-3"/>
              </w:rPr>
            </w:pPr>
            <w:r>
              <w:rPr>
                <w:spacing w:val="-3"/>
              </w:rPr>
              <w:t>​</w:t>
            </w:r>
          </w:p>
        </w:tc>
        <w:tc>
          <w:tcPr>
            <w:tcW w:w="809" w:type="dxa"/>
            <w:tcBorders/>
            <w:shd w:fill="auto" w:val="clear"/>
            <w:vAlign w:val="center"/>
          </w:tcPr>
          <w:p>
            <w:pPr>
              <w:pStyle w:val="TableContents"/>
              <w:spacing w:before="0" w:after="0"/>
              <w:ind w:left="0" w:right="0" w:hanging="0"/>
              <w:rPr>
                <w:spacing w:val="-3"/>
              </w:rPr>
            </w:pPr>
            <w:r>
              <w:rPr>
                <w:spacing w:val="-3"/>
              </w:rPr>
              <w:t>​</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spacing w:before="0" w:after="0"/>
              <w:ind w:left="0" w:right="0" w:hanging="0"/>
              <w:rPr/>
            </w:pPr>
            <w:r>
              <w:rPr/>
              <w:t>​</w:t>
            </w:r>
          </w:p>
        </w:tc>
      </w:tr>
      <w:tr>
        <w:trPr/>
        <w:tc>
          <w:tcPr>
            <w:tcW w:w="340" w:type="dxa"/>
            <w:tcBorders/>
            <w:shd w:fill="auto" w:val="clear"/>
            <w:vAlign w:val="center"/>
          </w:tcPr>
          <w:p>
            <w:pPr>
              <w:pStyle w:val="TableContents"/>
              <w:spacing w:before="0" w:after="0"/>
              <w:ind w:left="0" w:right="0" w:hanging="0"/>
              <w:rPr>
                <w:spacing w:val="-3"/>
              </w:rPr>
            </w:pPr>
            <w:r>
              <w:rPr>
                <w:spacing w:val="-3"/>
              </w:rPr>
              <w:t>​</w:t>
            </w:r>
          </w:p>
        </w:tc>
        <w:tc>
          <w:tcPr>
            <w:tcW w:w="809" w:type="dxa"/>
            <w:tcBorders/>
            <w:shd w:fill="auto" w:val="clear"/>
            <w:vAlign w:val="center"/>
          </w:tcPr>
          <w:p>
            <w:pPr>
              <w:pStyle w:val="TableContents"/>
              <w:spacing w:before="0" w:after="0"/>
              <w:ind w:left="0" w:right="0" w:hanging="0"/>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shd w:fill="auto" w:val="clear"/>
            <w:vAlign w:val="center"/>
          </w:tcPr>
          <w:p>
            <w:pPr>
              <w:pStyle w:val="TableContents"/>
              <w:spacing w:before="0" w:after="0"/>
              <w:ind w:left="0" w:right="0" w:hanging="0"/>
              <w:rPr>
                <w:spacing w:val="-3"/>
              </w:rPr>
            </w:pPr>
            <w:r>
              <w:rPr>
                <w:spacing w:val="-3"/>
              </w:rPr>
              <w:t>​</w:t>
            </w:r>
          </w:p>
        </w:tc>
        <w:tc>
          <w:tcPr>
            <w:tcW w:w="89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pacing w:before="0" w:after="0"/>
        <w:ind w:left="0" w:right="0" w:hanging="0"/>
        <w:rPr/>
      </w:pPr>
      <w:r>
        <w:rPr/>
        <w:t>​</w:t>
      </w:r>
    </w:p>
    <w:p>
      <w:pPr>
        <w:pStyle w:val="TextBody"/>
        <w:spacing w:before="0" w:after="240"/>
        <w:ind w:left="0" w:right="0" w:firstLine="720"/>
        <w:jc w:val="both"/>
        <w:rPr/>
      </w:pPr>
      <w:r>
        <w:rPr/>
        <w:t>​</w:t>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41" w:name="_a3c83447_f836_462b_b4ea_38f1e8562ddd"/>
      <w:bookmarkEnd w:id="41"/>
      <w:r>
        <w:rPr>
          <w:rFonts w:ascii="Times New Roman;Times;serif" w:hAnsi="Times New Roman;Times;serif"/>
          <w:b/>
          <w:sz w:val="20"/>
        </w:rPr>
        <w:t>SIGNATURE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spacing w:before="0" w:after="240"/>
        <w:ind w:left="0" w:right="0" w:hanging="0"/>
        <w:jc w:val="center"/>
        <w:rPr/>
      </w:pPr>
      <w:r>
        <w:rPr/>
        <w:t>​</w:t>
      </w:r>
    </w:p>
    <w:tbl>
      <w:tblPr>
        <w:tblW w:w="5043" w:type="dxa"/>
        <w:jc w:val="left"/>
        <w:tblInd w:w="0" w:type="dxa"/>
        <w:tblCellMar>
          <w:top w:w="0" w:type="dxa"/>
          <w:left w:w="0" w:type="dxa"/>
          <w:bottom w:w="0" w:type="dxa"/>
          <w:right w:w="0" w:type="dxa"/>
        </w:tblCellMar>
      </w:tblPr>
      <w:tblGrid>
        <w:gridCol w:w="1636"/>
        <w:gridCol w:w="406"/>
        <w:gridCol w:w="3001"/>
      </w:tblGrid>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0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COMPX INTERNATIONAL INC.</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(Registrant)</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00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00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Amy A. Samford</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00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Amy A. Samford</w:t>
            </w:r>
          </w:p>
        </w:tc>
      </w:tr>
      <w:tr>
        <w:trPr/>
        <w:tc>
          <w:tcPr>
            <w:tcW w:w="163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00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Executive Vice President and</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406" w:type="dxa"/>
            <w:tcBorders/>
            <w:shd w:fill="auto" w:val="clear"/>
            <w:vAlign w:val="center"/>
          </w:tcPr>
          <w:p>
            <w:pPr>
              <w:pStyle w:val="TableContents"/>
              <w:spacing w:before="0" w:after="0"/>
              <w:ind w:left="0" w:right="0" w:hanging="0"/>
              <w:rPr/>
            </w:pPr>
            <w:r>
              <w:rPr/>
              <w:t>​</w:t>
            </w:r>
          </w:p>
        </w:tc>
        <w:tc>
          <w:tcPr>
            <w:tcW w:w="300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Financial Officer</w:t>
            </w:r>
          </w:p>
        </w:tc>
      </w:tr>
    </w:tbl>
    <w:p>
      <w:pPr>
        <w:pStyle w:val="TextBody"/>
        <w:spacing w:before="0" w:after="0"/>
        <w:ind w:left="0" w:right="0" w:hanging="0"/>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r>
        <w:br w:type="page"/>
      </w:r>
    </w:p>
    <w:p>
      <w:pPr>
        <w:pStyle w:val="Normal"/>
        <w:spacing w:before="0" w:after="0"/>
        <w:rPr>
          <w:sz w:val="4"/>
          <w:szCs w:val="4"/>
        </w:rPr>
      </w:pPr>
      <w:r>
        <w:rPr>
          <w:sz w:val="4"/>
          <w:szCs w:val="4"/>
        </w:rPr>
      </w:r>
      <w:bookmarkStart w:id="42" w:name="cik-20230502xex99d1.htm"/>
      <w:bookmarkStart w:id="43" w:name="kscik20230502xex99d1"/>
      <w:bookmarkStart w:id="44" w:name="cik-20230502xex99d1.htm"/>
      <w:bookmarkStart w:id="45" w:name="kscik20230502xex99d1"/>
      <w:bookmarkEnd w:id="44"/>
      <w:bookmarkEnd w:id="45"/>
    </w:p>
    <w:tbl>
      <w:tblPr>
        <w:tblW w:w="4420" w:type="dxa"/>
        <w:jc w:val="left"/>
        <w:tblInd w:w="0" w:type="dxa"/>
        <w:tblCellMar>
          <w:top w:w="0" w:type="dxa"/>
          <w:left w:w="0" w:type="dxa"/>
          <w:bottom w:w="0" w:type="dxa"/>
          <w:right w:w="0" w:type="dxa"/>
        </w:tblCellMar>
      </w:tblPr>
      <w:tblGrid>
        <w:gridCol w:w="4420"/>
      </w:tblGrid>
      <w:tr>
        <w:trPr/>
        <w:tc>
          <w:tcPr>
            <w:tcW w:w="4420" w:type="dxa"/>
            <w:tcBorders/>
            <w:shd w:fill="auto" w:val="clear"/>
            <w:vAlign w:val="center"/>
          </w:tcPr>
          <w:p>
            <w:pPr>
              <w:pStyle w:val="TableContents"/>
              <w:spacing w:before="0" w:after="0"/>
              <w:ind w:left="0" w:right="0" w:hanging="0"/>
              <w:jc w:val="right"/>
              <w:rPr/>
            </w:pPr>
            <w:r>
              <w:rPr/>
              <w:t>​</w:t>
            </w:r>
          </w:p>
        </w:tc>
      </w:tr>
      <w:tr>
        <w:trPr/>
        <w:tc>
          <w:tcPr>
            <w:tcW w:w="4420" w:type="dxa"/>
            <w:tcBorders/>
            <w:shd w:fill="auto" w:val="clear"/>
            <w:vAlign w:val="center"/>
          </w:tcPr>
          <w:p>
            <w:pPr>
              <w:pStyle w:val="TableContents"/>
              <w:spacing w:before="0" w:after="0"/>
              <w:ind w:left="0" w:right="0" w:hanging="0"/>
              <w:rPr/>
            </w:pPr>
            <w:r>
              <w:rPr/>
              <w:t>​</w:t>
            </w:r>
          </w:p>
        </w:tc>
      </w:tr>
      <w:tr>
        <w:trPr/>
        <w:tc>
          <w:tcPr>
            <w:tcW w:w="4420" w:type="dxa"/>
            <w:tcBorders/>
            <w:shd w:fill="auto" w:val="clear"/>
            <w:vAlign w:val="center"/>
          </w:tcPr>
          <w:p>
            <w:pPr>
              <w:pStyle w:val="TableContents"/>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b/>
          <w:sz w:val="30"/>
        </w:rPr>
      </w:pPr>
      <w:r>
        <w:rPr>
          <w:rFonts w:ascii="Times New Roman;Times;serif" w:hAnsi="Times New Roman;Times;serif"/>
          <w:b/>
          <w:sz w:val="30"/>
        </w:rPr>
        <w:t>COMPX REPORTS FIRST QUARTER 2023 RESULTS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May 2, 2023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sales of $41.2 million for the first quarter of 2023 compared to $42.1 million in the same period of 2022. Operating income was $7.0 million in the first quarter of 2023 compared to $6.3 million in the same period of 2022. Net income was $6.1 million, or $.49 per basic and diluted common share, for the first quarter of 2023 compared to $5.0 million, or $.40 per basic and diluted common share, in the same period of 2022.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Net sales decreased in the first quarter of 2023 compared to the same period in 2022 primarily due to lower Security Products sales to the government security and healthcare industry markets, partially offset by higher Marine Components sales predominantly to the industrial market. Operating income increased during the first quarter of 2023 due to higher Marine Components sales and gross margins which more than offset lower Security Products sales. Interest income increased in the first quarter of 2023 compared to the same period in prior year due to higher average interest rates and increased investment balances, somewhat offset by lower average balances on the revolving promissory note receivable with Valhi, which also impacted net income over the comparative period.</w:t>
      </w:r>
    </w:p>
    <w:p>
      <w:pPr>
        <w:pStyle w:val="TextBody"/>
        <w:spacing w:before="0" w:after="0"/>
        <w:ind w:left="0" w:right="0" w:hanging="0"/>
        <w:jc w:val="both"/>
        <w:rPr/>
      </w:pPr>
      <w:r>
        <w:rPr/>
        <w:t>​</w:t>
      </w:r>
    </w:p>
    <w:p>
      <w:pPr>
        <w:pStyle w:val="TextBody"/>
        <w:spacing w:before="0" w:after="12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600 people.</w:t>
      </w:r>
    </w:p>
    <w:p>
      <w:pPr>
        <w:pStyle w:val="TextBody"/>
        <w:spacing w:before="0" w:after="120"/>
        <w:ind w:left="0" w:right="0" w:hanging="0"/>
        <w:rPr/>
      </w:pPr>
      <w:r>
        <w:rPr/>
        <w:t>​</w:t>
      </w:r>
    </w:p>
    <w:p>
      <w:pPr>
        <w:pStyle w:val="TextBody"/>
        <w:spacing w:before="0" w:after="120"/>
        <w:ind w:left="0" w:right="0" w:hanging="0"/>
        <w:rPr>
          <w:rFonts w:ascii="Times New Roman;Times;serif" w:hAnsi="Times New Roman;Times;serif"/>
          <w:b/>
          <w:sz w:val="24"/>
        </w:rPr>
      </w:pPr>
      <w:r>
        <w:rPr>
          <w:rFonts w:ascii="Times New Roman;Times;serif" w:hAnsi="Times New Roman;Times;serif"/>
          <w:b/>
          <w:sz w:val="24"/>
        </w:rPr>
        <w:t>Forward-Looking Statements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spacing w:before="0" w:after="20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3198" w:type="dxa"/>
        <w:jc w:val="left"/>
        <w:tblInd w:w="0" w:type="dxa"/>
        <w:tblCellMar>
          <w:top w:w="0" w:type="dxa"/>
          <w:left w:w="0" w:type="dxa"/>
          <w:bottom w:w="0" w:type="dxa"/>
          <w:right w:w="0" w:type="dxa"/>
        </w:tblCellMar>
      </w:tblPr>
      <w:tblGrid>
        <w:gridCol w:w="23"/>
        <w:gridCol w:w="95"/>
        <w:gridCol w:w="308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308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Future demand for our products,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Changes in our raw material and other operating costs (such as zinc, brass, aluminum, steel and energy costs) and our ability to pass those costs on to our customers or offset them with reductions in other operating costs,</w:t>
            </w:r>
          </w:p>
        </w:tc>
      </w:tr>
    </w:tbl>
    <w:tbl>
      <w:tblPr>
        <w:tblW w:w="8133" w:type="dxa"/>
        <w:jc w:val="left"/>
        <w:tblInd w:w="0" w:type="dxa"/>
        <w:tblCellMar>
          <w:top w:w="0" w:type="dxa"/>
          <w:left w:w="0" w:type="dxa"/>
          <w:bottom w:w="0" w:type="dxa"/>
          <w:right w:w="0" w:type="dxa"/>
        </w:tblCellMar>
      </w:tblPr>
      <w:tblGrid>
        <w:gridCol w:w="23"/>
        <w:gridCol w:w="95"/>
        <w:gridCol w:w="801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801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Price and product competition from low-cost manufacturing sources (such as China),</w:t>
            </w:r>
          </w:p>
        </w:tc>
      </w:tr>
    </w:tbl>
    <w:tbl>
      <w:tblPr>
        <w:tblW w:w="4653" w:type="dxa"/>
        <w:jc w:val="left"/>
        <w:tblInd w:w="0" w:type="dxa"/>
        <w:tblCellMar>
          <w:top w:w="0" w:type="dxa"/>
          <w:left w:w="0" w:type="dxa"/>
          <w:bottom w:w="0" w:type="dxa"/>
          <w:right w:w="0" w:type="dxa"/>
        </w:tblCellMar>
      </w:tblPr>
      <w:tblGrid>
        <w:gridCol w:w="23"/>
        <w:gridCol w:w="95"/>
        <w:gridCol w:w="453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453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The impact of pricing and production decisions,</w:t>
            </w:r>
          </w:p>
        </w:tc>
      </w:tr>
    </w:tbl>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0"/>
        <w:ind w:left="0" w:right="0" w:hanging="0"/>
        <w:rPr/>
      </w:pPr>
      <w:r>
        <w:rPr/>
        <w:t>​</w:t>
      </w:r>
    </w:p>
    <w:tbl>
      <w:tblPr>
        <w:tblW w:w="6273" w:type="dxa"/>
        <w:jc w:val="left"/>
        <w:tblInd w:w="0" w:type="dxa"/>
        <w:tblCellMar>
          <w:top w:w="0" w:type="dxa"/>
          <w:left w:w="0" w:type="dxa"/>
          <w:bottom w:w="0" w:type="dxa"/>
          <w:right w:w="0" w:type="dxa"/>
        </w:tblCellMar>
      </w:tblPr>
      <w:tblGrid>
        <w:gridCol w:w="23"/>
        <w:gridCol w:w="95"/>
        <w:gridCol w:w="615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615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Customer and competitor strategies including substitute products,</w:t>
            </w:r>
          </w:p>
        </w:tc>
      </w:tr>
    </w:tbl>
    <w:tbl>
      <w:tblPr>
        <w:tblW w:w="8133" w:type="dxa"/>
        <w:jc w:val="left"/>
        <w:tblInd w:w="0" w:type="dxa"/>
        <w:tblCellMar>
          <w:top w:w="0" w:type="dxa"/>
          <w:left w:w="0" w:type="dxa"/>
          <w:bottom w:w="0" w:type="dxa"/>
          <w:right w:w="0" w:type="dxa"/>
        </w:tblCellMar>
      </w:tblPr>
      <w:tblGrid>
        <w:gridCol w:w="23"/>
        <w:gridCol w:w="95"/>
        <w:gridCol w:w="801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801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Uncertainties associated with the development of new products and product features,</w:t>
            </w:r>
          </w:p>
        </w:tc>
      </w:tr>
    </w:tbl>
    <w:tbl>
      <w:tblPr>
        <w:tblW w:w="1698" w:type="dxa"/>
        <w:jc w:val="left"/>
        <w:tblInd w:w="0" w:type="dxa"/>
        <w:tblCellMar>
          <w:top w:w="0" w:type="dxa"/>
          <w:left w:w="0" w:type="dxa"/>
          <w:bottom w:w="0" w:type="dxa"/>
          <w:right w:w="0" w:type="dxa"/>
        </w:tblCellMar>
      </w:tblPr>
      <w:tblGrid>
        <w:gridCol w:w="23"/>
        <w:gridCol w:w="95"/>
        <w:gridCol w:w="158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58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Future litigation,</w:t>
            </w:r>
          </w:p>
        </w:tc>
      </w:tr>
    </w:tbl>
    <w:tbl>
      <w:tblPr>
        <w:tblW w:w="6018" w:type="dxa"/>
        <w:jc w:val="left"/>
        <w:tblInd w:w="0" w:type="dxa"/>
        <w:tblCellMar>
          <w:top w:w="0" w:type="dxa"/>
          <w:left w:w="0" w:type="dxa"/>
          <w:bottom w:w="0" w:type="dxa"/>
          <w:right w:w="0" w:type="dxa"/>
        </w:tblCellMar>
      </w:tblPr>
      <w:tblGrid>
        <w:gridCol w:w="23"/>
        <w:gridCol w:w="95"/>
        <w:gridCol w:w="59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590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Our ability to protect or defend our intellectual property rights,</w:t>
            </w:r>
          </w:p>
        </w:tc>
      </w:tr>
    </w:tbl>
    <w:tbl>
      <w:tblPr>
        <w:tblW w:w="5163" w:type="dxa"/>
        <w:jc w:val="left"/>
        <w:tblInd w:w="0" w:type="dxa"/>
        <w:tblCellMar>
          <w:top w:w="0" w:type="dxa"/>
          <w:left w:w="0" w:type="dxa"/>
          <w:bottom w:w="0" w:type="dxa"/>
          <w:right w:w="0" w:type="dxa"/>
        </w:tblCellMar>
      </w:tblPr>
      <w:tblGrid>
        <w:gridCol w:w="23"/>
        <w:gridCol w:w="95"/>
        <w:gridCol w:w="504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504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Potential difficulties in integrating future acquisitions,</w:t>
            </w:r>
          </w:p>
        </w:tc>
      </w:tr>
    </w:tbl>
    <w:tbl>
      <w:tblPr>
        <w:tblW w:w="7518" w:type="dxa"/>
        <w:jc w:val="left"/>
        <w:tblInd w:w="0" w:type="dxa"/>
        <w:tblCellMar>
          <w:top w:w="0" w:type="dxa"/>
          <w:left w:w="0" w:type="dxa"/>
          <w:bottom w:w="0" w:type="dxa"/>
          <w:right w:w="0" w:type="dxa"/>
        </w:tblCellMar>
      </w:tblPr>
      <w:tblGrid>
        <w:gridCol w:w="23"/>
        <w:gridCol w:w="95"/>
        <w:gridCol w:w="74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740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Decisions to sell operating assets other than in the ordinary course of business,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Environmental matters (such as those requiring emission and discharge standards for existing and new facilities),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The ultimate outcome of income tax audits, tax settlement initiatives or other tax matters, including future tax reform,</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Government laws and regulations and possible changes therein including new environmental health and safety or other regulations,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0"/>
              </w:rPr>
            </w:pPr>
            <w:r>
              <w:rPr>
                <w:rFonts w:ascii="Times New Roman;Times;serif" w:hAnsi="Times New Roman;Times;serif"/>
                <w:sz w:val="24"/>
              </w:rPr>
              <w:t>General global economic and political conditions that introduce instability into our supply chain, impact our customers</w:t>
            </w:r>
            <w:r>
              <w:rPr>
                <w:rFonts w:ascii="Times New Roman;Times;serif" w:hAnsi="Times New Roman;Times;serif"/>
                <w:sz w:val="20"/>
              </w:rPr>
              <w:t xml:space="preserve">’ </w:t>
            </w:r>
            <w:r>
              <w:rPr>
                <w:rFonts w:ascii="Times New Roman;Times;serif" w:hAnsi="Times New Roman;Times;serif"/>
                <w:sz w:val="24"/>
              </w:rPr>
              <w:t>level of demand or our customers</w:t>
            </w:r>
            <w:r>
              <w:rPr>
                <w:rFonts w:ascii="Times New Roman;Times;serif" w:hAnsi="Times New Roman;Times;serif"/>
                <w:sz w:val="20"/>
              </w:rPr>
              <w:t xml:space="preserve">’ </w:t>
            </w:r>
            <w:r>
              <w:rPr>
                <w:rFonts w:ascii="Times New Roman;Times;serif" w:hAnsi="Times New Roman;Times;serif"/>
                <w:sz w:val="24"/>
              </w:rPr>
              <w:t>perception regarding demand or impair our ability to operate our facilities (including changes in the level of gross domestic product in various regions of the world, natural disasters, terrorist acts, global conflicts and public health crises such as COVID-19),</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Operating interruptions (including, but not limited to labor disputes, hazardous chemical leaks, natural disasters, fires, explosions, unscheduled or unplanned downtime, transportation interruptions, cyber-attacks and public health crises such as COVID-19);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12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Possible disruption of our business or increases in the cost of doing business resulting from terrorist activities or global conflicts.</w:t>
            </w:r>
          </w:p>
        </w:tc>
      </w:tr>
    </w:tbl>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4"/>
        </w:rPr>
      </w:pPr>
      <w:r>
        <w:rPr>
          <w:rFonts w:ascii="Times New Roman;Times;serif" w:hAnsi="Times New Roman;Times;serif"/>
          <w:b/>
          <w:sz w:val="24"/>
        </w:rPr>
        <w:t>Investor Relations Contact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Bryan A. Hanley</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Senior Vice President and Treasurer</w:t>
      </w:r>
    </w:p>
    <w:p>
      <w:pPr>
        <w:pStyle w:val="TextBody"/>
        <w:spacing w:before="0" w:after="0"/>
        <w:ind w:left="0" w:right="0" w:hanging="0"/>
        <w:rPr>
          <w:rFonts w:ascii="Times New Roman;Times;serif" w:hAnsi="Times New Roman;Times;serif"/>
          <w:sz w:val="24"/>
        </w:rPr>
      </w:pPr>
      <w:r>
        <w:rPr>
          <w:rFonts w:ascii="Times New Roman;Times;serif" w:hAnsi="Times New Roman;Times;serif"/>
          <w:sz w:val="24"/>
        </w:rPr>
        <w:t>Tel. 972-233-1700</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spacing w:before="0" w:after="0"/>
        <w:ind w:left="0" w:right="0" w:hanging="0"/>
        <w:jc w:val="center"/>
        <w:rPr/>
      </w:pPr>
      <w:r>
        <w:rPr/>
        <w:t>​</w:t>
      </w:r>
    </w:p>
    <w:p>
      <w:pPr>
        <w:pStyle w:val="TextBody"/>
        <w:spacing w:before="0" w:after="0"/>
        <w:ind w:left="0" w:right="0" w:hanging="0"/>
        <w:jc w:val="center"/>
        <w:rPr/>
      </w:pPr>
      <w:r>
        <w:rPr/>
        <w:t>​</w:t>
      </w:r>
    </w:p>
    <w:tbl>
      <w:tblPr>
        <w:tblW w:w="7469" w:type="dxa"/>
        <w:jc w:val="left"/>
        <w:tblInd w:w="0" w:type="dxa"/>
        <w:tblCellMar>
          <w:top w:w="0" w:type="dxa"/>
          <w:left w:w="0" w:type="dxa"/>
          <w:bottom w:w="0" w:type="dxa"/>
          <w:right w:w="0" w:type="dxa"/>
        </w:tblCellMar>
      </w:tblPr>
      <w:tblGrid>
        <w:gridCol w:w="5221"/>
        <w:gridCol w:w="260"/>
        <w:gridCol w:w="607"/>
        <w:gridCol w:w="376"/>
        <w:gridCol w:w="260"/>
        <w:gridCol w:w="745"/>
      </w:tblGrid>
      <w:tr>
        <w:trPr/>
        <w:tc>
          <w:tcPr>
            <w:tcW w:w="5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5100" cy="175260"/>
                      <wp:effectExtent l="0" t="0" r="0" b="0"/>
                      <wp:wrapNone/>
                      <wp:docPr id="3" name="Frame2"/>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5445" cy="175260"/>
                      <wp:effectExtent l="0" t="0" r="0" b="0"/>
                      <wp:wrapNone/>
                      <wp:docPr id="4" name="Frame3"/>
                      <a:graphic xmlns:a="http://schemas.openxmlformats.org/drawingml/2006/main">
                        <a:graphicData uri="http://schemas.microsoft.com/office/word/2010/wordprocessingShape">
                          <wps:wsp>
                            <wps:cNvSpPr txBox="1"/>
                            <wps:spPr>
                              <a:xfrm>
                                <a:off x="0" y="0"/>
                                <a:ext cx="385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8760" cy="175260"/>
                      <wp:effectExtent l="0" t="0" r="0" b="0"/>
                      <wp:wrapNone/>
                      <wp:docPr id="5" name="Frame4"/>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5100" cy="175260"/>
                      <wp:effectExtent l="0" t="0" r="0" b="0"/>
                      <wp:wrapNone/>
                      <wp:docPr id="6" name="Frame5"/>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73075" cy="175260"/>
                      <wp:effectExtent l="0" t="0" r="0" b="0"/>
                      <wp:wrapNone/>
                      <wp:docPr id="7" name="Frame6"/>
                      <a:graphic xmlns:a="http://schemas.openxmlformats.org/drawingml/2006/main">
                        <a:graphicData uri="http://schemas.microsoft.com/office/word/2010/wordprocessingShape">
                          <wps:wsp>
                            <wps:cNvSpPr txBox="1"/>
                            <wps:spPr>
                              <a:xfrm>
                                <a:off x="0" y="0"/>
                                <a:ext cx="473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21" w:type="dxa"/>
            <w:tcBorders/>
            <w:shd w:fill="auto" w:val="clear"/>
            <w:vAlign w:val="center"/>
          </w:tcPr>
          <w:p>
            <w:pPr>
              <w:pStyle w:val="TableContents"/>
              <w:spacing w:before="0" w:after="0"/>
              <w:ind w:left="0" w:right="0" w:hanging="0"/>
              <w:rPr/>
            </w:pPr>
            <w:r>
              <w:rPr/>
              <w:t>​</w:t>
            </w:r>
          </w:p>
        </w:tc>
        <w:tc>
          <w:tcPr>
            <w:tcW w:w="224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r>
      <w:tr>
        <w:trPr/>
        <w:tc>
          <w:tcPr>
            <w:tcW w:w="5221" w:type="dxa"/>
            <w:tcBorders/>
            <w:shd w:fill="auto" w:val="clear"/>
            <w:vAlign w:val="center"/>
          </w:tcPr>
          <w:p>
            <w:pPr>
              <w:pStyle w:val="TableContents"/>
              <w:spacing w:before="0" w:after="0"/>
              <w:ind w:left="0" w:right="0" w:hanging="0"/>
              <w:rPr/>
            </w:pPr>
            <w:r>
              <w:rPr/>
              <w:t>​</w:t>
            </w:r>
          </w:p>
        </w:tc>
        <w:tc>
          <w:tcPr>
            <w:tcW w:w="224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March 31,</w:t>
            </w:r>
          </w:p>
        </w:tc>
      </w:tr>
      <w:tr>
        <w:trPr/>
        <w:tc>
          <w:tcPr>
            <w:tcW w:w="5221" w:type="dxa"/>
            <w:tcBorders/>
            <w:shd w:fill="auto" w:val="clear"/>
            <w:vAlign w:val="center"/>
          </w:tcPr>
          <w:p>
            <w:pPr>
              <w:pStyle w:val="TableContents"/>
              <w:spacing w:before="0" w:after="0"/>
              <w:ind w:left="0" w:right="0" w:hanging="0"/>
              <w:rPr/>
            </w:pPr>
            <w:r>
              <w:rPr/>
              <w:t>​</w:t>
            </w:r>
          </w:p>
        </w:tc>
        <w:tc>
          <w:tcPr>
            <w:tcW w:w="8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2022</w:t>
            </w:r>
          </w:p>
        </w:tc>
        <w:tc>
          <w:tcPr>
            <w:tcW w:w="376" w:type="dxa"/>
            <w:tcBorders/>
            <w:shd w:fill="auto" w:val="clear"/>
            <w:vAlign w:val="center"/>
          </w:tcPr>
          <w:p>
            <w:pPr>
              <w:pStyle w:val="TableContents"/>
              <w:spacing w:before="0" w:after="0"/>
              <w:ind w:left="0" w:right="0" w:hanging="0"/>
              <w:rPr/>
            </w:pPr>
            <w:r>
              <w:rPr/>
              <w:t>    </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r>
      <w:tr>
        <w:trPr/>
        <w:tc>
          <w:tcPr>
            <w:tcW w:w="7469"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5221" w:type="dxa"/>
            <w:tcBorders/>
            <w:shd w:fill="auto" w:val="clear"/>
            <w:vAlign w:val="center"/>
          </w:tcPr>
          <w:p>
            <w:pPr>
              <w:pStyle w:val="TableContents"/>
              <w:spacing w:before="0" w:after="0"/>
              <w:ind w:left="0" w:right="0" w:hanging="0"/>
              <w:rPr/>
            </w:pPr>
            <w:r>
              <w:rPr/>
              <w:t>​</w:t>
            </w:r>
          </w:p>
        </w:tc>
        <w:tc>
          <w:tcPr>
            <w:tcW w:w="224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Net sales</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42.1</w:t>
            </w:r>
          </w:p>
        </w:tc>
        <w:tc>
          <w:tcPr>
            <w:tcW w:w="37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41.2</w:t>
            </w:r>
          </w:p>
        </w:tc>
      </w:tr>
      <w:tr>
        <w:trPr/>
        <w:tc>
          <w:tcPr>
            <w:tcW w:w="5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Cost of sales</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30.0</w:t>
            </w:r>
          </w:p>
        </w:tc>
        <w:tc>
          <w:tcPr>
            <w:tcW w:w="37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28.5</w:t>
            </w:r>
          </w:p>
        </w:tc>
      </w:tr>
      <w:tr>
        <w:trPr/>
        <w:tc>
          <w:tcPr>
            <w:tcW w:w="5221"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Gross margin</w:t>
            </w:r>
          </w:p>
        </w:tc>
        <w:tc>
          <w:tcPr>
            <w:tcW w:w="260"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12.1</w:t>
            </w:r>
          </w:p>
        </w:tc>
        <w:tc>
          <w:tcPr>
            <w:tcW w:w="37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12.7</w:t>
            </w:r>
          </w:p>
        </w:tc>
      </w:tr>
      <w:tr>
        <w:trPr/>
        <w:tc>
          <w:tcPr>
            <w:tcW w:w="5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Selling, general and administrative expense</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5.8</w:t>
            </w:r>
          </w:p>
        </w:tc>
        <w:tc>
          <w:tcPr>
            <w:tcW w:w="37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5.7</w:t>
            </w:r>
          </w:p>
        </w:tc>
      </w:tr>
      <w:tr>
        <w:trPr/>
        <w:tc>
          <w:tcPr>
            <w:tcW w:w="5221"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Operating income</w:t>
            </w:r>
          </w:p>
        </w:tc>
        <w:tc>
          <w:tcPr>
            <w:tcW w:w="260"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6.3</w:t>
            </w:r>
          </w:p>
        </w:tc>
        <w:tc>
          <w:tcPr>
            <w:tcW w:w="37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7.0</w:t>
            </w:r>
          </w:p>
        </w:tc>
      </w:tr>
      <w:tr>
        <w:trPr/>
        <w:tc>
          <w:tcPr>
            <w:tcW w:w="5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Interest income</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c>
          <w:tcPr>
            <w:tcW w:w="37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1.0</w:t>
            </w:r>
          </w:p>
        </w:tc>
      </w:tr>
      <w:tr>
        <w:trPr/>
        <w:tc>
          <w:tcPr>
            <w:tcW w:w="5221"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Income before taxes</w:t>
            </w:r>
          </w:p>
        </w:tc>
        <w:tc>
          <w:tcPr>
            <w:tcW w:w="260"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6.5</w:t>
            </w:r>
          </w:p>
        </w:tc>
        <w:tc>
          <w:tcPr>
            <w:tcW w:w="37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8.0</w:t>
            </w:r>
          </w:p>
        </w:tc>
      </w:tr>
      <w:tr>
        <w:trPr/>
        <w:tc>
          <w:tcPr>
            <w:tcW w:w="5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Provision for income taxes</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1.5</w:t>
            </w:r>
          </w:p>
        </w:tc>
        <w:tc>
          <w:tcPr>
            <w:tcW w:w="37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1.9</w:t>
            </w:r>
          </w:p>
        </w:tc>
      </w:tr>
      <w:tr>
        <w:trPr/>
        <w:tc>
          <w:tcPr>
            <w:tcW w:w="5221"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Net income</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t>
            </w:r>
          </w:p>
        </w:tc>
        <w:tc>
          <w:tcPr>
            <w:tcW w:w="6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5.0</w:t>
            </w:r>
          </w:p>
        </w:tc>
        <w:tc>
          <w:tcPr>
            <w:tcW w:w="376"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t>
            </w:r>
          </w:p>
        </w:tc>
        <w:tc>
          <w:tcPr>
            <w:tcW w:w="7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6.1</w:t>
            </w:r>
          </w:p>
        </w:tc>
      </w:tr>
      <w:tr>
        <w:trPr/>
        <w:tc>
          <w:tcPr>
            <w:tcW w:w="5221"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jc w:val="right"/>
              <w:rPr/>
            </w:pPr>
            <w:r>
              <w:rPr/>
              <w:t>​</w:t>
            </w:r>
          </w:p>
        </w:tc>
        <w:tc>
          <w:tcPr>
            <w:tcW w:w="37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r>
      <w:tr>
        <w:trPr/>
        <w:tc>
          <w:tcPr>
            <w:tcW w:w="5221" w:type="dxa"/>
            <w:tcBorders/>
            <w:shd w:fill="CCEEFF"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Basic and diluted net income per common share</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t>
            </w:r>
          </w:p>
        </w:tc>
        <w:tc>
          <w:tcPr>
            <w:tcW w:w="6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.40</w:t>
            </w:r>
          </w:p>
        </w:tc>
        <w:tc>
          <w:tcPr>
            <w:tcW w:w="376"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w:t>
            </w:r>
          </w:p>
        </w:tc>
        <w:tc>
          <w:tcPr>
            <w:tcW w:w="7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4"/>
              </w:rPr>
            </w:pPr>
            <w:r>
              <w:rPr>
                <w:rFonts w:ascii="Times New Roman;Times;serif" w:hAnsi="Times New Roman;Times;serif"/>
                <w:b/>
                <w:sz w:val="24"/>
              </w:rPr>
              <w:t>.49</w:t>
            </w:r>
          </w:p>
        </w:tc>
      </w:tr>
      <w:tr>
        <w:trPr/>
        <w:tc>
          <w:tcPr>
            <w:tcW w:w="52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Weighted average diluted common shares outstanding</w:t>
            </w:r>
          </w:p>
        </w:tc>
        <w:tc>
          <w:tcPr>
            <w:tcW w:w="260"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6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4"/>
              </w:rPr>
            </w:pPr>
            <w:r>
              <w:rPr>
                <w:rFonts w:ascii="Times New Roman;Times;serif" w:hAnsi="Times New Roman;Times;serif"/>
                <w:sz w:val="24"/>
              </w:rPr>
              <w:t>12.4</w:t>
            </w:r>
          </w:p>
        </w:tc>
        <w:tc>
          <w:tcPr>
            <w:tcW w:w="376" w:type="dxa"/>
            <w:tcBorders/>
            <w:shd w:fill="auto" w:val="clear"/>
            <w:vAlign w:val="center"/>
          </w:tcPr>
          <w:p>
            <w:pPr>
              <w:pStyle w:val="TableContents"/>
              <w:spacing w:before="0" w:after="0"/>
              <w:ind w:left="0" w:right="0" w:hanging="0"/>
              <w:rPr/>
            </w:pPr>
            <w:r>
              <w:rPr/>
              <w:t>​</w:t>
            </w:r>
          </w:p>
        </w:tc>
        <w:tc>
          <w:tcPr>
            <w:tcW w:w="260"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double" w:sz="6" w:space="0" w:color="000000"/>
            </w:tcBorders>
            <w:shd w:fill="auto" w:val="clear"/>
            <w:tcMar>
              <w:bottom w:w="28" w:type="dxa"/>
            </w:tcMar>
            <w:vAlign w:val="center"/>
          </w:tcPr>
          <w:p>
            <w:pPr>
              <w:pStyle w:val="TableContents"/>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1329</Words>
  <CharactersWithSpaces>8703</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